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3F5B04" w14:textId="1FBC08EB" w:rsidR="00E570E2" w:rsidRPr="00053B8A" w:rsidRDefault="00E570E2" w:rsidP="00E570E2">
      <w:pPr>
        <w:pStyle w:val="NormalWeb"/>
        <w:spacing w:before="0" w:beforeAutospacing="0" w:after="0" w:afterAutospacing="0" w:line="360" w:lineRule="auto"/>
        <w:jc w:val="center"/>
        <w:rPr>
          <w:rFonts w:ascii="Arial" w:hAnsi="Arial" w:cs="Arial"/>
          <w:color w:val="1C1E29"/>
        </w:rPr>
      </w:pPr>
    </w:p>
    <w:p w14:paraId="0BAEE9C7" w14:textId="504B38EE" w:rsidR="009925B2" w:rsidRPr="00053B8A" w:rsidRDefault="009925B2" w:rsidP="00E570E2">
      <w:pPr>
        <w:pStyle w:val="NormalWeb"/>
        <w:spacing w:before="0" w:beforeAutospacing="0" w:after="0" w:afterAutospacing="0" w:line="360" w:lineRule="auto"/>
        <w:jc w:val="center"/>
        <w:rPr>
          <w:rFonts w:ascii="Arial" w:hAnsi="Arial" w:cs="Arial"/>
          <w:color w:val="1C1E29"/>
        </w:rPr>
      </w:pPr>
    </w:p>
    <w:p w14:paraId="70D3E0CB" w14:textId="77777777" w:rsidR="009925B2" w:rsidRPr="00053B8A" w:rsidRDefault="009925B2" w:rsidP="00E570E2">
      <w:pPr>
        <w:pStyle w:val="NormalWeb"/>
        <w:spacing w:before="0" w:beforeAutospacing="0" w:after="0" w:afterAutospacing="0" w:line="360" w:lineRule="auto"/>
        <w:jc w:val="center"/>
        <w:rPr>
          <w:rFonts w:ascii="Arial" w:hAnsi="Arial" w:cs="Arial"/>
          <w:color w:val="1C1E29"/>
        </w:rPr>
      </w:pPr>
    </w:p>
    <w:p w14:paraId="0761164D" w14:textId="77777777" w:rsidR="00E570E2" w:rsidRPr="00053B8A" w:rsidRDefault="00E570E2" w:rsidP="00E570E2">
      <w:pPr>
        <w:pStyle w:val="NormalWeb"/>
        <w:spacing w:before="0" w:beforeAutospacing="0" w:after="0" w:afterAutospacing="0" w:line="360" w:lineRule="auto"/>
        <w:jc w:val="center"/>
        <w:rPr>
          <w:rFonts w:ascii="Arial" w:hAnsi="Arial" w:cs="Arial"/>
          <w:color w:val="1C1E29"/>
        </w:rPr>
      </w:pPr>
    </w:p>
    <w:p w14:paraId="6ECB9870" w14:textId="6962EAF1" w:rsidR="00E570E2" w:rsidRPr="00053B8A" w:rsidRDefault="005246FC" w:rsidP="00E570E2">
      <w:pPr>
        <w:pStyle w:val="NormalWeb"/>
        <w:spacing w:before="0" w:beforeAutospacing="0" w:after="0" w:afterAutospacing="0" w:line="360" w:lineRule="auto"/>
        <w:jc w:val="center"/>
        <w:rPr>
          <w:rFonts w:ascii="Arial" w:hAnsi="Arial" w:cs="Arial"/>
          <w:color w:val="1C1E29"/>
        </w:rPr>
      </w:pPr>
      <w:r w:rsidRPr="00053B8A">
        <w:rPr>
          <w:rFonts w:ascii="Arial" w:hAnsi="Arial" w:cs="Arial"/>
          <w:color w:val="1C1E29"/>
        </w:rPr>
        <w:t>PART 1</w:t>
      </w:r>
    </w:p>
    <w:p w14:paraId="13CBF323" w14:textId="77777777" w:rsidR="00E570E2" w:rsidRPr="00053B8A" w:rsidRDefault="00E570E2" w:rsidP="00E570E2">
      <w:pPr>
        <w:pStyle w:val="NormalWeb"/>
        <w:spacing w:before="0" w:beforeAutospacing="0" w:after="0" w:afterAutospacing="0" w:line="360" w:lineRule="auto"/>
        <w:jc w:val="center"/>
        <w:rPr>
          <w:rFonts w:ascii="Arial" w:hAnsi="Arial" w:cs="Arial"/>
          <w:color w:val="1C1E29"/>
        </w:rPr>
      </w:pPr>
    </w:p>
    <w:p w14:paraId="19553592" w14:textId="641FE205" w:rsidR="00E570E2" w:rsidRPr="00053B8A" w:rsidRDefault="00E570E2" w:rsidP="00E570E2">
      <w:pPr>
        <w:pStyle w:val="NormalWeb"/>
        <w:spacing w:before="0" w:beforeAutospacing="0" w:after="0" w:afterAutospacing="0" w:line="360" w:lineRule="auto"/>
        <w:jc w:val="center"/>
        <w:rPr>
          <w:rFonts w:ascii="Arial" w:hAnsi="Arial" w:cs="Arial"/>
          <w:color w:val="1C1E29"/>
        </w:rPr>
      </w:pPr>
      <w:r w:rsidRPr="00053B8A">
        <w:rPr>
          <w:rFonts w:ascii="Arial" w:hAnsi="Arial" w:cs="Arial"/>
          <w:color w:val="1C1E29"/>
        </w:rPr>
        <w:t>ASSOCIATED BRITISH FOODS</w:t>
      </w:r>
    </w:p>
    <w:p w14:paraId="5E0452D2" w14:textId="77777777" w:rsidR="00053B8A" w:rsidRPr="00053B8A" w:rsidRDefault="00053B8A" w:rsidP="00E570E2">
      <w:pPr>
        <w:pStyle w:val="NormalWeb"/>
        <w:spacing w:before="0" w:beforeAutospacing="0" w:after="0" w:afterAutospacing="0" w:line="360" w:lineRule="auto"/>
        <w:jc w:val="center"/>
        <w:rPr>
          <w:rFonts w:ascii="Arial" w:hAnsi="Arial" w:cs="Arial"/>
          <w:color w:val="1C1E29"/>
        </w:rPr>
      </w:pPr>
    </w:p>
    <w:p w14:paraId="66EA2A36" w14:textId="40625759" w:rsidR="00053B8A" w:rsidRPr="00053B8A" w:rsidRDefault="00053B8A" w:rsidP="00E570E2">
      <w:pPr>
        <w:pStyle w:val="NormalWeb"/>
        <w:spacing w:before="0" w:beforeAutospacing="0" w:after="0" w:afterAutospacing="0" w:line="360" w:lineRule="auto"/>
        <w:jc w:val="center"/>
        <w:rPr>
          <w:rFonts w:ascii="Arial" w:hAnsi="Arial" w:cs="Arial"/>
          <w:color w:val="1C1E29"/>
        </w:rPr>
      </w:pPr>
      <w:r w:rsidRPr="00053B8A">
        <w:rPr>
          <w:rFonts w:ascii="Arial" w:hAnsi="Arial" w:cs="Arial"/>
          <w:color w:val="1C1E29"/>
        </w:rPr>
        <w:t>STUDENT: 1706958</w:t>
      </w:r>
    </w:p>
    <w:p w14:paraId="362ED899" w14:textId="3E3825F2" w:rsidR="009925B2" w:rsidRPr="00053B8A" w:rsidRDefault="009925B2" w:rsidP="00E570E2">
      <w:pPr>
        <w:pStyle w:val="NormalWeb"/>
        <w:spacing w:before="0" w:beforeAutospacing="0" w:after="0" w:afterAutospacing="0" w:line="360" w:lineRule="auto"/>
        <w:jc w:val="center"/>
        <w:rPr>
          <w:rFonts w:ascii="Arial" w:hAnsi="Arial" w:cs="Arial"/>
          <w:color w:val="1C1E29"/>
        </w:rPr>
      </w:pPr>
    </w:p>
    <w:p w14:paraId="17BDC33B" w14:textId="65F7765D" w:rsidR="00053B8A" w:rsidRPr="00053B8A" w:rsidRDefault="00053B8A" w:rsidP="00E570E2">
      <w:pPr>
        <w:pStyle w:val="NormalWeb"/>
        <w:spacing w:before="0" w:beforeAutospacing="0" w:after="0" w:afterAutospacing="0" w:line="360" w:lineRule="auto"/>
        <w:jc w:val="center"/>
        <w:rPr>
          <w:rFonts w:ascii="Arial" w:hAnsi="Arial" w:cs="Arial"/>
          <w:color w:val="1C1E29"/>
        </w:rPr>
      </w:pPr>
      <w:r w:rsidRPr="00053B8A">
        <w:rPr>
          <w:rFonts w:ascii="Arial" w:hAnsi="Arial" w:cs="Arial"/>
          <w:color w:val="1C1E29"/>
        </w:rPr>
        <w:t>SUBMISSION DATE: 13.09.19</w:t>
      </w:r>
    </w:p>
    <w:p w14:paraId="0B148FE1" w14:textId="2EE071D9" w:rsidR="009925B2" w:rsidRPr="00053B8A" w:rsidRDefault="009925B2" w:rsidP="00E570E2">
      <w:pPr>
        <w:pStyle w:val="NormalWeb"/>
        <w:spacing w:before="0" w:beforeAutospacing="0" w:after="0" w:afterAutospacing="0" w:line="360" w:lineRule="auto"/>
        <w:jc w:val="center"/>
        <w:rPr>
          <w:rFonts w:ascii="Arial" w:hAnsi="Arial" w:cs="Arial"/>
          <w:color w:val="1C1E29"/>
        </w:rPr>
      </w:pPr>
    </w:p>
    <w:p w14:paraId="737C53C4" w14:textId="03A6806A" w:rsidR="009925B2" w:rsidRPr="00053B8A" w:rsidRDefault="009925B2" w:rsidP="00E570E2">
      <w:pPr>
        <w:pStyle w:val="NormalWeb"/>
        <w:spacing w:before="0" w:beforeAutospacing="0" w:after="0" w:afterAutospacing="0" w:line="360" w:lineRule="auto"/>
        <w:jc w:val="center"/>
        <w:rPr>
          <w:rFonts w:ascii="Arial" w:hAnsi="Arial" w:cs="Arial"/>
          <w:color w:val="1C1E29"/>
        </w:rPr>
      </w:pPr>
    </w:p>
    <w:p w14:paraId="25991FE0" w14:textId="7E68A525" w:rsidR="009925B2" w:rsidRPr="00053B8A" w:rsidRDefault="009925B2" w:rsidP="00E570E2">
      <w:pPr>
        <w:pStyle w:val="NormalWeb"/>
        <w:spacing w:before="0" w:beforeAutospacing="0" w:after="0" w:afterAutospacing="0" w:line="360" w:lineRule="auto"/>
        <w:jc w:val="center"/>
        <w:rPr>
          <w:rFonts w:ascii="Arial" w:hAnsi="Arial" w:cs="Arial"/>
          <w:color w:val="1C1E29"/>
        </w:rPr>
      </w:pPr>
    </w:p>
    <w:p w14:paraId="0F94754E" w14:textId="4D64E45D" w:rsidR="009925B2" w:rsidRPr="00053B8A" w:rsidRDefault="009925B2" w:rsidP="00E570E2">
      <w:pPr>
        <w:pStyle w:val="NormalWeb"/>
        <w:spacing w:before="0" w:beforeAutospacing="0" w:after="0" w:afterAutospacing="0" w:line="360" w:lineRule="auto"/>
        <w:jc w:val="center"/>
        <w:rPr>
          <w:rFonts w:ascii="Arial" w:hAnsi="Arial" w:cs="Arial"/>
          <w:color w:val="1C1E29"/>
        </w:rPr>
      </w:pPr>
    </w:p>
    <w:p w14:paraId="32999203" w14:textId="488348D8" w:rsidR="009925B2" w:rsidRPr="00053B8A" w:rsidRDefault="009925B2" w:rsidP="00E570E2">
      <w:pPr>
        <w:pStyle w:val="NormalWeb"/>
        <w:spacing w:before="0" w:beforeAutospacing="0" w:after="0" w:afterAutospacing="0" w:line="360" w:lineRule="auto"/>
        <w:jc w:val="center"/>
        <w:rPr>
          <w:rFonts w:ascii="Arial" w:hAnsi="Arial" w:cs="Arial"/>
          <w:color w:val="1C1E29"/>
        </w:rPr>
      </w:pPr>
    </w:p>
    <w:p w14:paraId="6F8E5272" w14:textId="41FDC04C" w:rsidR="009925B2" w:rsidRPr="00053B8A" w:rsidRDefault="009925B2" w:rsidP="00E570E2">
      <w:pPr>
        <w:pStyle w:val="NormalWeb"/>
        <w:spacing w:before="0" w:beforeAutospacing="0" w:after="0" w:afterAutospacing="0" w:line="360" w:lineRule="auto"/>
        <w:jc w:val="center"/>
        <w:rPr>
          <w:rFonts w:ascii="Arial" w:hAnsi="Arial" w:cs="Arial"/>
          <w:color w:val="1C1E29"/>
        </w:rPr>
      </w:pPr>
    </w:p>
    <w:p w14:paraId="1D8CC0B8" w14:textId="3BCA1B13" w:rsidR="009925B2" w:rsidRPr="00053B8A" w:rsidRDefault="009925B2" w:rsidP="00053B8A">
      <w:pPr>
        <w:pStyle w:val="NormalWeb"/>
        <w:spacing w:before="0" w:beforeAutospacing="0" w:after="0" w:afterAutospacing="0" w:line="360" w:lineRule="auto"/>
        <w:rPr>
          <w:rFonts w:ascii="Arial" w:hAnsi="Arial" w:cs="Arial"/>
          <w:color w:val="1C1E29"/>
        </w:rPr>
      </w:pPr>
    </w:p>
    <w:p w14:paraId="537D85A3" w14:textId="117CA0F9" w:rsidR="009925B2" w:rsidRPr="00053B8A" w:rsidRDefault="009925B2" w:rsidP="009925B2">
      <w:pPr>
        <w:pStyle w:val="NormalWeb"/>
        <w:spacing w:before="0" w:beforeAutospacing="0" w:after="0" w:afterAutospacing="0" w:line="360" w:lineRule="auto"/>
        <w:jc w:val="center"/>
        <w:rPr>
          <w:rFonts w:ascii="Arial" w:hAnsi="Arial" w:cs="Arial"/>
          <w:color w:val="1C1E29"/>
        </w:rPr>
      </w:pPr>
    </w:p>
    <w:p w14:paraId="7538335D" w14:textId="08177EDC" w:rsidR="009925B2" w:rsidRPr="00053B8A" w:rsidRDefault="009925B2" w:rsidP="009925B2">
      <w:pPr>
        <w:pStyle w:val="NormalWeb"/>
        <w:spacing w:before="0" w:beforeAutospacing="0" w:after="0" w:afterAutospacing="0" w:line="360" w:lineRule="auto"/>
        <w:jc w:val="center"/>
        <w:rPr>
          <w:rFonts w:ascii="Arial" w:hAnsi="Arial" w:cs="Arial"/>
          <w:color w:val="1C1E29"/>
        </w:rPr>
      </w:pPr>
    </w:p>
    <w:p w14:paraId="086A6C02" w14:textId="3409860C" w:rsidR="009925B2" w:rsidRPr="00053B8A" w:rsidRDefault="009925B2" w:rsidP="009925B2">
      <w:pPr>
        <w:pStyle w:val="NormalWeb"/>
        <w:spacing w:before="0" w:beforeAutospacing="0" w:after="0" w:afterAutospacing="0" w:line="360" w:lineRule="auto"/>
        <w:jc w:val="center"/>
        <w:rPr>
          <w:rFonts w:ascii="Arial" w:hAnsi="Arial" w:cs="Arial"/>
          <w:color w:val="1C1E29"/>
        </w:rPr>
      </w:pPr>
    </w:p>
    <w:p w14:paraId="6C685372" w14:textId="79563B7D" w:rsidR="009925B2" w:rsidRPr="00053B8A" w:rsidRDefault="009925B2" w:rsidP="009925B2">
      <w:pPr>
        <w:pStyle w:val="NormalWeb"/>
        <w:spacing w:before="0" w:beforeAutospacing="0" w:after="0" w:afterAutospacing="0" w:line="360" w:lineRule="auto"/>
        <w:jc w:val="center"/>
        <w:rPr>
          <w:rFonts w:ascii="Arial" w:hAnsi="Arial" w:cs="Arial"/>
          <w:color w:val="1C1E29"/>
        </w:rPr>
      </w:pPr>
    </w:p>
    <w:p w14:paraId="7C352D02" w14:textId="1F0C96A5" w:rsidR="009925B2" w:rsidRPr="00053B8A" w:rsidRDefault="009925B2" w:rsidP="009925B2">
      <w:pPr>
        <w:pStyle w:val="NormalWeb"/>
        <w:spacing w:before="0" w:beforeAutospacing="0" w:after="0" w:afterAutospacing="0" w:line="360" w:lineRule="auto"/>
        <w:jc w:val="center"/>
        <w:rPr>
          <w:rFonts w:ascii="Arial" w:hAnsi="Arial" w:cs="Arial"/>
          <w:color w:val="1C1E29"/>
        </w:rPr>
      </w:pPr>
    </w:p>
    <w:p w14:paraId="40FC0797" w14:textId="77777777" w:rsidR="009925B2" w:rsidRPr="00053B8A" w:rsidRDefault="009925B2" w:rsidP="009925B2">
      <w:pPr>
        <w:pStyle w:val="NormalWeb"/>
        <w:spacing w:before="0" w:beforeAutospacing="0" w:after="0" w:afterAutospacing="0" w:line="360" w:lineRule="auto"/>
        <w:jc w:val="center"/>
        <w:rPr>
          <w:rFonts w:ascii="Arial" w:hAnsi="Arial" w:cs="Arial"/>
          <w:color w:val="1C1E29"/>
        </w:rPr>
      </w:pPr>
    </w:p>
    <w:p w14:paraId="1C6C1BD6" w14:textId="7A749411" w:rsidR="009925B2" w:rsidRPr="00053B8A" w:rsidRDefault="009925B2" w:rsidP="009925B2">
      <w:pPr>
        <w:pStyle w:val="NormalWeb"/>
        <w:spacing w:before="0" w:beforeAutospacing="0" w:after="0" w:afterAutospacing="0" w:line="360" w:lineRule="auto"/>
        <w:jc w:val="center"/>
        <w:rPr>
          <w:rFonts w:ascii="Arial" w:hAnsi="Arial" w:cs="Arial"/>
          <w:color w:val="1C1E29"/>
        </w:rPr>
      </w:pPr>
    </w:p>
    <w:p w14:paraId="65613A46" w14:textId="5E05710F" w:rsidR="009925B2" w:rsidRPr="00053B8A" w:rsidRDefault="009925B2" w:rsidP="009925B2">
      <w:pPr>
        <w:pStyle w:val="NormalWeb"/>
        <w:spacing w:before="0" w:beforeAutospacing="0" w:after="0" w:afterAutospacing="0" w:line="360" w:lineRule="auto"/>
        <w:jc w:val="center"/>
        <w:rPr>
          <w:rFonts w:ascii="Arial" w:hAnsi="Arial" w:cs="Arial"/>
          <w:color w:val="1C1E29"/>
        </w:rPr>
      </w:pPr>
    </w:p>
    <w:p w14:paraId="03D48C93" w14:textId="0C218B45" w:rsidR="00E570E2" w:rsidRPr="00053B8A" w:rsidRDefault="00E570E2" w:rsidP="00E570E2">
      <w:pPr>
        <w:pStyle w:val="NormalWeb"/>
        <w:spacing w:before="0" w:beforeAutospacing="0" w:after="0" w:afterAutospacing="0" w:line="360" w:lineRule="auto"/>
        <w:jc w:val="center"/>
        <w:rPr>
          <w:rFonts w:ascii="Arial" w:hAnsi="Arial" w:cs="Arial"/>
          <w:color w:val="1C1E29"/>
        </w:rPr>
      </w:pPr>
    </w:p>
    <w:p w14:paraId="7DE87B74" w14:textId="5AD5037B" w:rsidR="00E570E2" w:rsidRPr="00053B8A" w:rsidRDefault="00E570E2" w:rsidP="00E570E2">
      <w:pPr>
        <w:pStyle w:val="NormalWeb"/>
        <w:spacing w:before="0" w:beforeAutospacing="0" w:after="0" w:afterAutospacing="0" w:line="360" w:lineRule="auto"/>
        <w:jc w:val="center"/>
        <w:rPr>
          <w:rFonts w:ascii="Arial" w:hAnsi="Arial" w:cs="Arial"/>
          <w:color w:val="1C1E29"/>
        </w:rPr>
      </w:pPr>
    </w:p>
    <w:p w14:paraId="38F366B7" w14:textId="6CB85CEF" w:rsidR="00E570E2" w:rsidRPr="00053B8A" w:rsidRDefault="00E570E2" w:rsidP="00E570E2">
      <w:pPr>
        <w:pStyle w:val="NormalWeb"/>
        <w:spacing w:before="0" w:beforeAutospacing="0" w:after="0" w:afterAutospacing="0" w:line="360" w:lineRule="auto"/>
        <w:jc w:val="center"/>
        <w:rPr>
          <w:rFonts w:ascii="Arial" w:hAnsi="Arial" w:cs="Arial"/>
          <w:color w:val="1C1E29"/>
        </w:rPr>
      </w:pPr>
    </w:p>
    <w:p w14:paraId="77D23096" w14:textId="559EDCC2" w:rsidR="00E570E2" w:rsidRPr="00053B8A" w:rsidRDefault="00E570E2" w:rsidP="00E570E2">
      <w:pPr>
        <w:pStyle w:val="NormalWeb"/>
        <w:spacing w:before="0" w:beforeAutospacing="0" w:after="0" w:afterAutospacing="0" w:line="360" w:lineRule="auto"/>
        <w:jc w:val="center"/>
        <w:rPr>
          <w:rFonts w:ascii="Arial" w:hAnsi="Arial" w:cs="Arial"/>
          <w:color w:val="1C1E29"/>
        </w:rPr>
      </w:pPr>
    </w:p>
    <w:p w14:paraId="6184B602" w14:textId="77777777" w:rsidR="00053B8A" w:rsidRPr="00053B8A" w:rsidRDefault="00053B8A" w:rsidP="00E570E2">
      <w:pPr>
        <w:pStyle w:val="NormalWeb"/>
        <w:spacing w:before="0" w:beforeAutospacing="0" w:after="0" w:afterAutospacing="0" w:line="360" w:lineRule="auto"/>
        <w:jc w:val="center"/>
        <w:rPr>
          <w:rFonts w:ascii="Arial" w:hAnsi="Arial" w:cs="Arial"/>
          <w:color w:val="1C1E29"/>
        </w:rPr>
      </w:pPr>
    </w:p>
    <w:p w14:paraId="3B475DF8" w14:textId="77777777" w:rsidR="00053B8A" w:rsidRPr="00053B8A" w:rsidRDefault="00053B8A" w:rsidP="00E570E2">
      <w:pPr>
        <w:pStyle w:val="NormalWeb"/>
        <w:spacing w:before="0" w:beforeAutospacing="0" w:after="0" w:afterAutospacing="0" w:line="360" w:lineRule="auto"/>
        <w:jc w:val="center"/>
        <w:rPr>
          <w:rFonts w:ascii="Arial" w:hAnsi="Arial" w:cs="Arial"/>
          <w:color w:val="1C1E29"/>
        </w:rPr>
      </w:pPr>
    </w:p>
    <w:p w14:paraId="3BECB482" w14:textId="77777777" w:rsidR="00053B8A" w:rsidRPr="00053B8A" w:rsidRDefault="00053B8A" w:rsidP="00E570E2">
      <w:pPr>
        <w:pStyle w:val="NormalWeb"/>
        <w:spacing w:before="0" w:beforeAutospacing="0" w:after="0" w:afterAutospacing="0" w:line="360" w:lineRule="auto"/>
        <w:jc w:val="center"/>
        <w:rPr>
          <w:rFonts w:ascii="Arial" w:hAnsi="Arial" w:cs="Arial"/>
          <w:color w:val="1C1E29"/>
        </w:rPr>
      </w:pPr>
    </w:p>
    <w:p w14:paraId="02D5A8A9" w14:textId="77777777" w:rsidR="00053B8A" w:rsidRPr="00053B8A" w:rsidRDefault="00053B8A" w:rsidP="00E570E2">
      <w:pPr>
        <w:pStyle w:val="NormalWeb"/>
        <w:spacing w:before="0" w:beforeAutospacing="0" w:after="0" w:afterAutospacing="0" w:line="360" w:lineRule="auto"/>
        <w:jc w:val="center"/>
        <w:rPr>
          <w:rFonts w:ascii="Arial" w:hAnsi="Arial" w:cs="Arial"/>
          <w:color w:val="1C1E29"/>
        </w:rPr>
      </w:pPr>
    </w:p>
    <w:p w14:paraId="59B40F2B" w14:textId="77777777" w:rsidR="00053B8A" w:rsidRPr="00053B8A" w:rsidRDefault="00053B8A" w:rsidP="00E570E2">
      <w:pPr>
        <w:pStyle w:val="NormalWeb"/>
        <w:spacing w:before="0" w:beforeAutospacing="0" w:after="0" w:afterAutospacing="0" w:line="360" w:lineRule="auto"/>
        <w:jc w:val="center"/>
        <w:rPr>
          <w:rFonts w:ascii="Arial" w:hAnsi="Arial" w:cs="Arial"/>
          <w:color w:val="1C1E29"/>
        </w:rPr>
      </w:pPr>
    </w:p>
    <w:p w14:paraId="7B2D0540" w14:textId="5FA99B87" w:rsidR="00E570E2" w:rsidRDefault="00053B8A" w:rsidP="00E570E2">
      <w:pPr>
        <w:pStyle w:val="NormalWeb"/>
        <w:spacing w:before="0" w:beforeAutospacing="0" w:after="0" w:afterAutospacing="0" w:line="360" w:lineRule="auto"/>
        <w:jc w:val="center"/>
        <w:rPr>
          <w:rFonts w:ascii="Arial" w:hAnsi="Arial" w:cs="Arial"/>
          <w:color w:val="1C1E29"/>
        </w:rPr>
      </w:pPr>
      <w:r w:rsidRPr="00053B8A">
        <w:rPr>
          <w:rFonts w:ascii="Arial" w:hAnsi="Arial" w:cs="Arial"/>
          <w:color w:val="1C1E29"/>
        </w:rPr>
        <w:t>CONTENTS</w:t>
      </w:r>
    </w:p>
    <w:p w14:paraId="55A3E015" w14:textId="77777777" w:rsidR="00053B8A" w:rsidRDefault="00053B8A" w:rsidP="00E570E2">
      <w:pPr>
        <w:pStyle w:val="NormalWeb"/>
        <w:spacing w:before="0" w:beforeAutospacing="0" w:after="0" w:afterAutospacing="0" w:line="360" w:lineRule="auto"/>
        <w:jc w:val="center"/>
        <w:rPr>
          <w:rFonts w:ascii="Arial" w:hAnsi="Arial" w:cs="Arial"/>
          <w:color w:val="1C1E29"/>
        </w:rPr>
      </w:pPr>
    </w:p>
    <w:p w14:paraId="64541F81" w14:textId="7FB868A7" w:rsidR="00053B8A" w:rsidRDefault="00053B8A" w:rsidP="003D1934">
      <w:pPr>
        <w:pStyle w:val="NormalWeb"/>
        <w:numPr>
          <w:ilvl w:val="0"/>
          <w:numId w:val="3"/>
        </w:numPr>
        <w:spacing w:before="0" w:beforeAutospacing="0" w:after="0" w:afterAutospacing="0" w:line="360" w:lineRule="auto"/>
        <w:rPr>
          <w:rFonts w:ascii="Arial" w:hAnsi="Arial" w:cs="Arial"/>
          <w:color w:val="1C1E29"/>
        </w:rPr>
      </w:pPr>
      <w:r>
        <w:rPr>
          <w:rFonts w:ascii="Arial" w:hAnsi="Arial" w:cs="Arial"/>
          <w:color w:val="1C1E29"/>
        </w:rPr>
        <w:t>Executive Summary………………………………………………………….. Page 3</w:t>
      </w:r>
    </w:p>
    <w:p w14:paraId="61086B97" w14:textId="77777777" w:rsidR="003D1934" w:rsidRPr="003D1934" w:rsidRDefault="003D1934" w:rsidP="003D1934">
      <w:pPr>
        <w:pStyle w:val="NormalWeb"/>
        <w:spacing w:before="0" w:beforeAutospacing="0" w:after="0" w:afterAutospacing="0" w:line="360" w:lineRule="auto"/>
        <w:ind w:left="360"/>
        <w:rPr>
          <w:rFonts w:ascii="Arial" w:hAnsi="Arial" w:cs="Arial"/>
          <w:color w:val="1C1E29"/>
        </w:rPr>
      </w:pPr>
    </w:p>
    <w:p w14:paraId="284BB585" w14:textId="2D1C97B1" w:rsidR="00053B8A" w:rsidRDefault="00053B8A" w:rsidP="003D1934">
      <w:pPr>
        <w:pStyle w:val="NormalWeb"/>
        <w:numPr>
          <w:ilvl w:val="0"/>
          <w:numId w:val="4"/>
        </w:numPr>
        <w:spacing w:before="0" w:beforeAutospacing="0" w:after="0" w:afterAutospacing="0" w:line="360" w:lineRule="auto"/>
        <w:rPr>
          <w:rFonts w:ascii="Arial" w:hAnsi="Arial" w:cs="Arial"/>
          <w:color w:val="1C1E29"/>
        </w:rPr>
      </w:pPr>
      <w:r>
        <w:rPr>
          <w:rFonts w:ascii="Arial" w:hAnsi="Arial" w:cs="Arial"/>
          <w:color w:val="1C1E29"/>
        </w:rPr>
        <w:t>Introduction……………………………………………………………………. .Page 3</w:t>
      </w:r>
    </w:p>
    <w:p w14:paraId="03F6C628" w14:textId="77777777" w:rsidR="003D1934" w:rsidRDefault="003D1934" w:rsidP="003D1934">
      <w:pPr>
        <w:pStyle w:val="NormalWeb"/>
        <w:spacing w:before="0" w:beforeAutospacing="0" w:after="0" w:afterAutospacing="0" w:line="360" w:lineRule="auto"/>
        <w:ind w:left="360"/>
        <w:rPr>
          <w:rFonts w:ascii="Arial" w:hAnsi="Arial" w:cs="Arial"/>
          <w:color w:val="1C1E29"/>
        </w:rPr>
      </w:pPr>
    </w:p>
    <w:p w14:paraId="00927332" w14:textId="0A0FF6DE" w:rsidR="00053B8A" w:rsidRDefault="00053B8A" w:rsidP="003D1934">
      <w:pPr>
        <w:pStyle w:val="NormalWeb"/>
        <w:numPr>
          <w:ilvl w:val="0"/>
          <w:numId w:val="4"/>
        </w:numPr>
        <w:spacing w:before="0" w:beforeAutospacing="0" w:after="0" w:afterAutospacing="0" w:line="360" w:lineRule="auto"/>
        <w:rPr>
          <w:rFonts w:ascii="Arial" w:hAnsi="Arial" w:cs="Arial"/>
          <w:color w:val="1C1E29"/>
        </w:rPr>
      </w:pPr>
      <w:r>
        <w:rPr>
          <w:rFonts w:ascii="Arial" w:hAnsi="Arial" w:cs="Arial"/>
          <w:color w:val="1C1E29"/>
        </w:rPr>
        <w:t xml:space="preserve">Company profile………………………………………………………………. Page </w:t>
      </w:r>
      <w:r w:rsidR="00B072AF">
        <w:rPr>
          <w:rFonts w:ascii="Arial" w:hAnsi="Arial" w:cs="Arial"/>
          <w:color w:val="1C1E29"/>
        </w:rPr>
        <w:t>3</w:t>
      </w:r>
    </w:p>
    <w:p w14:paraId="05656C1E" w14:textId="77777777" w:rsidR="003D1934" w:rsidRPr="003D1934" w:rsidRDefault="003D1934" w:rsidP="003D1934">
      <w:pPr>
        <w:pStyle w:val="NormalWeb"/>
        <w:spacing w:before="0" w:beforeAutospacing="0" w:after="0" w:afterAutospacing="0" w:line="360" w:lineRule="auto"/>
        <w:rPr>
          <w:rFonts w:ascii="Arial" w:hAnsi="Arial" w:cs="Arial"/>
          <w:color w:val="1C1E29"/>
        </w:rPr>
      </w:pPr>
    </w:p>
    <w:p w14:paraId="47789B12" w14:textId="1F102614" w:rsidR="00053B8A" w:rsidRPr="003D1934" w:rsidRDefault="00027B66" w:rsidP="003D1934">
      <w:pPr>
        <w:pStyle w:val="NormalWeb"/>
        <w:numPr>
          <w:ilvl w:val="0"/>
          <w:numId w:val="4"/>
        </w:numPr>
        <w:spacing w:before="0" w:beforeAutospacing="0" w:after="0" w:afterAutospacing="0" w:line="360" w:lineRule="auto"/>
        <w:rPr>
          <w:rFonts w:ascii="Arial" w:hAnsi="Arial" w:cs="Arial"/>
          <w:color w:val="1C1E29"/>
        </w:rPr>
      </w:pPr>
      <w:r>
        <w:rPr>
          <w:rFonts w:ascii="Arial" w:hAnsi="Arial" w:cs="Arial"/>
          <w:color w:val="1C1E29"/>
        </w:rPr>
        <w:t>Financial Ratios</w:t>
      </w:r>
      <w:r w:rsidR="00053B8A">
        <w:rPr>
          <w:rFonts w:ascii="Arial" w:hAnsi="Arial" w:cs="Arial"/>
          <w:color w:val="1C1E29"/>
        </w:rPr>
        <w:t>………………………………………………………………</w:t>
      </w:r>
      <w:r>
        <w:rPr>
          <w:rFonts w:ascii="Arial" w:hAnsi="Arial" w:cs="Arial"/>
          <w:color w:val="1C1E29"/>
        </w:rPr>
        <w:t>..</w:t>
      </w:r>
      <w:r w:rsidR="00053B8A">
        <w:rPr>
          <w:rFonts w:ascii="Arial" w:hAnsi="Arial" w:cs="Arial"/>
          <w:color w:val="1C1E29"/>
        </w:rPr>
        <w:t>Page 4</w:t>
      </w:r>
    </w:p>
    <w:p w14:paraId="2CE7AB19" w14:textId="783CFDE0" w:rsidR="00053B8A" w:rsidRDefault="00027B66" w:rsidP="003D1934">
      <w:pPr>
        <w:pStyle w:val="NormalWeb"/>
        <w:numPr>
          <w:ilvl w:val="1"/>
          <w:numId w:val="4"/>
        </w:numPr>
        <w:spacing w:before="0" w:beforeAutospacing="0" w:after="0" w:afterAutospacing="0" w:line="360" w:lineRule="auto"/>
        <w:rPr>
          <w:rFonts w:ascii="Arial" w:hAnsi="Arial" w:cs="Arial"/>
          <w:color w:val="1C1E29"/>
        </w:rPr>
      </w:pPr>
      <w:r>
        <w:rPr>
          <w:rFonts w:ascii="Arial" w:hAnsi="Arial" w:cs="Arial"/>
          <w:color w:val="1C1E29"/>
        </w:rPr>
        <w:t>Liquidity Ratios……………………………………………………………</w:t>
      </w:r>
      <w:r w:rsidR="00680C88">
        <w:rPr>
          <w:rFonts w:ascii="Arial" w:hAnsi="Arial" w:cs="Arial"/>
          <w:color w:val="1C1E29"/>
        </w:rPr>
        <w:t>.Page 5</w:t>
      </w:r>
    </w:p>
    <w:p w14:paraId="2B85037E" w14:textId="56E4691E" w:rsidR="00027B66" w:rsidRDefault="00027B66"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Current Ratio……………………………………………………….Page</w:t>
      </w:r>
      <w:r w:rsidR="00680C88">
        <w:rPr>
          <w:rFonts w:ascii="Arial" w:hAnsi="Arial" w:cs="Arial"/>
          <w:color w:val="1C1E29"/>
        </w:rPr>
        <w:t xml:space="preserve"> 5</w:t>
      </w:r>
    </w:p>
    <w:p w14:paraId="59F00D59" w14:textId="13A18F93" w:rsidR="00027B66" w:rsidRDefault="00027B66"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Quick Ratio………………………………………………………....Page</w:t>
      </w:r>
      <w:r w:rsidR="00680C88">
        <w:rPr>
          <w:rFonts w:ascii="Arial" w:hAnsi="Arial" w:cs="Arial"/>
          <w:color w:val="1C1E29"/>
        </w:rPr>
        <w:t xml:space="preserve"> 5</w:t>
      </w:r>
    </w:p>
    <w:p w14:paraId="0F6E21B5" w14:textId="380DAE8E" w:rsidR="00027B66" w:rsidRPr="003D1934" w:rsidRDefault="00027B66"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Cash Ratio………………………………………………………….Page</w:t>
      </w:r>
      <w:r w:rsidR="00680C88">
        <w:rPr>
          <w:rFonts w:ascii="Arial" w:hAnsi="Arial" w:cs="Arial"/>
          <w:color w:val="1C1E29"/>
        </w:rPr>
        <w:t xml:space="preserve"> 5</w:t>
      </w:r>
    </w:p>
    <w:p w14:paraId="107097EA" w14:textId="7FEE413E" w:rsidR="00027B66" w:rsidRPr="003D1934" w:rsidRDefault="00027B66" w:rsidP="003D1934">
      <w:pPr>
        <w:pStyle w:val="NormalWeb"/>
        <w:numPr>
          <w:ilvl w:val="1"/>
          <w:numId w:val="4"/>
        </w:numPr>
        <w:spacing w:before="0" w:beforeAutospacing="0" w:after="0" w:afterAutospacing="0" w:line="360" w:lineRule="auto"/>
        <w:rPr>
          <w:rFonts w:ascii="Arial" w:hAnsi="Arial" w:cs="Arial"/>
          <w:color w:val="1C1E29"/>
        </w:rPr>
      </w:pPr>
      <w:r w:rsidRPr="003D1934">
        <w:rPr>
          <w:rFonts w:ascii="Arial" w:hAnsi="Arial" w:cs="Arial"/>
          <w:color w:val="1C1E29"/>
        </w:rPr>
        <w:t xml:space="preserve">Profitability Ratios…………………………………………………………Page </w:t>
      </w:r>
      <w:r w:rsidR="00680C88">
        <w:rPr>
          <w:rFonts w:ascii="Arial" w:hAnsi="Arial" w:cs="Arial"/>
          <w:color w:val="1C1E29"/>
        </w:rPr>
        <w:t>6</w:t>
      </w:r>
    </w:p>
    <w:p w14:paraId="1B3C4171" w14:textId="7249E88C" w:rsidR="00027B66" w:rsidRDefault="00027B66"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Gross Profit Margin………………………………………………..Page</w:t>
      </w:r>
      <w:r w:rsidR="00680C88">
        <w:rPr>
          <w:rFonts w:ascii="Arial" w:hAnsi="Arial" w:cs="Arial"/>
          <w:color w:val="1C1E29"/>
        </w:rPr>
        <w:t xml:space="preserve"> 6</w:t>
      </w:r>
    </w:p>
    <w:p w14:paraId="7581FD59" w14:textId="186B3AD3" w:rsidR="00027B66" w:rsidRDefault="00027B66"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Net Profit Margin…………………………………………………..Page</w:t>
      </w:r>
      <w:r w:rsidR="00680C88">
        <w:rPr>
          <w:rFonts w:ascii="Arial" w:hAnsi="Arial" w:cs="Arial"/>
          <w:color w:val="1C1E29"/>
        </w:rPr>
        <w:t xml:space="preserve"> 6</w:t>
      </w:r>
    </w:p>
    <w:p w14:paraId="44E1AB3F" w14:textId="64BC5CC8" w:rsidR="00027B66" w:rsidRDefault="00027B66"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Return on Assets (ROA)………………………………………….Page</w:t>
      </w:r>
      <w:r w:rsidR="00680C88">
        <w:rPr>
          <w:rFonts w:ascii="Arial" w:hAnsi="Arial" w:cs="Arial"/>
          <w:color w:val="1C1E29"/>
        </w:rPr>
        <w:t xml:space="preserve"> 6</w:t>
      </w:r>
    </w:p>
    <w:p w14:paraId="4EC2ADC6" w14:textId="29406456" w:rsidR="00027B66" w:rsidRPr="003D1934" w:rsidRDefault="00027B66"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Return on Equity (ROE)…………………………………………..Page</w:t>
      </w:r>
      <w:r w:rsidR="00680C88">
        <w:rPr>
          <w:rFonts w:ascii="Arial" w:hAnsi="Arial" w:cs="Arial"/>
          <w:color w:val="1C1E29"/>
        </w:rPr>
        <w:t xml:space="preserve"> 7</w:t>
      </w:r>
    </w:p>
    <w:p w14:paraId="1C1228F5" w14:textId="085E4976" w:rsidR="00AD25D2" w:rsidRDefault="00AD25D2" w:rsidP="003D1934">
      <w:pPr>
        <w:pStyle w:val="NormalWeb"/>
        <w:numPr>
          <w:ilvl w:val="1"/>
          <w:numId w:val="4"/>
        </w:numPr>
        <w:spacing w:before="0" w:beforeAutospacing="0" w:after="0" w:afterAutospacing="0" w:line="360" w:lineRule="auto"/>
        <w:rPr>
          <w:rFonts w:ascii="Arial" w:hAnsi="Arial" w:cs="Arial"/>
          <w:color w:val="1C1E29"/>
        </w:rPr>
      </w:pPr>
      <w:r>
        <w:rPr>
          <w:rFonts w:ascii="Arial" w:hAnsi="Arial" w:cs="Arial"/>
          <w:color w:val="1C1E29"/>
        </w:rPr>
        <w:t>Efficiency Ratios</w:t>
      </w:r>
    </w:p>
    <w:p w14:paraId="526BB07B" w14:textId="2655FE80" w:rsidR="00AD25D2" w:rsidRDefault="00AD25D2"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Asset Turnover……………………………………………………Page</w:t>
      </w:r>
      <w:r w:rsidR="00680C88">
        <w:rPr>
          <w:rFonts w:ascii="Arial" w:hAnsi="Arial" w:cs="Arial"/>
          <w:color w:val="1C1E29"/>
        </w:rPr>
        <w:t xml:space="preserve"> 7</w:t>
      </w:r>
    </w:p>
    <w:p w14:paraId="24E3A13F" w14:textId="4C114460" w:rsidR="00AD25D2" w:rsidRDefault="00AD25D2"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 xml:space="preserve">Inventory Turnover……………………………………………….Page </w:t>
      </w:r>
      <w:r w:rsidR="00680C88">
        <w:rPr>
          <w:rFonts w:ascii="Arial" w:hAnsi="Arial" w:cs="Arial"/>
          <w:color w:val="1C1E29"/>
        </w:rPr>
        <w:t>7</w:t>
      </w:r>
    </w:p>
    <w:p w14:paraId="408BB8D3" w14:textId="4D78E27A" w:rsidR="00AD25D2" w:rsidRPr="003D1934" w:rsidRDefault="00AD25D2"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Accounts Receivable Turnover…………………………………</w:t>
      </w:r>
      <w:r w:rsidR="003D1934">
        <w:rPr>
          <w:rFonts w:ascii="Arial" w:hAnsi="Arial" w:cs="Arial"/>
          <w:color w:val="1C1E29"/>
        </w:rPr>
        <w:t>Page</w:t>
      </w:r>
      <w:r w:rsidR="00680C88">
        <w:rPr>
          <w:rFonts w:ascii="Arial" w:hAnsi="Arial" w:cs="Arial"/>
          <w:color w:val="1C1E29"/>
        </w:rPr>
        <w:t xml:space="preserve"> 7</w:t>
      </w:r>
    </w:p>
    <w:p w14:paraId="30244923" w14:textId="1BB1B355" w:rsidR="00AD25D2" w:rsidRDefault="00AD25D2" w:rsidP="003D1934">
      <w:pPr>
        <w:pStyle w:val="NormalWeb"/>
        <w:numPr>
          <w:ilvl w:val="1"/>
          <w:numId w:val="4"/>
        </w:numPr>
        <w:spacing w:before="0" w:beforeAutospacing="0" w:after="0" w:afterAutospacing="0" w:line="360" w:lineRule="auto"/>
        <w:rPr>
          <w:rFonts w:ascii="Arial" w:hAnsi="Arial" w:cs="Arial"/>
          <w:color w:val="1C1E29"/>
        </w:rPr>
      </w:pPr>
      <w:r>
        <w:rPr>
          <w:rFonts w:ascii="Arial" w:hAnsi="Arial" w:cs="Arial"/>
          <w:color w:val="1C1E29"/>
        </w:rPr>
        <w:t>Gearing Rations</w:t>
      </w:r>
    </w:p>
    <w:p w14:paraId="7B16929C" w14:textId="319546BA" w:rsidR="00AD25D2" w:rsidRDefault="00AD25D2"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Debt to Equity Ratio……………………………………………..Page</w:t>
      </w:r>
      <w:r w:rsidR="00680C88">
        <w:rPr>
          <w:rFonts w:ascii="Arial" w:hAnsi="Arial" w:cs="Arial"/>
          <w:color w:val="1C1E29"/>
        </w:rPr>
        <w:t xml:space="preserve"> 8</w:t>
      </w:r>
    </w:p>
    <w:p w14:paraId="32E45FE7" w14:textId="46C71055" w:rsidR="00AD25D2" w:rsidRDefault="00AD25D2" w:rsidP="003D1934">
      <w:pPr>
        <w:pStyle w:val="NormalWeb"/>
        <w:numPr>
          <w:ilvl w:val="2"/>
          <w:numId w:val="4"/>
        </w:numPr>
        <w:spacing w:before="0" w:beforeAutospacing="0" w:after="0" w:afterAutospacing="0" w:line="360" w:lineRule="auto"/>
        <w:rPr>
          <w:rFonts w:ascii="Arial" w:hAnsi="Arial" w:cs="Arial"/>
          <w:color w:val="1C1E29"/>
        </w:rPr>
      </w:pPr>
      <w:r>
        <w:rPr>
          <w:rFonts w:ascii="Arial" w:hAnsi="Arial" w:cs="Arial"/>
          <w:color w:val="1C1E29"/>
        </w:rPr>
        <w:t>Times Interest Earned Ratio……………………………………Page</w:t>
      </w:r>
      <w:r w:rsidR="00680C88">
        <w:rPr>
          <w:rFonts w:ascii="Arial" w:hAnsi="Arial" w:cs="Arial"/>
          <w:color w:val="1C1E29"/>
        </w:rPr>
        <w:t xml:space="preserve"> 8</w:t>
      </w:r>
    </w:p>
    <w:p w14:paraId="5B2BB93C" w14:textId="77777777" w:rsidR="003D1934" w:rsidRPr="003D1934" w:rsidRDefault="003D1934" w:rsidP="003D1934">
      <w:pPr>
        <w:pStyle w:val="NormalWeb"/>
        <w:spacing w:before="0" w:beforeAutospacing="0" w:after="0" w:afterAutospacing="0" w:line="360" w:lineRule="auto"/>
        <w:ind w:left="1440"/>
        <w:rPr>
          <w:rFonts w:ascii="Arial" w:hAnsi="Arial" w:cs="Arial"/>
          <w:color w:val="1C1E29"/>
        </w:rPr>
      </w:pPr>
    </w:p>
    <w:p w14:paraId="314FF62F" w14:textId="3E958A33" w:rsidR="00AD25D2" w:rsidRDefault="00AD25D2" w:rsidP="003D1934">
      <w:pPr>
        <w:pStyle w:val="NormalWeb"/>
        <w:numPr>
          <w:ilvl w:val="0"/>
          <w:numId w:val="4"/>
        </w:numPr>
        <w:spacing w:before="0" w:beforeAutospacing="0" w:after="0" w:afterAutospacing="0" w:line="360" w:lineRule="auto"/>
        <w:rPr>
          <w:rFonts w:ascii="Arial" w:hAnsi="Arial" w:cs="Arial"/>
          <w:color w:val="1C1E29"/>
        </w:rPr>
      </w:pPr>
      <w:r>
        <w:rPr>
          <w:rFonts w:ascii="Arial" w:hAnsi="Arial" w:cs="Arial"/>
          <w:color w:val="1C1E29"/>
        </w:rPr>
        <w:t>Limitations of Ratio Analysis……………………………………………….Page</w:t>
      </w:r>
      <w:r w:rsidR="00680C88">
        <w:rPr>
          <w:rFonts w:ascii="Arial" w:hAnsi="Arial" w:cs="Arial"/>
          <w:color w:val="1C1E29"/>
        </w:rPr>
        <w:t xml:space="preserve"> 8</w:t>
      </w:r>
    </w:p>
    <w:p w14:paraId="376E2237" w14:textId="77777777" w:rsidR="003D1934" w:rsidRDefault="003D1934" w:rsidP="003D1934">
      <w:pPr>
        <w:pStyle w:val="NormalWeb"/>
        <w:spacing w:before="0" w:beforeAutospacing="0" w:after="0" w:afterAutospacing="0" w:line="360" w:lineRule="auto"/>
        <w:ind w:left="360"/>
        <w:rPr>
          <w:rFonts w:ascii="Arial" w:hAnsi="Arial" w:cs="Arial"/>
          <w:color w:val="1C1E29"/>
        </w:rPr>
      </w:pPr>
    </w:p>
    <w:p w14:paraId="7E3FF5F5" w14:textId="09E39CC6" w:rsidR="00AD25D2" w:rsidRDefault="003D1934" w:rsidP="003D1934">
      <w:pPr>
        <w:pStyle w:val="NormalWeb"/>
        <w:numPr>
          <w:ilvl w:val="0"/>
          <w:numId w:val="4"/>
        </w:numPr>
        <w:spacing w:before="0" w:beforeAutospacing="0" w:after="0" w:afterAutospacing="0" w:line="360" w:lineRule="auto"/>
        <w:rPr>
          <w:rFonts w:ascii="Arial" w:hAnsi="Arial" w:cs="Arial"/>
          <w:color w:val="1C1E29"/>
        </w:rPr>
      </w:pPr>
      <w:r>
        <w:rPr>
          <w:rFonts w:ascii="Arial" w:hAnsi="Arial" w:cs="Arial"/>
          <w:color w:val="1C1E29"/>
        </w:rPr>
        <w:t>Recommendations………………………………………………………….Page</w:t>
      </w:r>
      <w:r w:rsidR="00680C88">
        <w:rPr>
          <w:rFonts w:ascii="Arial" w:hAnsi="Arial" w:cs="Arial"/>
          <w:color w:val="1C1E29"/>
        </w:rPr>
        <w:t xml:space="preserve"> 9</w:t>
      </w:r>
    </w:p>
    <w:p w14:paraId="172375A5" w14:textId="77777777" w:rsidR="003D1934" w:rsidRDefault="003D1934" w:rsidP="003D1934">
      <w:pPr>
        <w:pStyle w:val="NormalWeb"/>
        <w:spacing w:before="0" w:beforeAutospacing="0" w:after="0" w:afterAutospacing="0" w:line="360" w:lineRule="auto"/>
        <w:rPr>
          <w:rFonts w:ascii="Arial" w:hAnsi="Arial" w:cs="Arial"/>
          <w:color w:val="1C1E29"/>
        </w:rPr>
      </w:pPr>
    </w:p>
    <w:p w14:paraId="48FDD1F0" w14:textId="7C020E06" w:rsidR="003D1934" w:rsidRDefault="003D1934" w:rsidP="003D1934">
      <w:pPr>
        <w:pStyle w:val="NormalWeb"/>
        <w:numPr>
          <w:ilvl w:val="0"/>
          <w:numId w:val="4"/>
        </w:numPr>
        <w:spacing w:before="0" w:beforeAutospacing="0" w:after="0" w:afterAutospacing="0" w:line="360" w:lineRule="auto"/>
        <w:rPr>
          <w:rFonts w:ascii="Arial" w:hAnsi="Arial" w:cs="Arial"/>
          <w:color w:val="1C1E29"/>
        </w:rPr>
      </w:pPr>
      <w:r>
        <w:rPr>
          <w:rFonts w:ascii="Arial" w:hAnsi="Arial" w:cs="Arial"/>
          <w:color w:val="1C1E29"/>
        </w:rPr>
        <w:t>References………………………………………………………………….Page</w:t>
      </w:r>
      <w:r w:rsidR="00680C88">
        <w:rPr>
          <w:rFonts w:ascii="Arial" w:hAnsi="Arial" w:cs="Arial"/>
          <w:color w:val="1C1E29"/>
        </w:rPr>
        <w:t xml:space="preserve"> 10</w:t>
      </w:r>
    </w:p>
    <w:p w14:paraId="29660D2F" w14:textId="77777777" w:rsidR="003D1934" w:rsidRDefault="003D1934" w:rsidP="003D1934">
      <w:pPr>
        <w:pStyle w:val="NormalWeb"/>
        <w:spacing w:before="0" w:beforeAutospacing="0" w:after="0" w:afterAutospacing="0" w:line="360" w:lineRule="auto"/>
        <w:rPr>
          <w:rFonts w:ascii="Arial" w:hAnsi="Arial" w:cs="Arial"/>
          <w:color w:val="1C1E29"/>
        </w:rPr>
      </w:pPr>
    </w:p>
    <w:p w14:paraId="37EA9CFE" w14:textId="77777777" w:rsidR="00680C88" w:rsidRDefault="00680C88" w:rsidP="003D1934">
      <w:pPr>
        <w:pStyle w:val="NormalWeb"/>
        <w:spacing w:before="0" w:beforeAutospacing="0" w:after="0" w:afterAutospacing="0" w:line="360" w:lineRule="auto"/>
        <w:rPr>
          <w:rFonts w:ascii="Arial" w:hAnsi="Arial" w:cs="Arial"/>
          <w:color w:val="1C1E29"/>
        </w:rPr>
      </w:pPr>
    </w:p>
    <w:p w14:paraId="6BB6D22B" w14:textId="32848B3B" w:rsidR="00053B8A" w:rsidRDefault="003D1934" w:rsidP="003D1934">
      <w:pPr>
        <w:pStyle w:val="NormalWeb"/>
        <w:spacing w:before="0" w:beforeAutospacing="0" w:after="0" w:afterAutospacing="0" w:line="360" w:lineRule="auto"/>
        <w:rPr>
          <w:rFonts w:ascii="Arial" w:hAnsi="Arial" w:cs="Arial"/>
          <w:b/>
          <w:color w:val="1C1E29"/>
        </w:rPr>
      </w:pPr>
      <w:r>
        <w:rPr>
          <w:rFonts w:ascii="Arial" w:hAnsi="Arial" w:cs="Arial"/>
          <w:b/>
          <w:color w:val="1C1E29"/>
        </w:rPr>
        <w:lastRenderedPageBreak/>
        <w:t>1.</w:t>
      </w:r>
      <w:r w:rsidRPr="003D1934">
        <w:rPr>
          <w:rFonts w:ascii="Arial" w:hAnsi="Arial" w:cs="Arial"/>
          <w:b/>
          <w:color w:val="1C1E29"/>
        </w:rPr>
        <w:t xml:space="preserve"> </w:t>
      </w:r>
      <w:r>
        <w:rPr>
          <w:rFonts w:ascii="Arial" w:hAnsi="Arial" w:cs="Arial"/>
          <w:b/>
          <w:color w:val="1C1E29"/>
        </w:rPr>
        <w:t xml:space="preserve"> </w:t>
      </w:r>
      <w:r w:rsidRPr="003D1934">
        <w:rPr>
          <w:rFonts w:ascii="Arial" w:hAnsi="Arial" w:cs="Arial"/>
          <w:b/>
          <w:color w:val="1C1E29"/>
        </w:rPr>
        <w:t>Executive Summary</w:t>
      </w:r>
    </w:p>
    <w:p w14:paraId="1BE38165" w14:textId="6529AFC0" w:rsidR="00671B8E" w:rsidRPr="00671B8E" w:rsidRDefault="00671B8E" w:rsidP="003D1934">
      <w:pPr>
        <w:pStyle w:val="NormalWeb"/>
        <w:spacing w:before="0" w:beforeAutospacing="0" w:after="0" w:afterAutospacing="0" w:line="360" w:lineRule="auto"/>
        <w:rPr>
          <w:rFonts w:ascii="Arial" w:hAnsi="Arial" w:cs="Arial"/>
          <w:color w:val="1C1E29"/>
        </w:rPr>
      </w:pPr>
      <w:r>
        <w:rPr>
          <w:rFonts w:ascii="Arial" w:hAnsi="Arial" w:cs="Arial"/>
          <w:color w:val="1C1E29"/>
        </w:rPr>
        <w:t xml:space="preserve">Initially an in-depth description of Associated British Foods plc is conducted. In this it can be seen that they are large global company with revenue in 2018 of </w:t>
      </w:r>
      <w:r w:rsidRPr="00053B8A">
        <w:rPr>
          <w:rFonts w:ascii="Arial" w:hAnsi="Arial" w:cs="Arial"/>
          <w:color w:val="1C1E29"/>
        </w:rPr>
        <w:t>£15,574 million</w:t>
      </w:r>
      <w:r>
        <w:rPr>
          <w:rFonts w:ascii="Arial" w:hAnsi="Arial" w:cs="Arial"/>
          <w:color w:val="1C1E29"/>
        </w:rPr>
        <w:t xml:space="preserve">. A proposal is then set out to understand the importance and significance of using financial analysis ratios and tools in order for multiple stakeholders to manage and interpret the progression of the company. A financial analysis is then under taken with various financial ratios calculated. This shows that although Associated British Foods plc </w:t>
      </w:r>
      <w:r w:rsidR="004C1272">
        <w:rPr>
          <w:rFonts w:ascii="Arial" w:hAnsi="Arial" w:cs="Arial"/>
          <w:color w:val="1C1E29"/>
        </w:rPr>
        <w:t xml:space="preserve">has high revenue it has had a tough year in all financial areas from </w:t>
      </w:r>
      <w:r>
        <w:rPr>
          <w:rFonts w:ascii="Arial" w:hAnsi="Arial" w:cs="Arial"/>
          <w:color w:val="1C1E29"/>
        </w:rPr>
        <w:t xml:space="preserve">2017 to 2018. </w:t>
      </w:r>
      <w:r w:rsidR="004C1272">
        <w:rPr>
          <w:rFonts w:ascii="Arial" w:hAnsi="Arial" w:cs="Arial"/>
          <w:color w:val="1C1E29"/>
        </w:rPr>
        <w:t xml:space="preserve">This demise in financial stability is then attributed to numerous caused. Finally, recommendations and conclusions are made in ways in which ABF can improve on this data.  </w:t>
      </w:r>
      <w:r>
        <w:rPr>
          <w:rFonts w:ascii="Arial" w:hAnsi="Arial" w:cs="Arial"/>
          <w:color w:val="1C1E29"/>
        </w:rPr>
        <w:t xml:space="preserve"> </w:t>
      </w:r>
    </w:p>
    <w:p w14:paraId="08C07711" w14:textId="77777777" w:rsidR="00053B8A" w:rsidRPr="00053B8A" w:rsidRDefault="00053B8A" w:rsidP="00E570E2">
      <w:pPr>
        <w:pStyle w:val="NormalWeb"/>
        <w:spacing w:before="0" w:beforeAutospacing="0" w:after="0" w:afterAutospacing="0" w:line="360" w:lineRule="auto"/>
        <w:jc w:val="center"/>
        <w:rPr>
          <w:rFonts w:ascii="Arial" w:hAnsi="Arial" w:cs="Arial"/>
          <w:color w:val="1C1E29"/>
        </w:rPr>
      </w:pPr>
    </w:p>
    <w:p w14:paraId="74F4E745" w14:textId="78E7742F" w:rsidR="00E570E2" w:rsidRPr="00053B8A" w:rsidRDefault="00E570E2" w:rsidP="00027B66">
      <w:pPr>
        <w:pStyle w:val="NormalWeb"/>
        <w:numPr>
          <w:ilvl w:val="0"/>
          <w:numId w:val="3"/>
        </w:numPr>
        <w:spacing w:before="0" w:beforeAutospacing="0" w:after="0" w:afterAutospacing="0" w:line="360" w:lineRule="auto"/>
        <w:rPr>
          <w:rFonts w:ascii="Arial" w:hAnsi="Arial" w:cs="Arial"/>
          <w:b/>
          <w:bCs/>
          <w:color w:val="1C1E29"/>
        </w:rPr>
      </w:pPr>
      <w:r w:rsidRPr="00053B8A">
        <w:rPr>
          <w:rFonts w:ascii="Arial" w:hAnsi="Arial" w:cs="Arial"/>
          <w:b/>
          <w:bCs/>
          <w:color w:val="1C1E29"/>
        </w:rPr>
        <w:t>Introduction </w:t>
      </w:r>
    </w:p>
    <w:p w14:paraId="31006603" w14:textId="69B4F314" w:rsidR="00053B8A" w:rsidRPr="00027B66" w:rsidRDefault="00E570E2" w:rsidP="00027B66">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Over the years, strategic management has become a powerful tool and value-creating framework that help top</w:t>
      </w:r>
      <w:r w:rsidR="003D1934">
        <w:rPr>
          <w:rFonts w:ascii="Arial" w:hAnsi="Arial" w:cs="Arial"/>
          <w:color w:val="1C1E29"/>
        </w:rPr>
        <w:t>-level management assess, analys</w:t>
      </w:r>
      <w:r w:rsidRPr="00053B8A">
        <w:rPr>
          <w:rFonts w:ascii="Arial" w:hAnsi="Arial" w:cs="Arial"/>
          <w:color w:val="1C1E29"/>
        </w:rPr>
        <w:t xml:space="preserve">e, and value their business using key financial metrics. Through financial analysis, managers can get inside-out perspective and dive into internal strategy changes, IPO or pursue horizontal or vertical integration to improve their bottom-line. Management often uses financial ratios to </w:t>
      </w:r>
      <w:r w:rsidR="003D1934" w:rsidRPr="00053B8A">
        <w:rPr>
          <w:rFonts w:ascii="Arial" w:hAnsi="Arial" w:cs="Arial"/>
          <w:color w:val="1C1E29"/>
        </w:rPr>
        <w:t>analyse</w:t>
      </w:r>
      <w:r w:rsidRPr="00053B8A">
        <w:rPr>
          <w:rFonts w:ascii="Arial" w:hAnsi="Arial" w:cs="Arial"/>
          <w:color w:val="1C1E29"/>
        </w:rPr>
        <w:t xml:space="preserve"> the financial performance of their critical operations and compare it with industry benchmarks or performances of their competitors</w:t>
      </w:r>
      <w:r w:rsidR="009925B2" w:rsidRPr="00053B8A">
        <w:rPr>
          <w:rFonts w:ascii="Arial" w:hAnsi="Arial" w:cs="Arial"/>
          <w:color w:val="1C1E29"/>
        </w:rPr>
        <w:t xml:space="preserve"> (</w:t>
      </w:r>
      <w:r w:rsidR="009925B2" w:rsidRPr="00053B8A">
        <w:rPr>
          <w:rFonts w:ascii="Arial" w:hAnsi="Arial" w:cs="Arial"/>
          <w:szCs w:val="28"/>
        </w:rPr>
        <w:t>Barnes, 2007)</w:t>
      </w:r>
      <w:r w:rsidR="00F31DD8">
        <w:rPr>
          <w:rFonts w:ascii="Arial" w:hAnsi="Arial" w:cs="Arial"/>
          <w:color w:val="1C1E29"/>
        </w:rPr>
        <w:t>. In t</w:t>
      </w:r>
      <w:r w:rsidRPr="00053B8A">
        <w:rPr>
          <w:rFonts w:ascii="Arial" w:hAnsi="Arial" w:cs="Arial"/>
          <w:color w:val="1C1E29"/>
        </w:rPr>
        <w:t>his way, a firm can identify areas which are performing and those that require improvements to stay competitive. In this brief, financial ratio analysis will be used to assess the financial performance of Associated British Foods, a British multinational firm that deals with food processing and retailing. The analysis will also compare ABF performance against industry metrics to determine where the firm stands competitively and make recommendations on how it can improve to stay ahead of its competitors. </w:t>
      </w:r>
    </w:p>
    <w:p w14:paraId="77565F1F" w14:textId="77777777" w:rsidR="00053B8A" w:rsidRDefault="00053B8A" w:rsidP="00E570E2">
      <w:pPr>
        <w:pStyle w:val="NormalWeb"/>
        <w:spacing w:before="0" w:beforeAutospacing="0" w:after="0" w:afterAutospacing="0" w:line="360" w:lineRule="auto"/>
        <w:rPr>
          <w:rFonts w:ascii="Arial" w:hAnsi="Arial" w:cs="Arial"/>
          <w:b/>
          <w:bCs/>
          <w:color w:val="1C1E29"/>
        </w:rPr>
      </w:pPr>
    </w:p>
    <w:p w14:paraId="645EADAD" w14:textId="4454347E" w:rsidR="00E570E2" w:rsidRPr="00053B8A" w:rsidRDefault="00E570E2" w:rsidP="00027B66">
      <w:pPr>
        <w:pStyle w:val="NormalWeb"/>
        <w:numPr>
          <w:ilvl w:val="0"/>
          <w:numId w:val="3"/>
        </w:numPr>
        <w:spacing w:before="0" w:beforeAutospacing="0" w:after="0" w:afterAutospacing="0" w:line="360" w:lineRule="auto"/>
        <w:rPr>
          <w:rFonts w:ascii="Arial" w:hAnsi="Arial" w:cs="Arial"/>
          <w:b/>
          <w:bCs/>
          <w:color w:val="1C1E29"/>
        </w:rPr>
      </w:pPr>
      <w:r w:rsidRPr="00053B8A">
        <w:rPr>
          <w:rFonts w:ascii="Arial" w:hAnsi="Arial" w:cs="Arial"/>
          <w:b/>
          <w:bCs/>
          <w:color w:val="1C1E29"/>
        </w:rPr>
        <w:t xml:space="preserve">Company Profile </w:t>
      </w:r>
    </w:p>
    <w:p w14:paraId="55359713" w14:textId="0974D397" w:rsidR="009925B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 xml:space="preserve">Associated British Foods (ABF) Inc. is a British multinational company that processes and retails food products. It was founded in 1935, and it is headquartered in London, United Kingdom. ABF is a public limited company that trades in London Stock Exchange (LSE) with an abbreviation of ABF and is one of FTSE 100 Companies. It operates in food retail processing (consumer products) industry and </w:t>
      </w:r>
      <w:r w:rsidRPr="00053B8A">
        <w:rPr>
          <w:rFonts w:ascii="Arial" w:hAnsi="Arial" w:cs="Arial"/>
          <w:color w:val="1C1E29"/>
        </w:rPr>
        <w:lastRenderedPageBreak/>
        <w:t>consumer staples sector. The company manufactures, processes, and retails food products, including sugar and grocery items</w:t>
      </w:r>
      <w:r w:rsidR="00F31DD8">
        <w:rPr>
          <w:rFonts w:ascii="Arial" w:hAnsi="Arial" w:cs="Arial"/>
          <w:color w:val="1C1E29"/>
        </w:rPr>
        <w:t xml:space="preserve"> (Associated British Foods, 2018)</w:t>
      </w:r>
      <w:r w:rsidRPr="00053B8A">
        <w:rPr>
          <w:rFonts w:ascii="Arial" w:hAnsi="Arial" w:cs="Arial"/>
          <w:color w:val="1C1E29"/>
        </w:rPr>
        <w:t xml:space="preserve">. </w:t>
      </w:r>
    </w:p>
    <w:p w14:paraId="6447CA29" w14:textId="17274CA0" w:rsidR="009925B2" w:rsidRPr="00053B8A" w:rsidRDefault="009925B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ABF</w:t>
      </w:r>
      <w:r w:rsidR="00E570E2" w:rsidRPr="00053B8A">
        <w:rPr>
          <w:rFonts w:ascii="Arial" w:hAnsi="Arial" w:cs="Arial"/>
          <w:color w:val="1C1E29"/>
        </w:rPr>
        <w:t xml:space="preserve"> operates in five segments – grocery, sugar, agriculture, ingredients, and retail – and has over 137,000 employees. In the sugar segment, ABF is the leading sugar business across the globe, with more than 32,000 workers across 24 factories and ten countries; and produces over four tonnes of sugar annually. In the agriculture segment, AB Agri has gone to become a significant force in the agriculture sector in the UK; today, the company has extended its agriculture to global markets. In this segment, the company supplies technology-based goods to farmers, processors, retailers, feed and food manufacturers; facilitates over 70 countries. In the retail segment, ABF subsidiary Primark is a successful retail group that operates in the value fashion in major countries in Europe and has over 360 stores</w:t>
      </w:r>
      <w:r w:rsidR="00F31DD8">
        <w:rPr>
          <w:rFonts w:ascii="Arial" w:hAnsi="Arial" w:cs="Arial"/>
          <w:color w:val="1C1E29"/>
        </w:rPr>
        <w:t xml:space="preserve"> (Associated British Foods, 2018)</w:t>
      </w:r>
      <w:r w:rsidR="00E570E2" w:rsidRPr="00053B8A">
        <w:rPr>
          <w:rFonts w:ascii="Arial" w:hAnsi="Arial" w:cs="Arial"/>
          <w:color w:val="1C1E29"/>
        </w:rPr>
        <w:t xml:space="preserve">. </w:t>
      </w:r>
    </w:p>
    <w:p w14:paraId="4142D1B3" w14:textId="6F9810AF" w:rsidR="00053B8A" w:rsidRPr="00053B8A" w:rsidRDefault="00E570E2" w:rsidP="00027B66">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Financially, the company</w:t>
      </w:r>
      <w:r w:rsidR="004C1272">
        <w:rPr>
          <w:rFonts w:ascii="Arial" w:hAnsi="Arial" w:cs="Arial"/>
          <w:color w:val="1C1E29"/>
        </w:rPr>
        <w:t>, on the initial outlook, looks like it is performing well</w:t>
      </w:r>
      <w:r w:rsidRPr="00053B8A">
        <w:rPr>
          <w:rFonts w:ascii="Arial" w:hAnsi="Arial" w:cs="Arial"/>
          <w:color w:val="1C1E29"/>
        </w:rPr>
        <w:t xml:space="preserve">. In 2018, the company posted revenues </w:t>
      </w:r>
      <w:r w:rsidR="005246FC" w:rsidRPr="00053B8A">
        <w:rPr>
          <w:rFonts w:ascii="Arial" w:hAnsi="Arial" w:cs="Arial"/>
          <w:color w:val="1C1E29"/>
        </w:rPr>
        <w:t>totalling</w:t>
      </w:r>
      <w:r w:rsidRPr="00053B8A">
        <w:rPr>
          <w:rFonts w:ascii="Arial" w:hAnsi="Arial" w:cs="Arial"/>
          <w:color w:val="1C1E29"/>
        </w:rPr>
        <w:t xml:space="preserve"> £15,574 million, operating income of £1,344 million, and net income of £1,022 million. The stock is currently trading as at £2,229.00</w:t>
      </w:r>
      <w:r w:rsidR="0030389F">
        <w:rPr>
          <w:rFonts w:ascii="Arial" w:hAnsi="Arial" w:cs="Arial"/>
          <w:color w:val="1C1E29"/>
        </w:rPr>
        <w:t xml:space="preserve"> (Investing.com, 2019)</w:t>
      </w:r>
      <w:r w:rsidRPr="00053B8A">
        <w:rPr>
          <w:rFonts w:ascii="Arial" w:hAnsi="Arial" w:cs="Arial"/>
          <w:color w:val="1C1E29"/>
        </w:rPr>
        <w:t>. ABF’s management perspective is to remain the market leader by focusing on investments, especially in research and development, environmental policy, capital expenditure, and its workforce. Their mission is to offer safe, nutritious, affordable food products, clothing items, and services that are in great value for money</w:t>
      </w:r>
      <w:r w:rsidR="0030389F">
        <w:rPr>
          <w:rFonts w:ascii="Arial" w:hAnsi="Arial" w:cs="Arial"/>
          <w:color w:val="1C1E29"/>
        </w:rPr>
        <w:t xml:space="preserve"> (Associated British Foods, 2018)</w:t>
      </w:r>
      <w:r w:rsidR="0030389F" w:rsidRPr="00053B8A">
        <w:rPr>
          <w:rFonts w:ascii="Arial" w:hAnsi="Arial" w:cs="Arial"/>
          <w:color w:val="1C1E29"/>
        </w:rPr>
        <w:t>.</w:t>
      </w:r>
      <w:r w:rsidRPr="00053B8A">
        <w:rPr>
          <w:rFonts w:ascii="Arial" w:hAnsi="Arial" w:cs="Arial"/>
          <w:color w:val="1C1E29"/>
        </w:rPr>
        <w:t> </w:t>
      </w:r>
    </w:p>
    <w:p w14:paraId="62335C91" w14:textId="77777777" w:rsidR="00053B8A" w:rsidRPr="00053B8A" w:rsidRDefault="00053B8A" w:rsidP="00053B8A">
      <w:pPr>
        <w:pStyle w:val="NormalWeb"/>
        <w:spacing w:before="0" w:beforeAutospacing="0" w:after="0" w:afterAutospacing="0" w:line="360" w:lineRule="auto"/>
        <w:rPr>
          <w:rFonts w:ascii="Arial" w:hAnsi="Arial" w:cs="Arial"/>
          <w:b/>
          <w:bCs/>
          <w:color w:val="1C1E29"/>
        </w:rPr>
      </w:pPr>
    </w:p>
    <w:p w14:paraId="01CF67AE" w14:textId="2A9A7596" w:rsidR="00E570E2" w:rsidRPr="00053B8A" w:rsidRDefault="00027B66" w:rsidP="00027B66">
      <w:pPr>
        <w:pStyle w:val="NormalWeb"/>
        <w:numPr>
          <w:ilvl w:val="0"/>
          <w:numId w:val="3"/>
        </w:numPr>
        <w:spacing w:before="0" w:beforeAutospacing="0" w:after="0" w:afterAutospacing="0" w:line="360" w:lineRule="auto"/>
        <w:rPr>
          <w:rFonts w:ascii="Arial" w:hAnsi="Arial" w:cs="Arial"/>
          <w:b/>
          <w:bCs/>
          <w:color w:val="1C1E29"/>
        </w:rPr>
      </w:pPr>
      <w:r>
        <w:rPr>
          <w:rFonts w:ascii="Arial" w:hAnsi="Arial" w:cs="Arial"/>
          <w:b/>
          <w:bCs/>
          <w:color w:val="1C1E29"/>
        </w:rPr>
        <w:t xml:space="preserve"> </w:t>
      </w:r>
      <w:r w:rsidR="00E570E2" w:rsidRPr="00053B8A">
        <w:rPr>
          <w:rFonts w:ascii="Arial" w:hAnsi="Arial" w:cs="Arial"/>
          <w:b/>
          <w:bCs/>
          <w:color w:val="1C1E29"/>
        </w:rPr>
        <w:t xml:space="preserve">Financial Ratios </w:t>
      </w:r>
    </w:p>
    <w:p w14:paraId="0CC93B22" w14:textId="278F2D2A" w:rsidR="00E570E2" w:rsidRDefault="003D1934"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Financial ratios analys</w:t>
      </w:r>
      <w:r>
        <w:rPr>
          <w:rFonts w:ascii="Arial" w:hAnsi="Arial" w:cs="Arial"/>
          <w:color w:val="1C1E29"/>
        </w:rPr>
        <w:t>es are essential</w:t>
      </w:r>
      <w:r w:rsidRPr="00053B8A">
        <w:rPr>
          <w:rFonts w:ascii="Arial" w:hAnsi="Arial" w:cs="Arial"/>
          <w:color w:val="1C1E29"/>
        </w:rPr>
        <w:t xml:space="preserve"> to effective financial management and planning in a business. </w:t>
      </w:r>
      <w:r w:rsidR="00E570E2" w:rsidRPr="00053B8A">
        <w:rPr>
          <w:rFonts w:ascii="Arial" w:hAnsi="Arial" w:cs="Arial"/>
          <w:color w:val="1C1E29"/>
        </w:rPr>
        <w:t>Ratios refer to mathematical comparisons of major financial statement categories or accounts. The analysis on these categories show relationships between accounts in financial statements and are critical since they help the firm management, investors, and creditors understand how well the company is performing, compare its performance with those of competitors, and determine areas that require improvement</w:t>
      </w:r>
      <w:r w:rsidR="009925B2" w:rsidRPr="00053B8A">
        <w:rPr>
          <w:rFonts w:ascii="Arial" w:hAnsi="Arial" w:cs="Arial"/>
          <w:color w:val="1C1E29"/>
        </w:rPr>
        <w:t xml:space="preserve"> (</w:t>
      </w:r>
      <w:r w:rsidR="009925B2" w:rsidRPr="00053B8A">
        <w:rPr>
          <w:rFonts w:ascii="Arial" w:hAnsi="Arial" w:cs="Arial"/>
          <w:szCs w:val="28"/>
        </w:rPr>
        <w:t>Babalola &amp; Abiola, 2013)</w:t>
      </w:r>
      <w:r w:rsidR="00E570E2" w:rsidRPr="00053B8A">
        <w:rPr>
          <w:rFonts w:ascii="Arial" w:hAnsi="Arial" w:cs="Arial"/>
          <w:color w:val="1C1E29"/>
        </w:rPr>
        <w:t xml:space="preserve">. Today, financial ratios are the </w:t>
      </w:r>
      <w:r w:rsidR="005246FC" w:rsidRPr="00053B8A">
        <w:rPr>
          <w:rFonts w:ascii="Arial" w:hAnsi="Arial" w:cs="Arial"/>
          <w:color w:val="1C1E29"/>
        </w:rPr>
        <w:t>most common tools used in analys</w:t>
      </w:r>
      <w:r w:rsidR="00E570E2" w:rsidRPr="00053B8A">
        <w:rPr>
          <w:rFonts w:ascii="Arial" w:hAnsi="Arial" w:cs="Arial"/>
          <w:color w:val="1C1E29"/>
        </w:rPr>
        <w:t xml:space="preserve">ing the financial health of a business because </w:t>
      </w:r>
      <w:r w:rsidR="005246FC" w:rsidRPr="00053B8A">
        <w:rPr>
          <w:rFonts w:ascii="Arial" w:hAnsi="Arial" w:cs="Arial"/>
          <w:color w:val="1C1E29"/>
        </w:rPr>
        <w:t>they are easy to compute, analys</w:t>
      </w:r>
      <w:r w:rsidR="00E570E2" w:rsidRPr="00053B8A">
        <w:rPr>
          <w:rFonts w:ascii="Arial" w:hAnsi="Arial" w:cs="Arial"/>
          <w:color w:val="1C1E29"/>
        </w:rPr>
        <w:t>e, and understand</w:t>
      </w:r>
      <w:r w:rsidR="009925B2" w:rsidRPr="00053B8A">
        <w:rPr>
          <w:rFonts w:ascii="Arial" w:hAnsi="Arial" w:cs="Arial"/>
          <w:color w:val="1C1E29"/>
        </w:rPr>
        <w:t xml:space="preserve"> (</w:t>
      </w:r>
      <w:r w:rsidR="009925B2" w:rsidRPr="00053B8A">
        <w:rPr>
          <w:rFonts w:ascii="Arial" w:hAnsi="Arial" w:cs="Arial"/>
          <w:szCs w:val="28"/>
        </w:rPr>
        <w:t>Bradley, Desai &amp; Kim, 2008)</w:t>
      </w:r>
      <w:r w:rsidR="00E570E2" w:rsidRPr="00053B8A">
        <w:rPr>
          <w:rFonts w:ascii="Arial" w:hAnsi="Arial" w:cs="Arial"/>
          <w:color w:val="1C1E29"/>
        </w:rPr>
        <w:t xml:space="preserve">. For ABF, financial areas are done to evaluate the company’s performance and financial health using data of their last two accounting periods – </w:t>
      </w:r>
      <w:r w:rsidR="00E570E2" w:rsidRPr="00053B8A">
        <w:rPr>
          <w:rFonts w:ascii="Arial" w:hAnsi="Arial" w:cs="Arial"/>
          <w:color w:val="1C1E29"/>
        </w:rPr>
        <w:lastRenderedPageBreak/>
        <w:t>2017 and 2018. Here, financial ratios will be used as quantitative tools to gain insight into the firm’s operational efficiency, liquidity, and profitability by comparing data contained in their financial statements in the firm’s annual report</w:t>
      </w:r>
      <w:r w:rsidR="005246FC" w:rsidRPr="00053B8A">
        <w:rPr>
          <w:rFonts w:ascii="Arial" w:hAnsi="Arial" w:cs="Arial"/>
          <w:color w:val="1C1E29"/>
        </w:rPr>
        <w:t>s. Financial ratios to be analys</w:t>
      </w:r>
      <w:r w:rsidR="00E570E2" w:rsidRPr="00053B8A">
        <w:rPr>
          <w:rFonts w:ascii="Arial" w:hAnsi="Arial" w:cs="Arial"/>
          <w:color w:val="1C1E29"/>
        </w:rPr>
        <w:t>ed includes l</w:t>
      </w:r>
      <w:r w:rsidR="0030389F">
        <w:rPr>
          <w:rFonts w:ascii="Arial" w:hAnsi="Arial" w:cs="Arial"/>
          <w:color w:val="1C1E29"/>
        </w:rPr>
        <w:t>iquidity ratios</w:t>
      </w:r>
      <w:r w:rsidR="00E570E2" w:rsidRPr="00053B8A">
        <w:rPr>
          <w:rFonts w:ascii="Arial" w:hAnsi="Arial" w:cs="Arial"/>
          <w:color w:val="1C1E29"/>
        </w:rPr>
        <w:t>, profitability ratios, efficiency ratios, and gearing ratios</w:t>
      </w:r>
      <w:r w:rsidR="00CC76FB" w:rsidRPr="00053B8A">
        <w:rPr>
          <w:rFonts w:ascii="Arial" w:hAnsi="Arial" w:cs="Arial"/>
          <w:color w:val="1C1E29"/>
        </w:rPr>
        <w:t xml:space="preserve"> (</w:t>
      </w:r>
      <w:r w:rsidR="00CC76FB" w:rsidRPr="00053B8A">
        <w:rPr>
          <w:rFonts w:ascii="Arial" w:hAnsi="Arial" w:cs="Arial"/>
          <w:szCs w:val="28"/>
        </w:rPr>
        <w:t>Capon, Farley</w:t>
      </w:r>
      <w:r w:rsidR="0026022E" w:rsidRPr="00053B8A">
        <w:rPr>
          <w:rFonts w:ascii="Arial" w:hAnsi="Arial" w:cs="Arial"/>
          <w:szCs w:val="28"/>
        </w:rPr>
        <w:t xml:space="preserve"> </w:t>
      </w:r>
      <w:r w:rsidR="00CC76FB" w:rsidRPr="00053B8A">
        <w:rPr>
          <w:rFonts w:ascii="Arial" w:hAnsi="Arial" w:cs="Arial"/>
          <w:szCs w:val="28"/>
        </w:rPr>
        <w:t>&amp; Hoenig, 2009)</w:t>
      </w:r>
      <w:r w:rsidR="00E570E2" w:rsidRPr="00053B8A">
        <w:rPr>
          <w:rFonts w:ascii="Arial" w:hAnsi="Arial" w:cs="Arial"/>
          <w:color w:val="1C1E29"/>
        </w:rPr>
        <w:t>. </w:t>
      </w:r>
    </w:p>
    <w:p w14:paraId="4954CACA" w14:textId="77777777" w:rsidR="00027B66" w:rsidRPr="00053B8A" w:rsidRDefault="00027B66" w:rsidP="009925B2">
      <w:pPr>
        <w:pStyle w:val="NormalWeb"/>
        <w:spacing w:before="0" w:beforeAutospacing="0" w:after="0" w:afterAutospacing="0" w:line="360" w:lineRule="auto"/>
        <w:ind w:firstLine="720"/>
        <w:rPr>
          <w:rFonts w:ascii="Arial" w:hAnsi="Arial" w:cs="Arial"/>
          <w:color w:val="1C1E29"/>
        </w:rPr>
      </w:pPr>
    </w:p>
    <w:p w14:paraId="1EEE2E52" w14:textId="2DEE577A" w:rsidR="00E570E2" w:rsidRPr="00053B8A" w:rsidRDefault="00AD25D2" w:rsidP="00E570E2">
      <w:pPr>
        <w:pStyle w:val="NormalWeb"/>
        <w:spacing w:before="0" w:beforeAutospacing="0" w:after="0" w:afterAutospacing="0" w:line="360" w:lineRule="auto"/>
        <w:rPr>
          <w:rFonts w:ascii="Arial" w:hAnsi="Arial" w:cs="Arial"/>
          <w:b/>
          <w:bCs/>
          <w:color w:val="1C1E29"/>
        </w:rPr>
      </w:pPr>
      <w:r>
        <w:rPr>
          <w:rFonts w:ascii="Arial" w:hAnsi="Arial" w:cs="Arial"/>
          <w:b/>
          <w:bCs/>
          <w:color w:val="1C1E29"/>
        </w:rPr>
        <w:t>4.1</w:t>
      </w:r>
      <w:r w:rsidR="00027B66">
        <w:rPr>
          <w:rFonts w:ascii="Arial" w:hAnsi="Arial" w:cs="Arial"/>
          <w:b/>
          <w:bCs/>
          <w:color w:val="1C1E29"/>
        </w:rPr>
        <w:t xml:space="preserve"> </w:t>
      </w:r>
      <w:r w:rsidR="00E570E2" w:rsidRPr="00053B8A">
        <w:rPr>
          <w:rFonts w:ascii="Arial" w:hAnsi="Arial" w:cs="Arial"/>
          <w:b/>
          <w:bCs/>
          <w:color w:val="1C1E29"/>
        </w:rPr>
        <w:t>Liquidity Ratios</w:t>
      </w:r>
    </w:p>
    <w:p w14:paraId="3273B548" w14:textId="7777777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These are a group of ratios used to gauge the ability of a company to pay off their debt obligations (short-and-long-term) without the need for external capital. Liquidity ratios will be used to measure ABF’s ability to pay its debt through computations of metrics such as current ratio, quick ratio, working capital, and cash ratio. </w:t>
      </w:r>
    </w:p>
    <w:p w14:paraId="1BFE49E9" w14:textId="52096775"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4.1</w:t>
      </w:r>
      <w:r w:rsidR="00027B66">
        <w:rPr>
          <w:rFonts w:ascii="Arial" w:hAnsi="Arial" w:cs="Arial"/>
          <w:b/>
          <w:bCs/>
          <w:i/>
          <w:iCs/>
          <w:color w:val="1C1E29"/>
        </w:rPr>
        <w:t xml:space="preserve">.1 </w:t>
      </w:r>
      <w:r w:rsidR="00E570E2" w:rsidRPr="00053B8A">
        <w:rPr>
          <w:rFonts w:ascii="Arial" w:hAnsi="Arial" w:cs="Arial"/>
          <w:b/>
          <w:bCs/>
          <w:i/>
          <w:iCs/>
          <w:color w:val="1C1E29"/>
        </w:rPr>
        <w:t>Current Ratio </w:t>
      </w:r>
    </w:p>
    <w:p w14:paraId="05663B10" w14:textId="0F9A02BA"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This ratio is used to measure ABF’s ability to pay off their short-term debt obligations by dividing current assets by current liabilities. It is a key measure of liquidity since short-term debts are due within one accounting period; hence, the firm has a limited timeframe to raise funds for paying off these liabilities. For ABF, the current ratio decreased from 1.64 in 2017 to 1.62 in 2018. This show that the company had higher amounts of current liabilities and less amounts of current assets – cash and cash equivalents – that could be converted into cash and pay off short-term debt. </w:t>
      </w:r>
    </w:p>
    <w:p w14:paraId="3DF4949D" w14:textId="69317DD6"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4.1</w:t>
      </w:r>
      <w:r w:rsidR="00027B66">
        <w:rPr>
          <w:rFonts w:ascii="Arial" w:hAnsi="Arial" w:cs="Arial"/>
          <w:b/>
          <w:bCs/>
          <w:i/>
          <w:iCs/>
          <w:color w:val="1C1E29"/>
        </w:rPr>
        <w:t xml:space="preserve">.2 </w:t>
      </w:r>
      <w:r w:rsidR="00E570E2" w:rsidRPr="00053B8A">
        <w:rPr>
          <w:rFonts w:ascii="Arial" w:hAnsi="Arial" w:cs="Arial"/>
          <w:b/>
          <w:bCs/>
          <w:i/>
          <w:iCs/>
          <w:color w:val="1C1E29"/>
        </w:rPr>
        <w:t>Quick Ratio </w:t>
      </w:r>
    </w:p>
    <w:p w14:paraId="6AF62B47" w14:textId="7777777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Also known as acid-test, quick ratio is used to measure how well the company pays off its short-term debt obligations when they come due by using only their quick assets – assets that can be converted into cash with 90 days such as cash, cash equivalents, marketable securities or short-term investments, and current accounts receivables. For ABF, the quick ratio decreased from 0.49 in 2017 to 0.43 in 2018. The decrease can be attributed to the fact that there were no short-term investments in 2018 compared to 2017; thus, contributing to lesser current assets and higher current liabilities. </w:t>
      </w:r>
    </w:p>
    <w:p w14:paraId="00E73C08" w14:textId="2BCD2433"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4.1</w:t>
      </w:r>
      <w:r w:rsidR="00027B66">
        <w:rPr>
          <w:rFonts w:ascii="Arial" w:hAnsi="Arial" w:cs="Arial"/>
          <w:b/>
          <w:bCs/>
          <w:i/>
          <w:iCs/>
          <w:color w:val="1C1E29"/>
        </w:rPr>
        <w:t xml:space="preserve">.3 </w:t>
      </w:r>
      <w:r w:rsidR="00E570E2" w:rsidRPr="00053B8A">
        <w:rPr>
          <w:rFonts w:ascii="Arial" w:hAnsi="Arial" w:cs="Arial"/>
          <w:b/>
          <w:bCs/>
          <w:i/>
          <w:iCs/>
          <w:color w:val="1C1E29"/>
        </w:rPr>
        <w:t>Cash ratio</w:t>
      </w:r>
    </w:p>
    <w:p w14:paraId="41F6AE7C" w14:textId="77777777" w:rsidR="00E570E2"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 xml:space="preserve">This ratio is used to measure a firm’s liquidity by determining its ability to pay short-term debts using cash and cash equivalents only. Other current assets are left out because they are not guaranteed to be available to service debt when needed. </w:t>
      </w:r>
      <w:r w:rsidRPr="00053B8A">
        <w:rPr>
          <w:rFonts w:ascii="Arial" w:hAnsi="Arial" w:cs="Arial"/>
          <w:color w:val="1C1E29"/>
        </w:rPr>
        <w:lastRenderedPageBreak/>
        <w:t>For instance, inventories and receivables can take weeks or months to be collected, but when cash is readily available, it can be used in debt servicing. For ABF, cash ratio decreased from 0.49 in 2017 to 0.42 in 2018. The decrease is due to a decline in cash and cash equivalents in 2018 compared to 2017. </w:t>
      </w:r>
    </w:p>
    <w:p w14:paraId="37FC37FD" w14:textId="77777777" w:rsidR="00AD25D2" w:rsidRPr="00053B8A" w:rsidRDefault="00AD25D2" w:rsidP="009925B2">
      <w:pPr>
        <w:pStyle w:val="NormalWeb"/>
        <w:spacing w:before="0" w:beforeAutospacing="0" w:after="0" w:afterAutospacing="0" w:line="360" w:lineRule="auto"/>
        <w:ind w:firstLine="720"/>
        <w:rPr>
          <w:rFonts w:ascii="Arial" w:hAnsi="Arial" w:cs="Arial"/>
          <w:color w:val="1C1E29"/>
        </w:rPr>
      </w:pPr>
    </w:p>
    <w:p w14:paraId="2F90B200" w14:textId="571E1443" w:rsidR="00E570E2" w:rsidRPr="00053B8A" w:rsidRDefault="00AD25D2" w:rsidP="00E570E2">
      <w:pPr>
        <w:pStyle w:val="NormalWeb"/>
        <w:spacing w:before="0" w:beforeAutospacing="0" w:after="0" w:afterAutospacing="0" w:line="360" w:lineRule="auto"/>
        <w:rPr>
          <w:rFonts w:ascii="Arial" w:hAnsi="Arial" w:cs="Arial"/>
          <w:b/>
          <w:bCs/>
          <w:color w:val="1C1E29"/>
        </w:rPr>
      </w:pPr>
      <w:r>
        <w:rPr>
          <w:rFonts w:ascii="Arial" w:hAnsi="Arial" w:cs="Arial"/>
          <w:b/>
          <w:bCs/>
          <w:color w:val="1C1E29"/>
        </w:rPr>
        <w:t>4.2</w:t>
      </w:r>
      <w:r w:rsidR="00027B66">
        <w:rPr>
          <w:rFonts w:ascii="Arial" w:hAnsi="Arial" w:cs="Arial"/>
          <w:b/>
          <w:bCs/>
          <w:color w:val="1C1E29"/>
        </w:rPr>
        <w:t xml:space="preserve"> </w:t>
      </w:r>
      <w:r w:rsidR="00E570E2" w:rsidRPr="00053B8A">
        <w:rPr>
          <w:rFonts w:ascii="Arial" w:hAnsi="Arial" w:cs="Arial"/>
          <w:b/>
          <w:bCs/>
          <w:color w:val="1C1E29"/>
        </w:rPr>
        <w:t xml:space="preserve">Profitability Ratios </w:t>
      </w:r>
    </w:p>
    <w:p w14:paraId="5D097EF8" w14:textId="063D1220"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 xml:space="preserve">These are a group of ratios that are used to determine the profitability of a given firm by assessing its ability to generate earnings or profits relative to their sales, operating costs, assets, and shareholders’ equity. In this case, profitability ratios will be used to show how well ABF is using its existing assets </w:t>
      </w:r>
      <w:r w:rsidR="00761162">
        <w:rPr>
          <w:rFonts w:ascii="Arial" w:hAnsi="Arial" w:cs="Arial"/>
          <w:color w:val="1C1E29"/>
        </w:rPr>
        <w:t>to generate earnings and maximis</w:t>
      </w:r>
      <w:r w:rsidRPr="00053B8A">
        <w:rPr>
          <w:rFonts w:ascii="Arial" w:hAnsi="Arial" w:cs="Arial"/>
          <w:color w:val="1C1E29"/>
        </w:rPr>
        <w:t>e ownership value for shareholders</w:t>
      </w:r>
      <w:r w:rsidR="0026022E" w:rsidRPr="00053B8A">
        <w:rPr>
          <w:rFonts w:ascii="Arial" w:hAnsi="Arial" w:cs="Arial"/>
          <w:color w:val="1C1E29"/>
        </w:rPr>
        <w:t xml:space="preserve"> (</w:t>
      </w:r>
      <w:r w:rsidR="0026022E" w:rsidRPr="00053B8A">
        <w:rPr>
          <w:rFonts w:ascii="Arial" w:hAnsi="Arial" w:cs="Arial"/>
          <w:szCs w:val="28"/>
        </w:rPr>
        <w:t>Nissim &amp; Penman, 2013)</w:t>
      </w:r>
      <w:r w:rsidRPr="00053B8A">
        <w:rPr>
          <w:rFonts w:ascii="Arial" w:hAnsi="Arial" w:cs="Arial"/>
          <w:color w:val="1C1E29"/>
        </w:rPr>
        <w:t xml:space="preserve">. </w:t>
      </w:r>
      <w:r w:rsidR="005246FC" w:rsidRPr="00053B8A">
        <w:rPr>
          <w:rFonts w:ascii="Arial" w:hAnsi="Arial" w:cs="Arial"/>
          <w:color w:val="1C1E29"/>
        </w:rPr>
        <w:t>Profitability to be analys</w:t>
      </w:r>
      <w:r w:rsidRPr="00053B8A">
        <w:rPr>
          <w:rFonts w:ascii="Arial" w:hAnsi="Arial" w:cs="Arial"/>
          <w:color w:val="1C1E29"/>
        </w:rPr>
        <w:t>ed include gross profit margin, net profit margin, return on assets, and return on equity. </w:t>
      </w:r>
    </w:p>
    <w:p w14:paraId="5058C92F" w14:textId="0A5E99D0"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4.2.</w:t>
      </w:r>
      <w:r w:rsidR="00027B66">
        <w:rPr>
          <w:rFonts w:ascii="Arial" w:hAnsi="Arial" w:cs="Arial"/>
          <w:b/>
          <w:bCs/>
          <w:i/>
          <w:iCs/>
          <w:color w:val="1C1E29"/>
        </w:rPr>
        <w:t>1 Gross Profit Margin</w:t>
      </w:r>
    </w:p>
    <w:p w14:paraId="792AE8C9" w14:textId="7777777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This ratio is used to compare the gross margin of a firm with its net sales. It used to determine how profitable a firm is by selling its merchandise by considering only the cost of goods sold and net sales. For ABF, gross margin ratio slightly decreased by 0.05%; from 23.5% in 2017 to 23.0% in 2018. The slight decline can be attributed to a decrease in revenues and an increase in the cost of goods sold. </w:t>
      </w:r>
    </w:p>
    <w:p w14:paraId="7E31699E" w14:textId="6988B942"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4.2</w:t>
      </w:r>
      <w:r w:rsidR="00027B66">
        <w:rPr>
          <w:rFonts w:ascii="Arial" w:hAnsi="Arial" w:cs="Arial"/>
          <w:b/>
          <w:bCs/>
          <w:i/>
          <w:iCs/>
          <w:color w:val="1C1E29"/>
        </w:rPr>
        <w:t xml:space="preserve">.2 </w:t>
      </w:r>
      <w:r w:rsidR="00E570E2" w:rsidRPr="00053B8A">
        <w:rPr>
          <w:rFonts w:ascii="Arial" w:hAnsi="Arial" w:cs="Arial"/>
          <w:b/>
          <w:bCs/>
          <w:i/>
          <w:iCs/>
          <w:color w:val="1C1E29"/>
        </w:rPr>
        <w:t>Net Profit Margin</w:t>
      </w:r>
    </w:p>
    <w:p w14:paraId="48ADC351" w14:textId="17E285C3"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This ratio is used to measure the amount of net income that a firm has earned with each pound of revenues generated by comparing net incomes with net revenues</w:t>
      </w:r>
      <w:r w:rsidR="0026022E" w:rsidRPr="00053B8A">
        <w:rPr>
          <w:rFonts w:ascii="Arial" w:hAnsi="Arial" w:cs="Arial"/>
          <w:color w:val="1C1E29"/>
        </w:rPr>
        <w:t xml:space="preserve"> (</w:t>
      </w:r>
      <w:r w:rsidR="0026022E" w:rsidRPr="00053B8A">
        <w:rPr>
          <w:rFonts w:ascii="Arial" w:hAnsi="Arial" w:cs="Arial"/>
          <w:szCs w:val="28"/>
        </w:rPr>
        <w:t>Orlitzky, Schmidt &amp; Rynes, 2014)</w:t>
      </w:r>
      <w:r w:rsidRPr="00053B8A">
        <w:rPr>
          <w:rFonts w:ascii="Arial" w:hAnsi="Arial" w:cs="Arial"/>
          <w:color w:val="1C1E29"/>
        </w:rPr>
        <w:t>. That way, the ratios show the percentage of sales that is left after all operating expenses have been settled. For ABF, net profit margin declined by 1.3%; from 7.8% in 2017 to 6.5% in 2018. The decline in profitability can be attributed to increased operating expenses and a decline in net sales. </w:t>
      </w:r>
    </w:p>
    <w:p w14:paraId="4D2ACA13" w14:textId="6016CB95"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4.2</w:t>
      </w:r>
      <w:r w:rsidR="00027B66">
        <w:rPr>
          <w:rFonts w:ascii="Arial" w:hAnsi="Arial" w:cs="Arial"/>
          <w:b/>
          <w:bCs/>
          <w:i/>
          <w:iCs/>
          <w:color w:val="1C1E29"/>
        </w:rPr>
        <w:t xml:space="preserve">.3 </w:t>
      </w:r>
      <w:r w:rsidR="00E570E2" w:rsidRPr="00053B8A">
        <w:rPr>
          <w:rFonts w:ascii="Arial" w:hAnsi="Arial" w:cs="Arial"/>
          <w:b/>
          <w:bCs/>
          <w:i/>
          <w:iCs/>
          <w:color w:val="1C1E29"/>
        </w:rPr>
        <w:t>Return on Assets (ROA)</w:t>
      </w:r>
    </w:p>
    <w:p w14:paraId="7D9717F6" w14:textId="7777777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 xml:space="preserve">This ratio is used to measure net income generated by total assets; the ratio is computed by comparing net income by average total assets. It tells the company how efficient they are in managing their assets to generate profits. Since the primary business of every company is to generate high revenues and profits, ROA is used by management and investors to determine how well the firm is converting an investment into profits. For ABF, ROA significantly declined by 4%; from 19% in </w:t>
      </w:r>
      <w:r w:rsidRPr="00053B8A">
        <w:rPr>
          <w:rFonts w:ascii="Arial" w:hAnsi="Arial" w:cs="Arial"/>
          <w:color w:val="1C1E29"/>
        </w:rPr>
        <w:lastRenderedPageBreak/>
        <w:t>2017 to 15% in 2018. The decline can be attributed to the decrease in both net income and total assets in both periods; hence, the company is inefficiently managing its assets and investments to generate profits.</w:t>
      </w:r>
    </w:p>
    <w:p w14:paraId="287F2923" w14:textId="5FC9A31D"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4.2.</w:t>
      </w:r>
      <w:r w:rsidR="00027B66">
        <w:rPr>
          <w:rFonts w:ascii="Arial" w:hAnsi="Arial" w:cs="Arial"/>
          <w:b/>
          <w:bCs/>
          <w:i/>
          <w:iCs/>
          <w:color w:val="1C1E29"/>
        </w:rPr>
        <w:t xml:space="preserve">4 </w:t>
      </w:r>
      <w:r w:rsidR="00E570E2" w:rsidRPr="00053B8A">
        <w:rPr>
          <w:rFonts w:ascii="Arial" w:hAnsi="Arial" w:cs="Arial"/>
          <w:b/>
          <w:bCs/>
          <w:i/>
          <w:iCs/>
          <w:color w:val="1C1E29"/>
        </w:rPr>
        <w:t>Return on Equity (ROE)</w:t>
      </w:r>
    </w:p>
    <w:p w14:paraId="3159E56E" w14:textId="012F262C"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This ratio is used to measure the firm’s ability to generate profits using the investments provided by shareholders. It is used to gauge the amount of profit generated by each pound of shareholders’ equity</w:t>
      </w:r>
      <w:r w:rsidR="0026022E" w:rsidRPr="00053B8A">
        <w:rPr>
          <w:rFonts w:ascii="Arial" w:hAnsi="Arial" w:cs="Arial"/>
          <w:color w:val="1C1E29"/>
        </w:rPr>
        <w:t xml:space="preserve"> (</w:t>
      </w:r>
      <w:r w:rsidR="0026022E" w:rsidRPr="00053B8A">
        <w:rPr>
          <w:rFonts w:ascii="Arial" w:hAnsi="Arial" w:cs="Arial"/>
          <w:szCs w:val="28"/>
        </w:rPr>
        <w:t>Doukas &amp; Travlos, 2008)</w:t>
      </w:r>
      <w:r w:rsidRPr="00053B8A">
        <w:rPr>
          <w:rFonts w:ascii="Arial" w:hAnsi="Arial" w:cs="Arial"/>
          <w:color w:val="1C1E29"/>
        </w:rPr>
        <w:t>. It is an essential ratio because investors want to see how well the firm is using their investment to generate profits. For ABF, ROE decreased by 3%; from 14% in 2017 to 11% in 2018. Although shareholders’ equity increased from 2017 to 2018, there was a decrease in net income which contributed to the decline in ROE. This is an indication that the company is not using investments from shareholders’ equity efficiently; thus, a decrease in ROE. </w:t>
      </w:r>
    </w:p>
    <w:p w14:paraId="60C36BE6" w14:textId="39D92483" w:rsidR="00E570E2" w:rsidRPr="00053B8A" w:rsidRDefault="00AD25D2" w:rsidP="00E570E2">
      <w:pPr>
        <w:pStyle w:val="NormalWeb"/>
        <w:spacing w:before="0" w:beforeAutospacing="0" w:after="0" w:afterAutospacing="0" w:line="360" w:lineRule="auto"/>
        <w:rPr>
          <w:rFonts w:ascii="Arial" w:hAnsi="Arial" w:cs="Arial"/>
          <w:b/>
          <w:bCs/>
          <w:color w:val="1C1E29"/>
        </w:rPr>
      </w:pPr>
      <w:r>
        <w:rPr>
          <w:rFonts w:ascii="Arial" w:hAnsi="Arial" w:cs="Arial"/>
          <w:b/>
          <w:bCs/>
          <w:color w:val="1C1E29"/>
        </w:rPr>
        <w:t>4.3</w:t>
      </w:r>
      <w:r w:rsidR="00027B66">
        <w:rPr>
          <w:rFonts w:ascii="Arial" w:hAnsi="Arial" w:cs="Arial"/>
          <w:b/>
          <w:bCs/>
          <w:color w:val="1C1E29"/>
        </w:rPr>
        <w:t xml:space="preserve"> </w:t>
      </w:r>
      <w:r w:rsidR="00E570E2" w:rsidRPr="00053B8A">
        <w:rPr>
          <w:rFonts w:ascii="Arial" w:hAnsi="Arial" w:cs="Arial"/>
          <w:b/>
          <w:bCs/>
          <w:color w:val="1C1E29"/>
        </w:rPr>
        <w:t xml:space="preserve">Efficiency Ratios </w:t>
      </w:r>
    </w:p>
    <w:p w14:paraId="440F4693" w14:textId="7777777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These ratios are used to measure a firm’s ability to use its assets and manage their liabilities effectively. Efficiency ratios are also used to determine how well a firm utilizes its assets to generate income. For this analysis, assets turnover ratio, inventory turnover ratio, and accounts receivable ratio will be used to assess how ABF uses its assets and manages their liabilities. </w:t>
      </w:r>
    </w:p>
    <w:p w14:paraId="19133E16" w14:textId="0EDED372"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4.3</w:t>
      </w:r>
      <w:r w:rsidR="00027B66">
        <w:rPr>
          <w:rFonts w:ascii="Arial" w:hAnsi="Arial" w:cs="Arial"/>
          <w:b/>
          <w:bCs/>
          <w:i/>
          <w:iCs/>
          <w:color w:val="1C1E29"/>
        </w:rPr>
        <w:t xml:space="preserve">.1 </w:t>
      </w:r>
      <w:r>
        <w:rPr>
          <w:rFonts w:ascii="Arial" w:hAnsi="Arial" w:cs="Arial"/>
          <w:b/>
          <w:bCs/>
          <w:i/>
          <w:iCs/>
          <w:color w:val="1C1E29"/>
        </w:rPr>
        <w:t>Assets Turnover</w:t>
      </w:r>
    </w:p>
    <w:p w14:paraId="12418CD0" w14:textId="7777777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This ratio is used to determine the firm’s ability to generate revenues using its assets. This is done by comparing net revenues with average net assets. For ABF, asset turnover ratio slightly decreased by 0.13; from 2.40 in 2017 to 2.27 in 2018. The decrease in the ratio can be attributed to a decline in revenues. </w:t>
      </w:r>
    </w:p>
    <w:p w14:paraId="77C3D197" w14:textId="7FCF6871" w:rsidR="00E570E2" w:rsidRPr="00053B8A" w:rsidRDefault="00027B66"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w:t>
      </w:r>
      <w:r w:rsidR="00AD25D2">
        <w:rPr>
          <w:rFonts w:ascii="Arial" w:hAnsi="Arial" w:cs="Arial"/>
          <w:b/>
          <w:bCs/>
          <w:i/>
          <w:iCs/>
          <w:color w:val="1C1E29"/>
        </w:rPr>
        <w:t>3</w:t>
      </w:r>
      <w:r>
        <w:rPr>
          <w:rFonts w:ascii="Arial" w:hAnsi="Arial" w:cs="Arial"/>
          <w:b/>
          <w:bCs/>
          <w:i/>
          <w:iCs/>
          <w:color w:val="1C1E29"/>
        </w:rPr>
        <w:t xml:space="preserve">.2 </w:t>
      </w:r>
      <w:r w:rsidR="00AD25D2">
        <w:rPr>
          <w:rFonts w:ascii="Arial" w:hAnsi="Arial" w:cs="Arial"/>
          <w:b/>
          <w:bCs/>
          <w:i/>
          <w:iCs/>
          <w:color w:val="1C1E29"/>
        </w:rPr>
        <w:t xml:space="preserve">Inventory Turnover </w:t>
      </w:r>
    </w:p>
    <w:p w14:paraId="2E4C7961" w14:textId="7777777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This ratio is a measure of performance that shows how a firm is effectively managing its inventory. This is done by comparing the cost of goods sold against the average stock in the given period. That way, the ratio can show how the number of times the average stock has been sold. For ABF, inventory turnover ratio number of times to sell inventory remained the same (10 times). This shows that the company has control over its stock. </w:t>
      </w:r>
    </w:p>
    <w:p w14:paraId="46D94AE4" w14:textId="50F75525"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4.3</w:t>
      </w:r>
      <w:r w:rsidR="00027B66">
        <w:rPr>
          <w:rFonts w:ascii="Arial" w:hAnsi="Arial" w:cs="Arial"/>
          <w:b/>
          <w:bCs/>
          <w:i/>
          <w:iCs/>
          <w:color w:val="1C1E29"/>
        </w:rPr>
        <w:t xml:space="preserve">.3 </w:t>
      </w:r>
      <w:r w:rsidR="00E570E2" w:rsidRPr="00053B8A">
        <w:rPr>
          <w:rFonts w:ascii="Arial" w:hAnsi="Arial" w:cs="Arial"/>
          <w:b/>
          <w:bCs/>
          <w:i/>
          <w:iCs/>
          <w:color w:val="1C1E29"/>
        </w:rPr>
        <w:t>Accounts Receivable Turnover</w:t>
      </w:r>
    </w:p>
    <w:p w14:paraId="191ADFB4" w14:textId="7777777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 xml:space="preserve">This ratio measures the number of times a company can turn its accounts receivables into cash. It determines how well the company collects its average </w:t>
      </w:r>
      <w:r w:rsidRPr="00053B8A">
        <w:rPr>
          <w:rFonts w:ascii="Arial" w:hAnsi="Arial" w:cs="Arial"/>
          <w:color w:val="1C1E29"/>
        </w:rPr>
        <w:lastRenderedPageBreak/>
        <w:t>account receivables in one accounting period. For ABF, accounts receivable turnover ratio shows that the number of days taken to collect a decline from 25 days in 2017 to 24 days in 2018. </w:t>
      </w:r>
    </w:p>
    <w:p w14:paraId="3704ABD2" w14:textId="04A98D42" w:rsidR="00E570E2" w:rsidRPr="00053B8A" w:rsidRDefault="00AD25D2" w:rsidP="00E570E2">
      <w:pPr>
        <w:pStyle w:val="NormalWeb"/>
        <w:spacing w:before="0" w:beforeAutospacing="0" w:after="0" w:afterAutospacing="0" w:line="360" w:lineRule="auto"/>
        <w:rPr>
          <w:rFonts w:ascii="Arial" w:hAnsi="Arial" w:cs="Arial"/>
          <w:b/>
          <w:bCs/>
          <w:color w:val="1C1E29"/>
        </w:rPr>
      </w:pPr>
      <w:r>
        <w:rPr>
          <w:rFonts w:ascii="Arial" w:hAnsi="Arial" w:cs="Arial"/>
          <w:b/>
          <w:bCs/>
          <w:color w:val="1C1E29"/>
        </w:rPr>
        <w:t>4.4</w:t>
      </w:r>
      <w:r w:rsidR="00027B66">
        <w:rPr>
          <w:rFonts w:ascii="Arial" w:hAnsi="Arial" w:cs="Arial"/>
          <w:b/>
          <w:bCs/>
          <w:color w:val="1C1E29"/>
        </w:rPr>
        <w:t xml:space="preserve"> </w:t>
      </w:r>
      <w:r w:rsidR="00E570E2" w:rsidRPr="00053B8A">
        <w:rPr>
          <w:rFonts w:ascii="Arial" w:hAnsi="Arial" w:cs="Arial"/>
          <w:b/>
          <w:bCs/>
          <w:color w:val="1C1E29"/>
        </w:rPr>
        <w:t xml:space="preserve">Gearing Ratios </w:t>
      </w:r>
    </w:p>
    <w:p w14:paraId="4940704E" w14:textId="29E06239"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Gearing is a measure that is used to determine the company’s financial leverage. Gearing ratios are used to show how the firm’s operations are financed by shareholders’ capital versus creditor’s capital. The debt-to-equity ratio and times interest earned are gearing ratios used to assess the degree to which ABF’s activities are funded by equity compared to debt financing</w:t>
      </w:r>
      <w:r w:rsidR="0026022E" w:rsidRPr="00053B8A">
        <w:rPr>
          <w:rFonts w:ascii="Arial" w:hAnsi="Arial" w:cs="Arial"/>
          <w:color w:val="1C1E29"/>
        </w:rPr>
        <w:t xml:space="preserve"> (</w:t>
      </w:r>
      <w:r w:rsidR="0026022E" w:rsidRPr="00053B8A">
        <w:rPr>
          <w:rFonts w:ascii="Arial" w:hAnsi="Arial" w:cs="Arial"/>
          <w:szCs w:val="28"/>
        </w:rPr>
        <w:t>Chen, Cheng &amp; Hwang, 2005)</w:t>
      </w:r>
      <w:r w:rsidRPr="00053B8A">
        <w:rPr>
          <w:rFonts w:ascii="Arial" w:hAnsi="Arial" w:cs="Arial"/>
          <w:color w:val="1C1E29"/>
        </w:rPr>
        <w:t>.</w:t>
      </w:r>
    </w:p>
    <w:p w14:paraId="48213215" w14:textId="073B4835"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4.4</w:t>
      </w:r>
      <w:r w:rsidR="00027B66">
        <w:rPr>
          <w:rFonts w:ascii="Arial" w:hAnsi="Arial" w:cs="Arial"/>
          <w:b/>
          <w:bCs/>
          <w:i/>
          <w:iCs/>
          <w:color w:val="1C1E29"/>
        </w:rPr>
        <w:t xml:space="preserve">.1 </w:t>
      </w:r>
      <w:r w:rsidR="00E570E2" w:rsidRPr="00053B8A">
        <w:rPr>
          <w:rFonts w:ascii="Arial" w:hAnsi="Arial" w:cs="Arial"/>
          <w:b/>
          <w:bCs/>
          <w:i/>
          <w:iCs/>
          <w:color w:val="1C1E29"/>
        </w:rPr>
        <w:t>Debt-to-Equity Ratio</w:t>
      </w:r>
    </w:p>
    <w:p w14:paraId="3C8B2FFD" w14:textId="6B91E81A"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 xml:space="preserve">This is a ratio that is used to compare the firm’s debt to its equity. For ABF, this ratio will show the percentage of financing that is obtained from investors and creditors. ABF debt to equity ratio decreased from 0.53 to 0.48 in 2017 and 2018, respectively. This shows that the company is using more </w:t>
      </w:r>
      <w:r w:rsidR="003D1934" w:rsidRPr="00053B8A">
        <w:rPr>
          <w:rFonts w:ascii="Arial" w:hAnsi="Arial" w:cs="Arial"/>
          <w:color w:val="1C1E29"/>
        </w:rPr>
        <w:t>creditors</w:t>
      </w:r>
      <w:r w:rsidRPr="00053B8A">
        <w:rPr>
          <w:rFonts w:ascii="Arial" w:hAnsi="Arial" w:cs="Arial"/>
          <w:color w:val="1C1E29"/>
        </w:rPr>
        <w:t xml:space="preserve"> financing that investor financing. </w:t>
      </w:r>
    </w:p>
    <w:p w14:paraId="42BCC704" w14:textId="01DF0A5A" w:rsidR="00E570E2" w:rsidRPr="00053B8A" w:rsidRDefault="00AD25D2" w:rsidP="00E570E2">
      <w:pPr>
        <w:pStyle w:val="NormalWeb"/>
        <w:spacing w:before="0" w:beforeAutospacing="0" w:after="0" w:afterAutospacing="0" w:line="360" w:lineRule="auto"/>
        <w:rPr>
          <w:rFonts w:ascii="Arial" w:hAnsi="Arial" w:cs="Arial"/>
          <w:b/>
          <w:bCs/>
          <w:i/>
          <w:iCs/>
          <w:color w:val="1C1E29"/>
        </w:rPr>
      </w:pPr>
      <w:r>
        <w:rPr>
          <w:rFonts w:ascii="Arial" w:hAnsi="Arial" w:cs="Arial"/>
          <w:b/>
          <w:bCs/>
          <w:i/>
          <w:iCs/>
          <w:color w:val="1C1E29"/>
        </w:rPr>
        <w:t>4.4</w:t>
      </w:r>
      <w:r w:rsidR="00027B66">
        <w:rPr>
          <w:rFonts w:ascii="Arial" w:hAnsi="Arial" w:cs="Arial"/>
          <w:b/>
          <w:bCs/>
          <w:i/>
          <w:iCs/>
          <w:color w:val="1C1E29"/>
        </w:rPr>
        <w:t xml:space="preserve">.2 </w:t>
      </w:r>
      <w:r w:rsidR="00E570E2" w:rsidRPr="00053B8A">
        <w:rPr>
          <w:rFonts w:ascii="Arial" w:hAnsi="Arial" w:cs="Arial"/>
          <w:b/>
          <w:bCs/>
          <w:i/>
          <w:iCs/>
          <w:color w:val="1C1E29"/>
        </w:rPr>
        <w:t>Times Interest Earned Ratio</w:t>
      </w:r>
    </w:p>
    <w:p w14:paraId="5F2BB094" w14:textId="360A42E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 xml:space="preserve">This ratio is used to measure the amount of income that will be used to cover future interest expense. It is calculated by dividing EBIT (Earnings </w:t>
      </w:r>
      <w:r w:rsidR="003D1934" w:rsidRPr="00053B8A">
        <w:rPr>
          <w:rFonts w:ascii="Arial" w:hAnsi="Arial" w:cs="Arial"/>
          <w:color w:val="1C1E29"/>
        </w:rPr>
        <w:t>before</w:t>
      </w:r>
      <w:r w:rsidRPr="00053B8A">
        <w:rPr>
          <w:rFonts w:ascii="Arial" w:hAnsi="Arial" w:cs="Arial"/>
          <w:color w:val="1C1E29"/>
        </w:rPr>
        <w:t xml:space="preserve"> Interest and Taxes) by interest expense. For ABF, times interest earned ratio increased from 21 times to 25 times in 2017 and 2018 respectively. This shows that ABF’s ability to pay interest ratio is higher compared to the previous period and can quickly pay interest payments when they are due. </w:t>
      </w:r>
    </w:p>
    <w:p w14:paraId="477B07B3" w14:textId="77777777" w:rsidR="00027B66" w:rsidRDefault="00027B66" w:rsidP="00027B66">
      <w:pPr>
        <w:pStyle w:val="NormalWeb"/>
        <w:spacing w:before="0" w:beforeAutospacing="0" w:after="0" w:afterAutospacing="0" w:line="360" w:lineRule="auto"/>
        <w:rPr>
          <w:rFonts w:ascii="Arial" w:hAnsi="Arial" w:cs="Arial"/>
          <w:b/>
          <w:bCs/>
          <w:color w:val="1C1E29"/>
        </w:rPr>
      </w:pPr>
    </w:p>
    <w:p w14:paraId="2A220C96" w14:textId="6F82704B" w:rsidR="00E570E2" w:rsidRPr="00053B8A" w:rsidRDefault="00E570E2" w:rsidP="00AD25D2">
      <w:pPr>
        <w:pStyle w:val="NormalWeb"/>
        <w:numPr>
          <w:ilvl w:val="0"/>
          <w:numId w:val="3"/>
        </w:numPr>
        <w:spacing w:before="0" w:beforeAutospacing="0" w:after="0" w:afterAutospacing="0" w:line="360" w:lineRule="auto"/>
        <w:rPr>
          <w:rFonts w:ascii="Arial" w:hAnsi="Arial" w:cs="Arial"/>
          <w:b/>
          <w:bCs/>
          <w:color w:val="1C1E29"/>
        </w:rPr>
      </w:pPr>
      <w:r w:rsidRPr="00053B8A">
        <w:rPr>
          <w:rFonts w:ascii="Arial" w:hAnsi="Arial" w:cs="Arial"/>
          <w:b/>
          <w:bCs/>
          <w:color w:val="1C1E29"/>
        </w:rPr>
        <w:t>Limitations of Ratio Analysis</w:t>
      </w:r>
    </w:p>
    <w:p w14:paraId="7749A2C4" w14:textId="77777777" w:rsidR="00E570E2" w:rsidRPr="00053B8A" w:rsidRDefault="00E570E2" w:rsidP="009925B2">
      <w:pPr>
        <w:pStyle w:val="NormalWeb"/>
        <w:spacing w:before="0" w:beforeAutospacing="0" w:after="0" w:afterAutospacing="0" w:line="360" w:lineRule="auto"/>
        <w:ind w:firstLine="720"/>
        <w:rPr>
          <w:rFonts w:ascii="Arial" w:hAnsi="Arial" w:cs="Arial"/>
          <w:color w:val="1C1E29"/>
        </w:rPr>
      </w:pPr>
      <w:r w:rsidRPr="00053B8A">
        <w:rPr>
          <w:rFonts w:ascii="Arial" w:hAnsi="Arial" w:cs="Arial"/>
          <w:color w:val="1C1E29"/>
        </w:rPr>
        <w:t>Despite being a popular financial analysis technique, ratio analysis has limitations. They include:</w:t>
      </w:r>
    </w:p>
    <w:p w14:paraId="5EF635F5" w14:textId="77777777" w:rsidR="00E570E2" w:rsidRPr="00053B8A" w:rsidRDefault="00E570E2" w:rsidP="009925B2">
      <w:pPr>
        <w:pStyle w:val="NormalWeb"/>
        <w:numPr>
          <w:ilvl w:val="0"/>
          <w:numId w:val="1"/>
        </w:numPr>
        <w:spacing w:before="0" w:beforeAutospacing="0" w:after="0" w:afterAutospacing="0" w:line="360" w:lineRule="auto"/>
        <w:rPr>
          <w:rFonts w:ascii="Arial" w:hAnsi="Arial" w:cs="Arial"/>
          <w:color w:val="1C1E29"/>
        </w:rPr>
      </w:pPr>
      <w:r w:rsidRPr="00053B8A">
        <w:rPr>
          <w:rFonts w:ascii="Arial" w:hAnsi="Arial" w:cs="Arial"/>
          <w:color w:val="1C1E29"/>
        </w:rPr>
        <w:t>Historical information: the data used in ratio analysis is obtained from past operations; hence, they are not accurate representations of the firm’s future performances.</w:t>
      </w:r>
    </w:p>
    <w:p w14:paraId="2680E27B" w14:textId="43269492" w:rsidR="00E570E2" w:rsidRPr="00053B8A" w:rsidRDefault="00E570E2" w:rsidP="009925B2">
      <w:pPr>
        <w:pStyle w:val="NormalWeb"/>
        <w:numPr>
          <w:ilvl w:val="0"/>
          <w:numId w:val="1"/>
        </w:numPr>
        <w:spacing w:before="0" w:beforeAutospacing="0" w:after="0" w:afterAutospacing="0" w:line="360" w:lineRule="auto"/>
        <w:rPr>
          <w:rFonts w:ascii="Arial" w:hAnsi="Arial" w:cs="Arial"/>
          <w:color w:val="1C1E29"/>
        </w:rPr>
      </w:pPr>
      <w:r w:rsidRPr="00053B8A">
        <w:rPr>
          <w:rFonts w:ascii="Arial" w:hAnsi="Arial" w:cs="Arial"/>
          <w:color w:val="1C1E29"/>
        </w:rPr>
        <w:t xml:space="preserve">Inflationary effects: there is always a time difference when financial ratios are being released; in the event, there is inflation between these periods, the </w:t>
      </w:r>
      <w:r w:rsidRPr="00053B8A">
        <w:rPr>
          <w:rFonts w:ascii="Arial" w:hAnsi="Arial" w:cs="Arial"/>
          <w:color w:val="1C1E29"/>
        </w:rPr>
        <w:lastRenderedPageBreak/>
        <w:t>effects are not reflected on financial data used in ratio analysis</w:t>
      </w:r>
      <w:r w:rsidR="0026022E" w:rsidRPr="00053B8A">
        <w:rPr>
          <w:rFonts w:ascii="Arial" w:hAnsi="Arial" w:cs="Arial"/>
          <w:color w:val="1C1E29"/>
        </w:rPr>
        <w:t xml:space="preserve"> (</w:t>
      </w:r>
      <w:r w:rsidR="0026022E" w:rsidRPr="00053B8A">
        <w:rPr>
          <w:rFonts w:ascii="Arial" w:hAnsi="Arial" w:cs="Arial"/>
          <w:szCs w:val="28"/>
        </w:rPr>
        <w:t>Delen, Kuzey &amp; Uyar, 2013)</w:t>
      </w:r>
      <w:r w:rsidRPr="00053B8A">
        <w:rPr>
          <w:rFonts w:ascii="Arial" w:hAnsi="Arial" w:cs="Arial"/>
          <w:color w:val="1C1E29"/>
        </w:rPr>
        <w:t>.</w:t>
      </w:r>
    </w:p>
    <w:p w14:paraId="642B7E9F" w14:textId="77777777" w:rsidR="009925B2" w:rsidRPr="00053B8A" w:rsidRDefault="00E570E2" w:rsidP="00E570E2">
      <w:pPr>
        <w:pStyle w:val="NormalWeb"/>
        <w:numPr>
          <w:ilvl w:val="0"/>
          <w:numId w:val="1"/>
        </w:numPr>
        <w:spacing w:before="0" w:beforeAutospacing="0" w:after="0" w:afterAutospacing="0" w:line="360" w:lineRule="auto"/>
        <w:rPr>
          <w:rFonts w:ascii="Arial" w:hAnsi="Arial" w:cs="Arial"/>
          <w:color w:val="1C1E29"/>
        </w:rPr>
      </w:pPr>
      <w:r w:rsidRPr="00053B8A">
        <w:rPr>
          <w:rFonts w:ascii="Arial" w:hAnsi="Arial" w:cs="Arial"/>
          <w:color w:val="1C1E29"/>
        </w:rPr>
        <w:t>Operational changes: a firm may decide to change their operational structure; hence, when these changes occur, comparisons made on financial metrics before the change in operations may lead to wrong conclusions regarding firm’s financial performance as well as its prospects.</w:t>
      </w:r>
    </w:p>
    <w:p w14:paraId="151D9B33" w14:textId="7311FEF8" w:rsidR="00E570E2" w:rsidRPr="00053B8A" w:rsidRDefault="00E570E2" w:rsidP="00E570E2">
      <w:pPr>
        <w:pStyle w:val="NormalWeb"/>
        <w:numPr>
          <w:ilvl w:val="0"/>
          <w:numId w:val="1"/>
        </w:numPr>
        <w:spacing w:before="0" w:beforeAutospacing="0" w:after="0" w:afterAutospacing="0" w:line="360" w:lineRule="auto"/>
        <w:rPr>
          <w:rFonts w:ascii="Arial" w:hAnsi="Arial" w:cs="Arial"/>
          <w:color w:val="1C1E29"/>
        </w:rPr>
      </w:pPr>
      <w:r w:rsidRPr="00053B8A">
        <w:rPr>
          <w:rFonts w:ascii="Arial" w:hAnsi="Arial" w:cs="Arial"/>
          <w:color w:val="1C1E29"/>
        </w:rPr>
        <w:t>Manipulation of financial statements: firms may manipulate their financial figures to create a good impression by reporting better results</w:t>
      </w:r>
      <w:r w:rsidR="0026022E" w:rsidRPr="00053B8A">
        <w:rPr>
          <w:rFonts w:ascii="Arial" w:hAnsi="Arial" w:cs="Arial"/>
          <w:color w:val="1C1E29"/>
        </w:rPr>
        <w:t xml:space="preserve"> (</w:t>
      </w:r>
      <w:r w:rsidR="0026022E" w:rsidRPr="00053B8A">
        <w:rPr>
          <w:rFonts w:ascii="Arial" w:hAnsi="Arial" w:cs="Arial"/>
          <w:szCs w:val="28"/>
        </w:rPr>
        <w:t>Lesakova, 2007)</w:t>
      </w:r>
      <w:r w:rsidRPr="00053B8A">
        <w:rPr>
          <w:rFonts w:ascii="Arial" w:hAnsi="Arial" w:cs="Arial"/>
          <w:color w:val="1C1E29"/>
        </w:rPr>
        <w:t>. As such, use of ratios can be relied upon to make an informed conclusion on the true nature of the business.  </w:t>
      </w:r>
    </w:p>
    <w:p w14:paraId="67730456" w14:textId="77777777" w:rsidR="00053B8A" w:rsidRDefault="00053B8A" w:rsidP="00053B8A">
      <w:pPr>
        <w:pStyle w:val="NormalWeb"/>
        <w:spacing w:before="0" w:beforeAutospacing="0" w:after="0" w:afterAutospacing="0" w:line="360" w:lineRule="auto"/>
        <w:rPr>
          <w:rStyle w:val="Strong"/>
          <w:rFonts w:ascii="Arial" w:hAnsi="Arial" w:cs="Arial"/>
          <w:color w:val="1C1E29"/>
        </w:rPr>
      </w:pPr>
    </w:p>
    <w:p w14:paraId="2BD7A1D6" w14:textId="5B807894" w:rsidR="00E570E2" w:rsidRPr="00053B8A" w:rsidRDefault="004C1272" w:rsidP="00AD25D2">
      <w:pPr>
        <w:pStyle w:val="NormalWeb"/>
        <w:numPr>
          <w:ilvl w:val="0"/>
          <w:numId w:val="3"/>
        </w:numPr>
        <w:spacing w:before="0" w:beforeAutospacing="0" w:after="0" w:afterAutospacing="0" w:line="360" w:lineRule="auto"/>
        <w:rPr>
          <w:rFonts w:ascii="Arial" w:hAnsi="Arial" w:cs="Arial"/>
          <w:color w:val="1C1E29"/>
        </w:rPr>
      </w:pPr>
      <w:r>
        <w:rPr>
          <w:rStyle w:val="Strong"/>
          <w:rFonts w:ascii="Arial" w:hAnsi="Arial" w:cs="Arial"/>
          <w:color w:val="1C1E29"/>
        </w:rPr>
        <w:t>Recommendations</w:t>
      </w:r>
    </w:p>
    <w:p w14:paraId="17D32B90" w14:textId="37C4F95E" w:rsidR="0030389F" w:rsidRDefault="0030389F" w:rsidP="004C1272">
      <w:pPr>
        <w:pStyle w:val="NormalWeb"/>
        <w:spacing w:before="0" w:beforeAutospacing="0" w:after="0" w:afterAutospacing="0" w:line="360" w:lineRule="auto"/>
        <w:rPr>
          <w:rFonts w:ascii="Arial" w:hAnsi="Arial" w:cs="Arial"/>
          <w:color w:val="1C1E29"/>
        </w:rPr>
      </w:pPr>
    </w:p>
    <w:p w14:paraId="1A9F654A" w14:textId="731034A5" w:rsidR="004C1272" w:rsidRDefault="004C1272" w:rsidP="004C1272">
      <w:pPr>
        <w:pStyle w:val="NormalWeb"/>
        <w:spacing w:before="0" w:beforeAutospacing="0" w:after="0" w:afterAutospacing="0" w:line="360" w:lineRule="auto"/>
        <w:rPr>
          <w:rFonts w:ascii="Arial" w:hAnsi="Arial" w:cs="Arial"/>
          <w:color w:val="1C1E29"/>
        </w:rPr>
      </w:pPr>
      <w:r>
        <w:rPr>
          <w:rFonts w:ascii="Arial" w:hAnsi="Arial" w:cs="Arial"/>
          <w:color w:val="1C1E29"/>
        </w:rPr>
        <w:t xml:space="preserve">As per the limitations of financial ratios, it is also important to consider the economic environment when giving recommendations and analysing ABF performance. Since 2016, the UK has been facing a VUCA environment with the decision of Brexit was observed. This radical change in the market area of Britain has brought uncertainty and can certainly attribute some effect on the </w:t>
      </w:r>
      <w:r w:rsidR="00B072AF">
        <w:rPr>
          <w:rFonts w:ascii="Arial" w:hAnsi="Arial" w:cs="Arial"/>
          <w:color w:val="1C1E29"/>
        </w:rPr>
        <w:t xml:space="preserve">current assets that ABF may have. This being said the recommendations that can be offered are: </w:t>
      </w:r>
    </w:p>
    <w:p w14:paraId="40439901" w14:textId="77777777" w:rsidR="00671B8E" w:rsidRDefault="00671B8E" w:rsidP="009925B2">
      <w:pPr>
        <w:pStyle w:val="NormalWeb"/>
        <w:spacing w:before="0" w:beforeAutospacing="0" w:after="0" w:afterAutospacing="0" w:line="360" w:lineRule="auto"/>
        <w:ind w:firstLine="720"/>
        <w:rPr>
          <w:rFonts w:ascii="Arial" w:hAnsi="Arial" w:cs="Arial"/>
          <w:color w:val="1C1E29"/>
        </w:rPr>
      </w:pPr>
    </w:p>
    <w:p w14:paraId="1A45E5DF" w14:textId="150C6539" w:rsidR="0030389F" w:rsidRDefault="00E570E2" w:rsidP="0030389F">
      <w:pPr>
        <w:pStyle w:val="NormalWeb"/>
        <w:numPr>
          <w:ilvl w:val="0"/>
          <w:numId w:val="5"/>
        </w:numPr>
        <w:spacing w:before="0" w:beforeAutospacing="0" w:after="0" w:afterAutospacing="0" w:line="360" w:lineRule="auto"/>
        <w:rPr>
          <w:rFonts w:ascii="Arial" w:hAnsi="Arial" w:cs="Arial"/>
          <w:color w:val="1C1E29"/>
        </w:rPr>
      </w:pPr>
      <w:r w:rsidRPr="00053B8A">
        <w:rPr>
          <w:rFonts w:ascii="Arial" w:hAnsi="Arial" w:cs="Arial"/>
          <w:color w:val="1C1E29"/>
        </w:rPr>
        <w:t>The company should increase its current assets – cash, cash equivalents, and marketable investmen</w:t>
      </w:r>
      <w:r w:rsidR="00B072AF">
        <w:rPr>
          <w:rFonts w:ascii="Arial" w:hAnsi="Arial" w:cs="Arial"/>
          <w:color w:val="1C1E29"/>
        </w:rPr>
        <w:t xml:space="preserve">ts. They can do this by renegotiating payables, selling larger assets and then renting them to give a cash injection or offering a sale to increase sales quickly. </w:t>
      </w:r>
    </w:p>
    <w:p w14:paraId="6B7C5545" w14:textId="0EC2145F" w:rsidR="0030389F" w:rsidRDefault="0030389F" w:rsidP="0030389F">
      <w:pPr>
        <w:pStyle w:val="NormalWeb"/>
        <w:numPr>
          <w:ilvl w:val="0"/>
          <w:numId w:val="5"/>
        </w:numPr>
        <w:spacing w:before="0" w:beforeAutospacing="0" w:after="0" w:afterAutospacing="0" w:line="360" w:lineRule="auto"/>
        <w:rPr>
          <w:rFonts w:ascii="Arial" w:hAnsi="Arial" w:cs="Arial"/>
          <w:color w:val="1C1E29"/>
        </w:rPr>
      </w:pPr>
      <w:r>
        <w:rPr>
          <w:rFonts w:ascii="Arial" w:hAnsi="Arial" w:cs="Arial"/>
          <w:color w:val="1C1E29"/>
        </w:rPr>
        <w:t>ABF should focus</w:t>
      </w:r>
      <w:r w:rsidR="00E570E2" w:rsidRPr="00053B8A">
        <w:rPr>
          <w:rFonts w:ascii="Arial" w:hAnsi="Arial" w:cs="Arial"/>
          <w:color w:val="1C1E29"/>
        </w:rPr>
        <w:t xml:space="preserve"> on increasing their net revenues and reduce operational expenses to increase their net income. </w:t>
      </w:r>
      <w:r w:rsidR="00B072AF">
        <w:rPr>
          <w:rFonts w:ascii="Arial" w:hAnsi="Arial" w:cs="Arial"/>
          <w:color w:val="1C1E29"/>
        </w:rPr>
        <w:t xml:space="preserve">They can do this by doing a detailed review into staff efficiency. They can also look in depth into their costs and analyse where they can cut areas in order to increase profitability. </w:t>
      </w:r>
    </w:p>
    <w:p w14:paraId="0A684BF6" w14:textId="1AFC76CD" w:rsidR="00E570E2" w:rsidRPr="00053B8A" w:rsidRDefault="00E570E2" w:rsidP="0030389F">
      <w:pPr>
        <w:pStyle w:val="NormalWeb"/>
        <w:numPr>
          <w:ilvl w:val="0"/>
          <w:numId w:val="5"/>
        </w:numPr>
        <w:spacing w:before="0" w:beforeAutospacing="0" w:after="0" w:afterAutospacing="0" w:line="360" w:lineRule="auto"/>
        <w:rPr>
          <w:rFonts w:ascii="Arial" w:hAnsi="Arial" w:cs="Arial"/>
          <w:color w:val="1C1E29"/>
        </w:rPr>
      </w:pPr>
      <w:r w:rsidRPr="00053B8A">
        <w:rPr>
          <w:rFonts w:ascii="Arial" w:hAnsi="Arial" w:cs="Arial"/>
          <w:color w:val="1C1E29"/>
        </w:rPr>
        <w:t>They should also revise measures used to collect receivables. </w:t>
      </w:r>
      <w:r w:rsidR="00B072AF">
        <w:rPr>
          <w:rFonts w:ascii="Arial" w:hAnsi="Arial" w:cs="Arial"/>
          <w:color w:val="1C1E29"/>
        </w:rPr>
        <w:t>This could be done by offering discounts on customers that quick pay or taking legal action or penalties that do not pay on time. They could also use a debt collecting method in order to receive debts that are outstanding.</w:t>
      </w:r>
    </w:p>
    <w:p w14:paraId="5E36DF34" w14:textId="5DD61F26" w:rsidR="009925B2" w:rsidRPr="00053B8A" w:rsidRDefault="00E570E2" w:rsidP="00E570E2">
      <w:pPr>
        <w:pStyle w:val="NormalWeb"/>
        <w:spacing w:before="0" w:beforeAutospacing="0" w:after="0" w:afterAutospacing="0" w:line="360" w:lineRule="auto"/>
        <w:rPr>
          <w:rFonts w:ascii="Arial" w:hAnsi="Arial" w:cs="Arial"/>
          <w:color w:val="1C1E29"/>
        </w:rPr>
      </w:pPr>
      <w:r w:rsidRPr="00053B8A">
        <w:rPr>
          <w:rFonts w:ascii="Arial" w:hAnsi="Arial" w:cs="Arial"/>
          <w:color w:val="1C1E29"/>
        </w:rPr>
        <w:lastRenderedPageBreak/>
        <w:t> </w:t>
      </w:r>
    </w:p>
    <w:p w14:paraId="1DDB3CE2" w14:textId="05758565" w:rsidR="009925B2" w:rsidRPr="00F31DD8" w:rsidRDefault="009925B2" w:rsidP="00AD25D2">
      <w:pPr>
        <w:pStyle w:val="ListParagraph"/>
        <w:numPr>
          <w:ilvl w:val="0"/>
          <w:numId w:val="3"/>
        </w:numPr>
        <w:rPr>
          <w:rFonts w:ascii="Arial" w:eastAsia="Times New Roman" w:hAnsi="Arial" w:cs="Arial"/>
          <w:color w:val="1C1E29"/>
          <w:sz w:val="24"/>
          <w:szCs w:val="24"/>
          <w:lang w:eastAsia="en-GB"/>
        </w:rPr>
      </w:pPr>
      <w:r w:rsidRPr="00AD25D2">
        <w:rPr>
          <w:rFonts w:ascii="Arial" w:hAnsi="Arial" w:cs="Arial"/>
          <w:b/>
          <w:color w:val="1C1E29"/>
          <w:sz w:val="24"/>
        </w:rPr>
        <w:t>References</w:t>
      </w:r>
    </w:p>
    <w:p w14:paraId="5DDE43B2" w14:textId="77777777" w:rsidR="00F31DD8" w:rsidRDefault="00F31DD8" w:rsidP="00F31DD8">
      <w:pPr>
        <w:pStyle w:val="ListParagraph"/>
        <w:ind w:left="360"/>
        <w:rPr>
          <w:rFonts w:ascii="Arial" w:hAnsi="Arial" w:cs="Arial"/>
          <w:b/>
          <w:color w:val="1C1E29"/>
          <w:sz w:val="24"/>
        </w:rPr>
      </w:pPr>
    </w:p>
    <w:p w14:paraId="6516FA94" w14:textId="3D97F3E8" w:rsidR="00F31DD8" w:rsidRPr="00F31DD8" w:rsidRDefault="00F31DD8" w:rsidP="00F31DD8">
      <w:pPr>
        <w:rPr>
          <w:rFonts w:ascii="Arial" w:hAnsi="Arial" w:cs="Arial"/>
          <w:color w:val="000000"/>
          <w:sz w:val="24"/>
          <w:szCs w:val="24"/>
        </w:rPr>
      </w:pPr>
      <w:r w:rsidRPr="00F31DD8">
        <w:rPr>
          <w:rFonts w:ascii="Arial" w:hAnsi="Arial" w:cs="Arial"/>
          <w:color w:val="000000"/>
          <w:sz w:val="24"/>
          <w:szCs w:val="24"/>
        </w:rPr>
        <w:t>Associated British Foods plc. (2018). </w:t>
      </w:r>
      <w:r w:rsidRPr="00F31DD8">
        <w:rPr>
          <w:rFonts w:ascii="Arial" w:hAnsi="Arial" w:cs="Arial"/>
          <w:i/>
          <w:iCs/>
          <w:color w:val="000000"/>
          <w:sz w:val="24"/>
          <w:szCs w:val="24"/>
        </w:rPr>
        <w:t>Annual Report and Accounts.</w:t>
      </w:r>
      <w:r w:rsidRPr="00F31DD8">
        <w:rPr>
          <w:rFonts w:ascii="Arial" w:hAnsi="Arial" w:cs="Arial"/>
          <w:color w:val="000000"/>
          <w:sz w:val="24"/>
          <w:szCs w:val="24"/>
        </w:rPr>
        <w:t> Available: https://www.abf.co.uk/file.axd?pointerid=c0e82f2ed99b41edb692e249f1231d1a. Last accessed 5th Sept 2019.</w:t>
      </w:r>
    </w:p>
    <w:p w14:paraId="7EBB6956" w14:textId="6F0110A9" w:rsidR="009925B2" w:rsidRPr="00053B8A" w:rsidRDefault="009925B2" w:rsidP="009925B2">
      <w:pPr>
        <w:pStyle w:val="Bibliography"/>
        <w:ind w:left="720" w:hanging="720"/>
        <w:rPr>
          <w:rFonts w:ascii="Arial" w:hAnsi="Arial" w:cs="Arial"/>
          <w:sz w:val="24"/>
          <w:szCs w:val="28"/>
        </w:rPr>
      </w:pPr>
      <w:r w:rsidRPr="00053B8A">
        <w:rPr>
          <w:rFonts w:ascii="Arial" w:hAnsi="Arial" w:cs="Arial"/>
          <w:sz w:val="24"/>
          <w:szCs w:val="28"/>
        </w:rPr>
        <w:t xml:space="preserve">Babalola, Y. A., &amp; Abiola, F. R. 2013. Financial ratio analysis of firms: A tool for decision making. </w:t>
      </w:r>
      <w:r w:rsidRPr="00053B8A">
        <w:rPr>
          <w:rFonts w:ascii="Arial" w:hAnsi="Arial" w:cs="Arial"/>
          <w:i/>
          <w:iCs/>
          <w:sz w:val="24"/>
          <w:szCs w:val="28"/>
        </w:rPr>
        <w:t>International Journal of Management Sciences</w:t>
      </w:r>
      <w:r w:rsidRPr="00053B8A">
        <w:rPr>
          <w:rFonts w:ascii="Arial" w:hAnsi="Arial" w:cs="Arial"/>
          <w:sz w:val="24"/>
          <w:szCs w:val="28"/>
        </w:rPr>
        <w:t xml:space="preserve">, </w:t>
      </w:r>
      <w:r w:rsidRPr="00053B8A">
        <w:rPr>
          <w:rFonts w:ascii="Arial" w:hAnsi="Arial" w:cs="Arial"/>
          <w:i/>
          <w:iCs/>
          <w:sz w:val="24"/>
          <w:szCs w:val="28"/>
        </w:rPr>
        <w:t>1</w:t>
      </w:r>
      <w:r w:rsidRPr="00053B8A">
        <w:rPr>
          <w:rFonts w:ascii="Arial" w:hAnsi="Arial" w:cs="Arial"/>
          <w:sz w:val="24"/>
          <w:szCs w:val="28"/>
        </w:rPr>
        <w:t>(4), 132–137.</w:t>
      </w:r>
    </w:p>
    <w:p w14:paraId="76C51421" w14:textId="3B57301A" w:rsidR="009925B2" w:rsidRPr="00053B8A" w:rsidRDefault="009925B2" w:rsidP="009925B2">
      <w:pPr>
        <w:pStyle w:val="Bibliography"/>
        <w:ind w:left="720" w:hanging="720"/>
        <w:rPr>
          <w:rFonts w:ascii="Arial" w:hAnsi="Arial" w:cs="Arial"/>
          <w:sz w:val="24"/>
          <w:szCs w:val="28"/>
        </w:rPr>
      </w:pPr>
      <w:r w:rsidRPr="00053B8A">
        <w:rPr>
          <w:rFonts w:ascii="Arial" w:hAnsi="Arial" w:cs="Arial"/>
          <w:sz w:val="24"/>
          <w:szCs w:val="28"/>
        </w:rPr>
        <w:t xml:space="preserve">Barnes, P. 2007. The analysis and use of financial ratios: a review article. </w:t>
      </w:r>
      <w:r w:rsidRPr="00053B8A">
        <w:rPr>
          <w:rFonts w:ascii="Arial" w:hAnsi="Arial" w:cs="Arial"/>
          <w:i/>
          <w:iCs/>
          <w:sz w:val="24"/>
          <w:szCs w:val="28"/>
        </w:rPr>
        <w:t>Journal of Business Finance &amp; Accounting</w:t>
      </w:r>
      <w:r w:rsidRPr="00053B8A">
        <w:rPr>
          <w:rFonts w:ascii="Arial" w:hAnsi="Arial" w:cs="Arial"/>
          <w:sz w:val="24"/>
          <w:szCs w:val="28"/>
        </w:rPr>
        <w:t xml:space="preserve">, </w:t>
      </w:r>
      <w:r w:rsidRPr="00053B8A">
        <w:rPr>
          <w:rFonts w:ascii="Arial" w:hAnsi="Arial" w:cs="Arial"/>
          <w:i/>
          <w:iCs/>
          <w:sz w:val="24"/>
          <w:szCs w:val="28"/>
        </w:rPr>
        <w:t>14</w:t>
      </w:r>
      <w:r w:rsidRPr="00053B8A">
        <w:rPr>
          <w:rFonts w:ascii="Arial" w:hAnsi="Arial" w:cs="Arial"/>
          <w:sz w:val="24"/>
          <w:szCs w:val="28"/>
        </w:rPr>
        <w:t>(4), 449–461.</w:t>
      </w:r>
    </w:p>
    <w:p w14:paraId="01A23AFD" w14:textId="5073900A" w:rsidR="009925B2" w:rsidRPr="00053B8A" w:rsidRDefault="009925B2" w:rsidP="009925B2">
      <w:pPr>
        <w:pStyle w:val="Bibliography"/>
        <w:ind w:left="720" w:hanging="720"/>
        <w:rPr>
          <w:rFonts w:ascii="Arial" w:hAnsi="Arial" w:cs="Arial"/>
          <w:sz w:val="24"/>
          <w:szCs w:val="28"/>
        </w:rPr>
      </w:pPr>
      <w:r w:rsidRPr="00053B8A">
        <w:rPr>
          <w:rFonts w:ascii="Arial" w:hAnsi="Arial" w:cs="Arial"/>
          <w:sz w:val="24"/>
          <w:szCs w:val="28"/>
        </w:rPr>
        <w:t xml:space="preserve">Bradley, M., Desai, A., &amp; Kim, E. H. 2008. Synergistic gains from corporate acquisitions and their division between the stockholders of target and acquiring firms. </w:t>
      </w:r>
      <w:r w:rsidRPr="00053B8A">
        <w:rPr>
          <w:rFonts w:ascii="Arial" w:hAnsi="Arial" w:cs="Arial"/>
          <w:i/>
          <w:iCs/>
          <w:sz w:val="24"/>
          <w:szCs w:val="28"/>
        </w:rPr>
        <w:t>Journal of Financial Economics</w:t>
      </w:r>
      <w:r w:rsidRPr="00053B8A">
        <w:rPr>
          <w:rFonts w:ascii="Arial" w:hAnsi="Arial" w:cs="Arial"/>
          <w:sz w:val="24"/>
          <w:szCs w:val="28"/>
        </w:rPr>
        <w:t xml:space="preserve">, </w:t>
      </w:r>
      <w:r w:rsidRPr="00053B8A">
        <w:rPr>
          <w:rFonts w:ascii="Arial" w:hAnsi="Arial" w:cs="Arial"/>
          <w:i/>
          <w:iCs/>
          <w:sz w:val="24"/>
          <w:szCs w:val="28"/>
        </w:rPr>
        <w:t>21</w:t>
      </w:r>
      <w:r w:rsidRPr="00053B8A">
        <w:rPr>
          <w:rFonts w:ascii="Arial" w:hAnsi="Arial" w:cs="Arial"/>
          <w:sz w:val="24"/>
          <w:szCs w:val="28"/>
        </w:rPr>
        <w:t>(1), 3–40.</w:t>
      </w:r>
    </w:p>
    <w:p w14:paraId="47BDBF45" w14:textId="7FC89DB8" w:rsidR="009925B2" w:rsidRPr="00053B8A" w:rsidRDefault="009925B2" w:rsidP="009925B2">
      <w:pPr>
        <w:pStyle w:val="Bibliography"/>
        <w:ind w:left="720" w:hanging="720"/>
        <w:rPr>
          <w:rFonts w:ascii="Arial" w:hAnsi="Arial" w:cs="Arial"/>
          <w:sz w:val="24"/>
          <w:szCs w:val="28"/>
        </w:rPr>
      </w:pPr>
      <w:r w:rsidRPr="00053B8A">
        <w:rPr>
          <w:rFonts w:ascii="Arial" w:hAnsi="Arial" w:cs="Arial"/>
          <w:sz w:val="24"/>
          <w:szCs w:val="28"/>
        </w:rPr>
        <w:t xml:space="preserve">Capon, N., Farley, J. U., &amp; Hoenig, S. </w:t>
      </w:r>
      <w:r w:rsidR="00CC76FB" w:rsidRPr="00053B8A">
        <w:rPr>
          <w:rFonts w:ascii="Arial" w:hAnsi="Arial" w:cs="Arial"/>
          <w:sz w:val="24"/>
          <w:szCs w:val="28"/>
        </w:rPr>
        <w:t>2009</w:t>
      </w:r>
      <w:r w:rsidRPr="00053B8A">
        <w:rPr>
          <w:rFonts w:ascii="Arial" w:hAnsi="Arial" w:cs="Arial"/>
          <w:sz w:val="24"/>
          <w:szCs w:val="28"/>
        </w:rPr>
        <w:t xml:space="preserve">. Determinants of financial performance: a meta-analysis. </w:t>
      </w:r>
      <w:r w:rsidRPr="00053B8A">
        <w:rPr>
          <w:rFonts w:ascii="Arial" w:hAnsi="Arial" w:cs="Arial"/>
          <w:i/>
          <w:iCs/>
          <w:sz w:val="24"/>
          <w:szCs w:val="28"/>
        </w:rPr>
        <w:t>Management Science</w:t>
      </w:r>
      <w:r w:rsidRPr="00053B8A">
        <w:rPr>
          <w:rFonts w:ascii="Arial" w:hAnsi="Arial" w:cs="Arial"/>
          <w:sz w:val="24"/>
          <w:szCs w:val="28"/>
        </w:rPr>
        <w:t xml:space="preserve">, </w:t>
      </w:r>
      <w:r w:rsidRPr="00053B8A">
        <w:rPr>
          <w:rFonts w:ascii="Arial" w:hAnsi="Arial" w:cs="Arial"/>
          <w:i/>
          <w:iCs/>
          <w:sz w:val="24"/>
          <w:szCs w:val="28"/>
        </w:rPr>
        <w:t>36</w:t>
      </w:r>
      <w:r w:rsidRPr="00053B8A">
        <w:rPr>
          <w:rFonts w:ascii="Arial" w:hAnsi="Arial" w:cs="Arial"/>
          <w:sz w:val="24"/>
          <w:szCs w:val="28"/>
        </w:rPr>
        <w:t>(10), 1143–1159.</w:t>
      </w:r>
    </w:p>
    <w:p w14:paraId="555F9F38" w14:textId="62E68F6E" w:rsidR="009925B2" w:rsidRPr="00053B8A" w:rsidRDefault="009925B2" w:rsidP="009925B2">
      <w:pPr>
        <w:pStyle w:val="Bibliography"/>
        <w:ind w:left="720" w:hanging="720"/>
        <w:rPr>
          <w:rFonts w:ascii="Arial" w:hAnsi="Arial" w:cs="Arial"/>
          <w:sz w:val="24"/>
          <w:szCs w:val="28"/>
        </w:rPr>
      </w:pPr>
      <w:r w:rsidRPr="00053B8A">
        <w:rPr>
          <w:rFonts w:ascii="Arial" w:hAnsi="Arial" w:cs="Arial"/>
          <w:sz w:val="24"/>
          <w:szCs w:val="28"/>
        </w:rPr>
        <w:t xml:space="preserve">Chen, M.-C., Cheng, S.-J., &amp; Hwang, Y. 2005. An empirical investigation of the relationship between intellectual capital and firms’ market value and financial performance. </w:t>
      </w:r>
      <w:r w:rsidRPr="00053B8A">
        <w:rPr>
          <w:rFonts w:ascii="Arial" w:hAnsi="Arial" w:cs="Arial"/>
          <w:i/>
          <w:iCs/>
          <w:sz w:val="24"/>
          <w:szCs w:val="28"/>
        </w:rPr>
        <w:t>Journal of Intellectual Capital</w:t>
      </w:r>
      <w:r w:rsidRPr="00053B8A">
        <w:rPr>
          <w:rFonts w:ascii="Arial" w:hAnsi="Arial" w:cs="Arial"/>
          <w:sz w:val="24"/>
          <w:szCs w:val="28"/>
        </w:rPr>
        <w:t xml:space="preserve">, </w:t>
      </w:r>
      <w:r w:rsidRPr="00053B8A">
        <w:rPr>
          <w:rFonts w:ascii="Arial" w:hAnsi="Arial" w:cs="Arial"/>
          <w:i/>
          <w:iCs/>
          <w:sz w:val="24"/>
          <w:szCs w:val="28"/>
        </w:rPr>
        <w:t>6</w:t>
      </w:r>
      <w:r w:rsidRPr="00053B8A">
        <w:rPr>
          <w:rFonts w:ascii="Arial" w:hAnsi="Arial" w:cs="Arial"/>
          <w:sz w:val="24"/>
          <w:szCs w:val="28"/>
        </w:rPr>
        <w:t>(2), 159–176.</w:t>
      </w:r>
    </w:p>
    <w:p w14:paraId="506C14E3" w14:textId="3F97568E" w:rsidR="009925B2" w:rsidRPr="00053B8A" w:rsidRDefault="009925B2" w:rsidP="009925B2">
      <w:pPr>
        <w:pStyle w:val="Bibliography"/>
        <w:ind w:left="720" w:hanging="720"/>
        <w:rPr>
          <w:rFonts w:ascii="Arial" w:hAnsi="Arial" w:cs="Arial"/>
          <w:sz w:val="24"/>
          <w:szCs w:val="28"/>
        </w:rPr>
      </w:pPr>
      <w:r w:rsidRPr="00053B8A">
        <w:rPr>
          <w:rFonts w:ascii="Arial" w:hAnsi="Arial" w:cs="Arial"/>
          <w:sz w:val="24"/>
          <w:szCs w:val="28"/>
        </w:rPr>
        <w:t xml:space="preserve">Delen, D., Kuzey, C., &amp; Uyar, A. 2013. Measuring firm performance using financial ratios: A decision tree approach. </w:t>
      </w:r>
      <w:r w:rsidRPr="00053B8A">
        <w:rPr>
          <w:rFonts w:ascii="Arial" w:hAnsi="Arial" w:cs="Arial"/>
          <w:i/>
          <w:iCs/>
          <w:sz w:val="24"/>
          <w:szCs w:val="28"/>
        </w:rPr>
        <w:t>Expert Systems with Applications</w:t>
      </w:r>
      <w:r w:rsidRPr="00053B8A">
        <w:rPr>
          <w:rFonts w:ascii="Arial" w:hAnsi="Arial" w:cs="Arial"/>
          <w:sz w:val="24"/>
          <w:szCs w:val="28"/>
        </w:rPr>
        <w:t xml:space="preserve">, </w:t>
      </w:r>
      <w:r w:rsidRPr="00053B8A">
        <w:rPr>
          <w:rFonts w:ascii="Arial" w:hAnsi="Arial" w:cs="Arial"/>
          <w:i/>
          <w:iCs/>
          <w:sz w:val="24"/>
          <w:szCs w:val="28"/>
        </w:rPr>
        <w:t>40</w:t>
      </w:r>
      <w:r w:rsidRPr="00053B8A">
        <w:rPr>
          <w:rFonts w:ascii="Arial" w:hAnsi="Arial" w:cs="Arial"/>
          <w:sz w:val="24"/>
          <w:szCs w:val="28"/>
        </w:rPr>
        <w:t>(10), 3970–3983.</w:t>
      </w:r>
    </w:p>
    <w:p w14:paraId="5D6A37BB" w14:textId="65165862" w:rsidR="009925B2" w:rsidRDefault="009925B2" w:rsidP="009925B2">
      <w:pPr>
        <w:pStyle w:val="Bibliography"/>
        <w:ind w:left="720" w:hanging="720"/>
        <w:rPr>
          <w:rFonts w:ascii="Arial" w:hAnsi="Arial" w:cs="Arial"/>
          <w:sz w:val="24"/>
          <w:szCs w:val="28"/>
        </w:rPr>
      </w:pPr>
      <w:r w:rsidRPr="00053B8A">
        <w:rPr>
          <w:rFonts w:ascii="Arial" w:hAnsi="Arial" w:cs="Arial"/>
          <w:sz w:val="24"/>
          <w:szCs w:val="28"/>
        </w:rPr>
        <w:t xml:space="preserve">Doukas, J., &amp; Travlos, N. G. </w:t>
      </w:r>
      <w:r w:rsidR="0026022E" w:rsidRPr="00053B8A">
        <w:rPr>
          <w:rFonts w:ascii="Arial" w:hAnsi="Arial" w:cs="Arial"/>
          <w:sz w:val="24"/>
          <w:szCs w:val="28"/>
        </w:rPr>
        <w:t>200</w:t>
      </w:r>
      <w:r w:rsidRPr="00053B8A">
        <w:rPr>
          <w:rFonts w:ascii="Arial" w:hAnsi="Arial" w:cs="Arial"/>
          <w:sz w:val="24"/>
          <w:szCs w:val="28"/>
        </w:rPr>
        <w:t xml:space="preserve">8. The effect of corporate multinationalism on shareholders’ wealth: Evidence from international acquisitions. </w:t>
      </w:r>
      <w:r w:rsidRPr="00053B8A">
        <w:rPr>
          <w:rFonts w:ascii="Arial" w:hAnsi="Arial" w:cs="Arial"/>
          <w:i/>
          <w:iCs/>
          <w:sz w:val="24"/>
          <w:szCs w:val="28"/>
        </w:rPr>
        <w:t>The Journal of Finance</w:t>
      </w:r>
      <w:r w:rsidRPr="00053B8A">
        <w:rPr>
          <w:rFonts w:ascii="Arial" w:hAnsi="Arial" w:cs="Arial"/>
          <w:sz w:val="24"/>
          <w:szCs w:val="28"/>
        </w:rPr>
        <w:t xml:space="preserve">, </w:t>
      </w:r>
      <w:r w:rsidRPr="00053B8A">
        <w:rPr>
          <w:rFonts w:ascii="Arial" w:hAnsi="Arial" w:cs="Arial"/>
          <w:i/>
          <w:iCs/>
          <w:sz w:val="24"/>
          <w:szCs w:val="28"/>
        </w:rPr>
        <w:t>43</w:t>
      </w:r>
      <w:r w:rsidRPr="00053B8A">
        <w:rPr>
          <w:rFonts w:ascii="Arial" w:hAnsi="Arial" w:cs="Arial"/>
          <w:sz w:val="24"/>
          <w:szCs w:val="28"/>
        </w:rPr>
        <w:t>(5), 1161–1175.</w:t>
      </w:r>
    </w:p>
    <w:p w14:paraId="25BDF83B" w14:textId="1F2D7AE5" w:rsidR="00F31DD8" w:rsidRPr="00F31DD8" w:rsidRDefault="00F31DD8" w:rsidP="00F31DD8">
      <w:pPr>
        <w:rPr>
          <w:rFonts w:ascii="Arial" w:hAnsi="Arial" w:cs="Arial"/>
          <w:sz w:val="28"/>
        </w:rPr>
      </w:pPr>
      <w:r w:rsidRPr="00F31DD8">
        <w:rPr>
          <w:rFonts w:ascii="Arial" w:hAnsi="Arial" w:cs="Arial"/>
          <w:color w:val="000000"/>
          <w:sz w:val="24"/>
          <w:szCs w:val="20"/>
        </w:rPr>
        <w:t>Investing.com. (2019). </w:t>
      </w:r>
      <w:r w:rsidRPr="00F31DD8">
        <w:rPr>
          <w:rFonts w:ascii="Arial" w:hAnsi="Arial" w:cs="Arial"/>
          <w:i/>
          <w:iCs/>
          <w:color w:val="000000"/>
          <w:sz w:val="24"/>
          <w:szCs w:val="20"/>
        </w:rPr>
        <w:t>Associated British Foods PLC (ABF).</w:t>
      </w:r>
      <w:r w:rsidRPr="00F31DD8">
        <w:rPr>
          <w:rFonts w:ascii="Arial" w:hAnsi="Arial" w:cs="Arial"/>
          <w:color w:val="000000"/>
          <w:sz w:val="24"/>
          <w:szCs w:val="20"/>
        </w:rPr>
        <w:t> Available: https://www.investing.com/equities/assoc.br.foods. Last accessed 2nd Sept 2019.</w:t>
      </w:r>
    </w:p>
    <w:p w14:paraId="4EE8F705" w14:textId="3CEDBB60" w:rsidR="009925B2" w:rsidRPr="00053B8A" w:rsidRDefault="009925B2" w:rsidP="009925B2">
      <w:pPr>
        <w:pStyle w:val="Bibliography"/>
        <w:ind w:left="720" w:hanging="720"/>
        <w:rPr>
          <w:rFonts w:ascii="Arial" w:hAnsi="Arial" w:cs="Arial"/>
          <w:sz w:val="24"/>
          <w:szCs w:val="28"/>
        </w:rPr>
      </w:pPr>
      <w:r w:rsidRPr="00053B8A">
        <w:rPr>
          <w:rFonts w:ascii="Arial" w:hAnsi="Arial" w:cs="Arial"/>
          <w:sz w:val="24"/>
          <w:szCs w:val="28"/>
        </w:rPr>
        <w:t xml:space="preserve">Lesakova, L. 2007. Uses and limitations of profitability ratio analysis in managerial practice. In </w:t>
      </w:r>
      <w:r w:rsidRPr="00053B8A">
        <w:rPr>
          <w:rFonts w:ascii="Arial" w:hAnsi="Arial" w:cs="Arial"/>
          <w:i/>
          <w:iCs/>
          <w:sz w:val="24"/>
          <w:szCs w:val="28"/>
        </w:rPr>
        <w:t>International Conference on Management, Enterprise and Benchmarking</w:t>
      </w:r>
      <w:r w:rsidRPr="00053B8A">
        <w:rPr>
          <w:rFonts w:ascii="Arial" w:hAnsi="Arial" w:cs="Arial"/>
          <w:sz w:val="24"/>
          <w:szCs w:val="28"/>
        </w:rPr>
        <w:t xml:space="preserve"> (pp. 1–2).</w:t>
      </w:r>
    </w:p>
    <w:p w14:paraId="5A595ED8" w14:textId="63742591" w:rsidR="009925B2" w:rsidRPr="00053B8A" w:rsidRDefault="009925B2" w:rsidP="009925B2">
      <w:pPr>
        <w:pStyle w:val="Bibliography"/>
        <w:ind w:left="720" w:hanging="720"/>
        <w:rPr>
          <w:rFonts w:ascii="Arial" w:hAnsi="Arial" w:cs="Arial"/>
          <w:sz w:val="24"/>
          <w:szCs w:val="28"/>
        </w:rPr>
      </w:pPr>
      <w:r w:rsidRPr="00053B8A">
        <w:rPr>
          <w:rFonts w:ascii="Arial" w:hAnsi="Arial" w:cs="Arial"/>
          <w:sz w:val="24"/>
          <w:szCs w:val="28"/>
        </w:rPr>
        <w:t>Nissim, D., &amp; Penman, S. H. 20</w:t>
      </w:r>
      <w:r w:rsidR="0026022E" w:rsidRPr="00053B8A">
        <w:rPr>
          <w:rFonts w:ascii="Arial" w:hAnsi="Arial" w:cs="Arial"/>
          <w:sz w:val="24"/>
          <w:szCs w:val="28"/>
        </w:rPr>
        <w:t>1</w:t>
      </w:r>
      <w:r w:rsidRPr="00053B8A">
        <w:rPr>
          <w:rFonts w:ascii="Arial" w:hAnsi="Arial" w:cs="Arial"/>
          <w:sz w:val="24"/>
          <w:szCs w:val="28"/>
        </w:rPr>
        <w:t xml:space="preserve">3. Financial statement analysis of leverage and how it informs about profitability and price-to-book ratios. </w:t>
      </w:r>
      <w:r w:rsidRPr="00053B8A">
        <w:rPr>
          <w:rFonts w:ascii="Arial" w:hAnsi="Arial" w:cs="Arial"/>
          <w:i/>
          <w:iCs/>
          <w:sz w:val="24"/>
          <w:szCs w:val="28"/>
        </w:rPr>
        <w:t>Review of Accounting Studies</w:t>
      </w:r>
      <w:r w:rsidRPr="00053B8A">
        <w:rPr>
          <w:rFonts w:ascii="Arial" w:hAnsi="Arial" w:cs="Arial"/>
          <w:sz w:val="24"/>
          <w:szCs w:val="28"/>
        </w:rPr>
        <w:t xml:space="preserve">, </w:t>
      </w:r>
      <w:r w:rsidRPr="00053B8A">
        <w:rPr>
          <w:rFonts w:ascii="Arial" w:hAnsi="Arial" w:cs="Arial"/>
          <w:i/>
          <w:iCs/>
          <w:sz w:val="24"/>
          <w:szCs w:val="28"/>
        </w:rPr>
        <w:t>8</w:t>
      </w:r>
      <w:r w:rsidRPr="00053B8A">
        <w:rPr>
          <w:rFonts w:ascii="Arial" w:hAnsi="Arial" w:cs="Arial"/>
          <w:sz w:val="24"/>
          <w:szCs w:val="28"/>
        </w:rPr>
        <w:t>(4), 531–560.</w:t>
      </w:r>
    </w:p>
    <w:p w14:paraId="31B78C65" w14:textId="6991CB44" w:rsidR="00027B66" w:rsidRDefault="009925B2" w:rsidP="00027B66">
      <w:pPr>
        <w:pStyle w:val="Bibliography"/>
        <w:ind w:left="720" w:hanging="720"/>
        <w:rPr>
          <w:rFonts w:ascii="Arial" w:hAnsi="Arial" w:cs="Arial"/>
          <w:sz w:val="24"/>
          <w:szCs w:val="28"/>
        </w:rPr>
      </w:pPr>
      <w:r w:rsidRPr="00053B8A">
        <w:rPr>
          <w:rFonts w:ascii="Arial" w:hAnsi="Arial" w:cs="Arial"/>
          <w:sz w:val="24"/>
          <w:szCs w:val="28"/>
        </w:rPr>
        <w:t>Orlitzky, M., Schmidt, F. L., &amp; Rynes, S. L. 20</w:t>
      </w:r>
      <w:r w:rsidR="0026022E" w:rsidRPr="00053B8A">
        <w:rPr>
          <w:rFonts w:ascii="Arial" w:hAnsi="Arial" w:cs="Arial"/>
          <w:sz w:val="24"/>
          <w:szCs w:val="28"/>
        </w:rPr>
        <w:t>14</w:t>
      </w:r>
      <w:r w:rsidRPr="00053B8A">
        <w:rPr>
          <w:rFonts w:ascii="Arial" w:hAnsi="Arial" w:cs="Arial"/>
          <w:sz w:val="24"/>
          <w:szCs w:val="28"/>
        </w:rPr>
        <w:t xml:space="preserve">. Corporate social and financial performance: A meta-analysis. </w:t>
      </w:r>
      <w:r w:rsidRPr="00053B8A">
        <w:rPr>
          <w:rFonts w:ascii="Arial" w:hAnsi="Arial" w:cs="Arial"/>
          <w:i/>
          <w:iCs/>
          <w:sz w:val="24"/>
          <w:szCs w:val="28"/>
        </w:rPr>
        <w:t>Organization Studies</w:t>
      </w:r>
      <w:r w:rsidRPr="00053B8A">
        <w:rPr>
          <w:rFonts w:ascii="Arial" w:hAnsi="Arial" w:cs="Arial"/>
          <w:sz w:val="24"/>
          <w:szCs w:val="28"/>
        </w:rPr>
        <w:t xml:space="preserve">, </w:t>
      </w:r>
      <w:r w:rsidRPr="00053B8A">
        <w:rPr>
          <w:rFonts w:ascii="Arial" w:hAnsi="Arial" w:cs="Arial"/>
          <w:i/>
          <w:iCs/>
          <w:sz w:val="24"/>
          <w:szCs w:val="28"/>
        </w:rPr>
        <w:t>24</w:t>
      </w:r>
      <w:r w:rsidRPr="00053B8A">
        <w:rPr>
          <w:rFonts w:ascii="Arial" w:hAnsi="Arial" w:cs="Arial"/>
          <w:sz w:val="24"/>
          <w:szCs w:val="28"/>
        </w:rPr>
        <w:t>(3), 403–441.</w:t>
      </w:r>
    </w:p>
    <w:p w14:paraId="2BA80161" w14:textId="6AFDA663" w:rsidR="00B072AF" w:rsidRPr="00B072AF" w:rsidRDefault="00B072AF" w:rsidP="00B072AF">
      <w:pPr>
        <w:rPr>
          <w:rFonts w:ascii="Arial" w:hAnsi="Arial" w:cs="Arial"/>
          <w:sz w:val="28"/>
        </w:rPr>
      </w:pPr>
      <w:r w:rsidRPr="00B072AF">
        <w:rPr>
          <w:rFonts w:ascii="Arial" w:hAnsi="Arial" w:cs="Arial"/>
          <w:color w:val="000000"/>
          <w:sz w:val="24"/>
          <w:szCs w:val="20"/>
        </w:rPr>
        <w:t>Pemberton, C. (2019). </w:t>
      </w:r>
      <w:r w:rsidRPr="00B072AF">
        <w:rPr>
          <w:rFonts w:ascii="Arial" w:hAnsi="Arial" w:cs="Arial"/>
          <w:i/>
          <w:iCs/>
          <w:color w:val="000000"/>
          <w:sz w:val="24"/>
          <w:szCs w:val="20"/>
        </w:rPr>
        <w:t>Brexit, VUCA and Resilience.</w:t>
      </w:r>
      <w:r w:rsidRPr="00B072AF">
        <w:rPr>
          <w:rFonts w:ascii="Arial" w:hAnsi="Arial" w:cs="Arial"/>
          <w:color w:val="000000"/>
          <w:sz w:val="24"/>
          <w:szCs w:val="20"/>
        </w:rPr>
        <w:t> Available: https://carolepemberton.co.uk/brexit-vuca-and-resilience/. Last accessed 5th Sept 2019.</w:t>
      </w:r>
    </w:p>
    <w:p w14:paraId="75A04644" w14:textId="77777777" w:rsidR="00E570E2" w:rsidRDefault="00E570E2" w:rsidP="00E570E2">
      <w:pPr>
        <w:spacing w:line="360" w:lineRule="auto"/>
      </w:pPr>
    </w:p>
    <w:p w14:paraId="75E101EC" w14:textId="77777777" w:rsidR="00680C88" w:rsidRDefault="00680C88" w:rsidP="00E570E2">
      <w:pPr>
        <w:spacing w:line="360" w:lineRule="auto"/>
      </w:pPr>
    </w:p>
    <w:p w14:paraId="5413C3C7" w14:textId="77777777" w:rsidR="00680C88" w:rsidRDefault="00680C88" w:rsidP="00E570E2">
      <w:pPr>
        <w:spacing w:line="360" w:lineRule="auto"/>
      </w:pPr>
    </w:p>
    <w:p w14:paraId="154A8BAD" w14:textId="77777777" w:rsidR="00680C88" w:rsidRDefault="00680C88" w:rsidP="00E570E2">
      <w:pPr>
        <w:spacing w:line="360" w:lineRule="auto"/>
      </w:pPr>
    </w:p>
    <w:p w14:paraId="67DD3247" w14:textId="77777777" w:rsidR="00680C88" w:rsidRDefault="00680C88" w:rsidP="00E570E2">
      <w:pPr>
        <w:spacing w:line="360" w:lineRule="auto"/>
      </w:pPr>
    </w:p>
    <w:p w14:paraId="2BDEC41B" w14:textId="77777777" w:rsidR="00680C88" w:rsidRDefault="00680C88" w:rsidP="00E570E2">
      <w:pPr>
        <w:spacing w:line="360" w:lineRule="auto"/>
      </w:pPr>
    </w:p>
    <w:p w14:paraId="1C161262" w14:textId="77777777" w:rsidR="00680C88" w:rsidRDefault="00680C88" w:rsidP="00E570E2">
      <w:pPr>
        <w:spacing w:line="360" w:lineRule="auto"/>
      </w:pPr>
    </w:p>
    <w:p w14:paraId="584FD720" w14:textId="10ABBB25" w:rsidR="00680C88" w:rsidRPr="00053B8A" w:rsidRDefault="00680C88" w:rsidP="00680C88">
      <w:pPr>
        <w:pStyle w:val="NormalWeb"/>
        <w:spacing w:before="0" w:beforeAutospacing="0" w:after="0" w:afterAutospacing="0" w:line="360" w:lineRule="auto"/>
        <w:jc w:val="center"/>
        <w:rPr>
          <w:rFonts w:ascii="Arial" w:hAnsi="Arial" w:cs="Arial"/>
          <w:color w:val="1C1E29"/>
        </w:rPr>
      </w:pPr>
      <w:r>
        <w:t xml:space="preserve">   </w:t>
      </w:r>
      <w:r>
        <w:rPr>
          <w:rFonts w:ascii="Arial" w:hAnsi="Arial" w:cs="Arial"/>
          <w:color w:val="1C1E29"/>
        </w:rPr>
        <w:t>PART 2</w:t>
      </w:r>
    </w:p>
    <w:p w14:paraId="09FCC6C3" w14:textId="77777777" w:rsidR="00680C88" w:rsidRPr="00053B8A" w:rsidRDefault="00680C88" w:rsidP="00680C88">
      <w:pPr>
        <w:pStyle w:val="NormalWeb"/>
        <w:spacing w:before="0" w:beforeAutospacing="0" w:after="0" w:afterAutospacing="0" w:line="360" w:lineRule="auto"/>
        <w:jc w:val="center"/>
        <w:rPr>
          <w:rFonts w:ascii="Arial" w:hAnsi="Arial" w:cs="Arial"/>
          <w:color w:val="1C1E29"/>
        </w:rPr>
      </w:pPr>
    </w:p>
    <w:p w14:paraId="4161DC0A" w14:textId="6B328464" w:rsidR="00680C88" w:rsidRPr="00053B8A" w:rsidRDefault="00680C88" w:rsidP="00680C88">
      <w:pPr>
        <w:pStyle w:val="NormalWeb"/>
        <w:spacing w:before="0" w:beforeAutospacing="0" w:after="0" w:afterAutospacing="0" w:line="360" w:lineRule="auto"/>
        <w:jc w:val="center"/>
        <w:rPr>
          <w:rFonts w:ascii="Arial" w:hAnsi="Arial" w:cs="Arial"/>
          <w:color w:val="1C1E29"/>
        </w:rPr>
      </w:pPr>
      <w:r>
        <w:rPr>
          <w:rFonts w:ascii="Arial" w:hAnsi="Arial" w:cs="Arial"/>
          <w:color w:val="1C1E29"/>
        </w:rPr>
        <w:t>JAMES PLC</w:t>
      </w:r>
    </w:p>
    <w:p w14:paraId="6243441F" w14:textId="77777777" w:rsidR="00680C88" w:rsidRPr="00053B8A" w:rsidRDefault="00680C88" w:rsidP="00680C88">
      <w:pPr>
        <w:pStyle w:val="NormalWeb"/>
        <w:spacing w:before="0" w:beforeAutospacing="0" w:after="0" w:afterAutospacing="0" w:line="360" w:lineRule="auto"/>
        <w:jc w:val="center"/>
        <w:rPr>
          <w:rFonts w:ascii="Arial" w:hAnsi="Arial" w:cs="Arial"/>
          <w:color w:val="1C1E29"/>
        </w:rPr>
      </w:pPr>
    </w:p>
    <w:p w14:paraId="499946F5" w14:textId="77777777" w:rsidR="00680C88" w:rsidRPr="00053B8A" w:rsidRDefault="00680C88" w:rsidP="00680C88">
      <w:pPr>
        <w:pStyle w:val="NormalWeb"/>
        <w:spacing w:before="0" w:beforeAutospacing="0" w:after="0" w:afterAutospacing="0" w:line="360" w:lineRule="auto"/>
        <w:jc w:val="center"/>
        <w:rPr>
          <w:rFonts w:ascii="Arial" w:hAnsi="Arial" w:cs="Arial"/>
          <w:color w:val="1C1E29"/>
        </w:rPr>
      </w:pPr>
      <w:r w:rsidRPr="00053B8A">
        <w:rPr>
          <w:rFonts w:ascii="Arial" w:hAnsi="Arial" w:cs="Arial"/>
          <w:color w:val="1C1E29"/>
        </w:rPr>
        <w:t>STUDENT: 1706958</w:t>
      </w:r>
    </w:p>
    <w:p w14:paraId="1843FBD9" w14:textId="77777777" w:rsidR="00680C88" w:rsidRPr="00053B8A" w:rsidRDefault="00680C88" w:rsidP="00680C88">
      <w:pPr>
        <w:pStyle w:val="NormalWeb"/>
        <w:spacing w:before="0" w:beforeAutospacing="0" w:after="0" w:afterAutospacing="0" w:line="360" w:lineRule="auto"/>
        <w:jc w:val="center"/>
        <w:rPr>
          <w:rFonts w:ascii="Arial" w:hAnsi="Arial" w:cs="Arial"/>
          <w:color w:val="1C1E29"/>
        </w:rPr>
      </w:pPr>
    </w:p>
    <w:p w14:paraId="03217B51" w14:textId="77777777" w:rsidR="00680C88" w:rsidRPr="00053B8A" w:rsidRDefault="00680C88" w:rsidP="00680C88">
      <w:pPr>
        <w:pStyle w:val="NormalWeb"/>
        <w:spacing w:before="0" w:beforeAutospacing="0" w:after="0" w:afterAutospacing="0" w:line="360" w:lineRule="auto"/>
        <w:jc w:val="center"/>
        <w:rPr>
          <w:rFonts w:ascii="Arial" w:hAnsi="Arial" w:cs="Arial"/>
          <w:color w:val="1C1E29"/>
        </w:rPr>
      </w:pPr>
      <w:r w:rsidRPr="00053B8A">
        <w:rPr>
          <w:rFonts w:ascii="Arial" w:hAnsi="Arial" w:cs="Arial"/>
          <w:color w:val="1C1E29"/>
        </w:rPr>
        <w:t>SUBMISSION DATE: 13.09.19</w:t>
      </w:r>
    </w:p>
    <w:p w14:paraId="15CBF386" w14:textId="408C1008" w:rsidR="00680C88" w:rsidRDefault="00680C88" w:rsidP="00E570E2">
      <w:pPr>
        <w:spacing w:line="360" w:lineRule="auto"/>
        <w:rPr>
          <w:rFonts w:ascii="Arial" w:hAnsi="Arial" w:cs="Arial"/>
        </w:rPr>
      </w:pPr>
    </w:p>
    <w:p w14:paraId="3DAFC834" w14:textId="77777777" w:rsidR="00465D6B" w:rsidRDefault="00465D6B" w:rsidP="00E570E2">
      <w:pPr>
        <w:spacing w:line="360" w:lineRule="auto"/>
        <w:rPr>
          <w:rFonts w:ascii="Arial" w:hAnsi="Arial" w:cs="Arial"/>
        </w:rPr>
      </w:pPr>
    </w:p>
    <w:p w14:paraId="1BA049F6" w14:textId="77777777" w:rsidR="00465D6B" w:rsidRDefault="00465D6B" w:rsidP="00E570E2">
      <w:pPr>
        <w:spacing w:line="360" w:lineRule="auto"/>
        <w:rPr>
          <w:rFonts w:ascii="Arial" w:hAnsi="Arial" w:cs="Arial"/>
        </w:rPr>
      </w:pPr>
    </w:p>
    <w:p w14:paraId="6F421863" w14:textId="77777777" w:rsidR="00465D6B" w:rsidRDefault="00465D6B" w:rsidP="00E570E2">
      <w:pPr>
        <w:spacing w:line="360" w:lineRule="auto"/>
        <w:rPr>
          <w:rFonts w:ascii="Arial" w:hAnsi="Arial" w:cs="Arial"/>
        </w:rPr>
      </w:pPr>
    </w:p>
    <w:p w14:paraId="55AE8CBE" w14:textId="77777777" w:rsidR="00465D6B" w:rsidRDefault="00465D6B" w:rsidP="00E570E2">
      <w:pPr>
        <w:spacing w:line="360" w:lineRule="auto"/>
        <w:rPr>
          <w:rFonts w:ascii="Arial" w:hAnsi="Arial" w:cs="Arial"/>
        </w:rPr>
      </w:pPr>
    </w:p>
    <w:p w14:paraId="245A3BC1" w14:textId="77777777" w:rsidR="00465D6B" w:rsidRDefault="00465D6B" w:rsidP="00E570E2">
      <w:pPr>
        <w:spacing w:line="360" w:lineRule="auto"/>
        <w:rPr>
          <w:rFonts w:ascii="Arial" w:hAnsi="Arial" w:cs="Arial"/>
        </w:rPr>
      </w:pPr>
    </w:p>
    <w:p w14:paraId="34B30FB7" w14:textId="77777777" w:rsidR="00465D6B" w:rsidRDefault="00465D6B" w:rsidP="00E570E2">
      <w:pPr>
        <w:spacing w:line="360" w:lineRule="auto"/>
        <w:rPr>
          <w:rFonts w:ascii="Arial" w:hAnsi="Arial" w:cs="Arial"/>
        </w:rPr>
      </w:pPr>
    </w:p>
    <w:p w14:paraId="546EA696" w14:textId="77777777" w:rsidR="00465D6B" w:rsidRDefault="00465D6B" w:rsidP="00E570E2">
      <w:pPr>
        <w:spacing w:line="360" w:lineRule="auto"/>
        <w:rPr>
          <w:rFonts w:ascii="Arial" w:hAnsi="Arial" w:cs="Arial"/>
        </w:rPr>
      </w:pPr>
    </w:p>
    <w:p w14:paraId="33F9B0CB" w14:textId="77777777" w:rsidR="00465D6B" w:rsidRDefault="00465D6B" w:rsidP="00E570E2">
      <w:pPr>
        <w:spacing w:line="360" w:lineRule="auto"/>
        <w:rPr>
          <w:rFonts w:ascii="Arial" w:hAnsi="Arial" w:cs="Arial"/>
        </w:rPr>
      </w:pPr>
    </w:p>
    <w:p w14:paraId="0D002F98" w14:textId="77777777" w:rsidR="00465D6B" w:rsidRDefault="00465D6B" w:rsidP="00E570E2">
      <w:pPr>
        <w:spacing w:line="360" w:lineRule="auto"/>
        <w:rPr>
          <w:rFonts w:ascii="Arial" w:hAnsi="Arial" w:cs="Arial"/>
        </w:rPr>
      </w:pPr>
    </w:p>
    <w:p w14:paraId="5B2E9782" w14:textId="77777777" w:rsidR="00465D6B" w:rsidRDefault="00465D6B" w:rsidP="00E570E2">
      <w:pPr>
        <w:spacing w:line="360" w:lineRule="auto"/>
        <w:rPr>
          <w:rFonts w:ascii="Arial" w:hAnsi="Arial" w:cs="Arial"/>
        </w:rPr>
      </w:pPr>
    </w:p>
    <w:p w14:paraId="25774665" w14:textId="77777777" w:rsidR="00465D6B" w:rsidRDefault="00465D6B" w:rsidP="00E570E2">
      <w:pPr>
        <w:spacing w:line="360" w:lineRule="auto"/>
        <w:rPr>
          <w:rFonts w:ascii="Arial" w:hAnsi="Arial" w:cs="Arial"/>
        </w:rPr>
      </w:pPr>
    </w:p>
    <w:p w14:paraId="6BD4674E" w14:textId="77777777" w:rsidR="00465D6B" w:rsidRDefault="00465D6B" w:rsidP="00E570E2">
      <w:pPr>
        <w:spacing w:line="360" w:lineRule="auto"/>
        <w:rPr>
          <w:rFonts w:ascii="Arial" w:hAnsi="Arial" w:cs="Arial"/>
        </w:rPr>
      </w:pPr>
    </w:p>
    <w:p w14:paraId="4E8C1AA3" w14:textId="77777777" w:rsidR="00465D6B" w:rsidRDefault="00465D6B" w:rsidP="00E570E2">
      <w:pPr>
        <w:spacing w:line="360" w:lineRule="auto"/>
        <w:rPr>
          <w:rFonts w:ascii="Arial" w:hAnsi="Arial" w:cs="Arial"/>
        </w:rPr>
      </w:pPr>
    </w:p>
    <w:p w14:paraId="35383867" w14:textId="77777777" w:rsidR="00465D6B" w:rsidRPr="00465D6B" w:rsidRDefault="00465D6B" w:rsidP="00465D6B">
      <w:pPr>
        <w:spacing w:line="360" w:lineRule="auto"/>
        <w:rPr>
          <w:rFonts w:ascii="Arial" w:hAnsi="Arial" w:cs="Arial"/>
          <w:b/>
          <w:bCs/>
          <w:sz w:val="24"/>
          <w:szCs w:val="24"/>
        </w:rPr>
      </w:pPr>
      <w:r w:rsidRPr="00465D6B">
        <w:rPr>
          <w:rFonts w:ascii="Arial" w:hAnsi="Arial" w:cs="Arial"/>
          <w:b/>
          <w:bCs/>
          <w:sz w:val="24"/>
          <w:szCs w:val="24"/>
        </w:rPr>
        <w:lastRenderedPageBreak/>
        <w:t>Introduction</w:t>
      </w:r>
    </w:p>
    <w:p w14:paraId="48D89784" w14:textId="77C90FCD" w:rsidR="00465D6B" w:rsidRPr="00465D6B" w:rsidRDefault="00465D6B" w:rsidP="00465D6B">
      <w:pPr>
        <w:spacing w:line="360" w:lineRule="auto"/>
        <w:ind w:firstLine="720"/>
        <w:rPr>
          <w:rFonts w:ascii="Arial" w:hAnsi="Arial" w:cs="Arial"/>
          <w:sz w:val="24"/>
          <w:szCs w:val="24"/>
          <w:lang w:val="en-US"/>
        </w:rPr>
      </w:pPr>
      <w:r w:rsidRPr="00465D6B">
        <w:rPr>
          <w:rFonts w:ascii="Arial" w:hAnsi="Arial" w:cs="Arial"/>
          <w:sz w:val="24"/>
          <w:szCs w:val="24"/>
        </w:rPr>
        <w:t xml:space="preserve">For a firm to grow, become profitable and succeed in the current competitive business environment, it must invest in projects that sustain its growth, funds operations, and generate profits. Typically, investments are often in forms of projects or financial assets such as securities. However, before a firm makes an investment, they should evaluate each of the investment opportunity to make feasible decisions. </w:t>
      </w:r>
      <w:r w:rsidRPr="00465D6B">
        <w:rPr>
          <w:rFonts w:ascii="Arial" w:hAnsi="Arial" w:cs="Arial"/>
          <w:sz w:val="24"/>
          <w:szCs w:val="24"/>
          <w:lang w:val="en-US"/>
        </w:rPr>
        <w:t>Capital budgeting techniques have widely been used to evaluate investment opportunities</w:t>
      </w:r>
      <w:r>
        <w:rPr>
          <w:rFonts w:ascii="Arial" w:hAnsi="Arial" w:cs="Arial"/>
          <w:sz w:val="24"/>
          <w:szCs w:val="24"/>
          <w:lang w:val="en-US"/>
        </w:rPr>
        <w:t xml:space="preserve"> (Seitz &amp; Ellison, 2009)</w:t>
      </w:r>
      <w:r w:rsidRPr="00465D6B">
        <w:rPr>
          <w:rFonts w:ascii="Arial" w:hAnsi="Arial" w:cs="Arial"/>
          <w:sz w:val="24"/>
          <w:szCs w:val="24"/>
          <w:lang w:val="en-US"/>
        </w:rPr>
        <w:t xml:space="preserve">. This purpose for this report is to provide James PLC with calculations for evaluating long-term investment opportunities. The report also offers insight on better financing option between equity financing and debt financing by offering calculations, benefits, and drawbacks for each option. </w:t>
      </w:r>
    </w:p>
    <w:p w14:paraId="38398376" w14:textId="77701A83" w:rsidR="00465D6B" w:rsidRPr="00465D6B" w:rsidRDefault="00465D6B" w:rsidP="00465D6B">
      <w:pPr>
        <w:spacing w:line="360" w:lineRule="auto"/>
        <w:ind w:firstLine="720"/>
        <w:rPr>
          <w:rFonts w:ascii="Arial" w:hAnsi="Arial" w:cs="Arial"/>
          <w:sz w:val="24"/>
          <w:szCs w:val="24"/>
          <w:lang w:val="en-US"/>
        </w:rPr>
      </w:pPr>
      <w:r w:rsidRPr="00465D6B">
        <w:rPr>
          <w:rFonts w:ascii="Arial" w:hAnsi="Arial" w:cs="Arial"/>
          <w:sz w:val="24"/>
          <w:szCs w:val="24"/>
          <w:lang w:val="en-US"/>
        </w:rPr>
        <w:t xml:space="preserve">Capital budgeting can be defined as the technique or process in which a company computes the acceptability as well as the feasibility of long-term investment </w:t>
      </w:r>
      <w:r w:rsidRPr="00465D6B">
        <w:rPr>
          <w:rFonts w:ascii="Arial" w:hAnsi="Arial" w:cs="Arial"/>
          <w:sz w:val="24"/>
          <w:szCs w:val="24"/>
          <w:lang w:val="en-US"/>
        </w:rPr>
        <w:fldChar w:fldCharType="begin"/>
      </w:r>
      <w:r w:rsidRPr="00465D6B">
        <w:rPr>
          <w:rFonts w:ascii="Arial" w:hAnsi="Arial" w:cs="Arial"/>
          <w:sz w:val="24"/>
          <w:szCs w:val="24"/>
          <w:lang w:val="en-US"/>
        </w:rPr>
        <w:instrText xml:space="preserve"> ADDIN ZOTERO_ITEM CSL_CITATION {"citationID":"qOeAO97v","properties":{"formattedCitation":"(Pike &amp; Wolfe, 1988)","plainCitation":"(Pike &amp; Wolfe, 1988)","noteIndex":0},"citationItems":[{"id":730,"uris":["http://zotero.org/users/local/SIKpUXFh/items/AUW3VQP7"],"uri":["http://zotero.org/users/local/SIKpUXFh/items/AUW3VQP7"],"itemData":{"id":730,"type":"book","title":"Capital budgeting for the 1990's: a review of capital investment trends in larger companies","publisher":"Chartered Institute of Management Accountants","author":[{"family":"Pike","given":"Richard H."},{"family":"Wolfe","given":"Mitchell B."}],"issued":{"date-parts":[["1988"]]}}}],"schema":"https://github.com/citation-style-language/schema/raw/master/csl-citation.json"} </w:instrText>
      </w:r>
      <w:r w:rsidRPr="00465D6B">
        <w:rPr>
          <w:rFonts w:ascii="Arial" w:hAnsi="Arial" w:cs="Arial"/>
          <w:sz w:val="24"/>
          <w:szCs w:val="24"/>
          <w:lang w:val="en-US"/>
        </w:rPr>
        <w:fldChar w:fldCharType="separate"/>
      </w:r>
      <w:r w:rsidRPr="00465D6B">
        <w:rPr>
          <w:rFonts w:ascii="Arial" w:hAnsi="Arial" w:cs="Arial"/>
          <w:sz w:val="24"/>
          <w:szCs w:val="24"/>
          <w:lang w:val="en-US"/>
        </w:rPr>
        <w:t>(Pike &amp; Wolfe, 2008)</w:t>
      </w:r>
      <w:r w:rsidRPr="00465D6B">
        <w:rPr>
          <w:rFonts w:ascii="Arial" w:hAnsi="Arial" w:cs="Arial"/>
          <w:sz w:val="24"/>
          <w:szCs w:val="24"/>
        </w:rPr>
        <w:fldChar w:fldCharType="end"/>
      </w:r>
      <w:r w:rsidRPr="00465D6B">
        <w:rPr>
          <w:rFonts w:ascii="Arial" w:hAnsi="Arial" w:cs="Arial"/>
          <w:sz w:val="24"/>
          <w:szCs w:val="24"/>
          <w:lang w:val="en-US"/>
        </w:rPr>
        <w:t>. For James PLC, the management can use capital budgeting methods to evaluate which project is economically good to invest on and reject, which does not generate positive revenues. Using these formal ways of evaluating an investment, the company can make the right decisions that ensure they benefit from the project. Besides, these projects require huge funds and time. For the company to commit such funds, it needs to be sure of the returns</w:t>
      </w:r>
      <w:r w:rsidRPr="00465D6B">
        <w:rPr>
          <w:rFonts w:ascii="Arial" w:hAnsi="Arial" w:cs="Arial"/>
          <w:sz w:val="24"/>
          <w:szCs w:val="24"/>
          <w:lang w:val="en-US"/>
        </w:rPr>
        <w:fldChar w:fldCharType="begin"/>
      </w:r>
      <w:r w:rsidRPr="00465D6B">
        <w:rPr>
          <w:rFonts w:ascii="Arial" w:hAnsi="Arial" w:cs="Arial"/>
          <w:sz w:val="24"/>
          <w:szCs w:val="24"/>
          <w:lang w:val="en-US"/>
        </w:rPr>
        <w:instrText xml:space="preserve"> ADDIN ZOTERO_ITEM CSL_CITATION {"citationID":"EohR6GnZ","properties":{"formattedCitation":"(Haka, Gordon, &amp; Pinches, 1985)","plainCitation":"(Haka, Gordon, &amp; Pinches, 1985)","noteIndex":0},"citationItems":[{"id":733,"uris":["http://zotero.org/users/local/SIKpUXFh/items/SQMJ8HD3"],"uri":["http://zotero.org/users/local/SIKpUXFh/items/SQMJ8HD3"],"itemData":{"id":733,"type":"chapter","title":"Sophisticated capital budgeting selection techniques and firm performance","container-title":"Readings in Accounting for Management Control","publisher":"Springer","page":"521-545","author":[{"family":"Haka","given":"Susan F."},{"family":"Gordon","given":"Lawrence A."},{"family":"Pinches","given":"George E."}],"issued":{"date-parts":[["1985"]]}}}],"schema":"https://github.com/citation-style-language/schema/raw/master/csl-citation.json"} </w:instrText>
      </w:r>
      <w:r w:rsidRPr="00465D6B">
        <w:rPr>
          <w:rFonts w:ascii="Arial" w:hAnsi="Arial" w:cs="Arial"/>
          <w:sz w:val="24"/>
          <w:szCs w:val="24"/>
          <w:lang w:val="en-US"/>
        </w:rPr>
        <w:fldChar w:fldCharType="separate"/>
      </w:r>
      <w:r w:rsidRPr="00465D6B">
        <w:rPr>
          <w:rFonts w:ascii="Arial" w:hAnsi="Arial" w:cs="Arial"/>
          <w:sz w:val="24"/>
          <w:szCs w:val="24"/>
          <w:lang w:val="en-US"/>
        </w:rPr>
        <w:t>(Haka, Gordon, &amp; Pinches, 2005)</w:t>
      </w:r>
      <w:r w:rsidRPr="00465D6B">
        <w:rPr>
          <w:rFonts w:ascii="Arial" w:hAnsi="Arial" w:cs="Arial"/>
          <w:sz w:val="24"/>
          <w:szCs w:val="24"/>
        </w:rPr>
        <w:fldChar w:fldCharType="end"/>
      </w:r>
      <w:r w:rsidRPr="00465D6B">
        <w:rPr>
          <w:rFonts w:ascii="Arial" w:hAnsi="Arial" w:cs="Arial"/>
          <w:sz w:val="24"/>
          <w:szCs w:val="24"/>
          <w:lang w:val="en-US"/>
        </w:rPr>
        <w:t xml:space="preserve">. Some of capital budgeting techniques to be discussed in this report in connection with company investment include Net Present Value (NPV) and Interest Rate of Return (IRR) </w:t>
      </w:r>
      <w:r w:rsidRPr="00465D6B">
        <w:rPr>
          <w:rFonts w:ascii="Arial" w:hAnsi="Arial" w:cs="Arial"/>
          <w:sz w:val="24"/>
          <w:szCs w:val="24"/>
          <w:lang w:val="en-US"/>
        </w:rPr>
        <w:fldChar w:fldCharType="begin"/>
      </w:r>
      <w:r w:rsidRPr="00465D6B">
        <w:rPr>
          <w:rFonts w:ascii="Arial" w:hAnsi="Arial" w:cs="Arial"/>
          <w:sz w:val="24"/>
          <w:szCs w:val="24"/>
          <w:lang w:val="en-US"/>
        </w:rPr>
        <w:instrText xml:space="preserve"> ADDIN ZOTERO_ITEM CSL_CITATION {"citationID":"Ey8bQv0E","properties":{"formattedCitation":"(Shinoda, 2010)","plainCitation":"(Shinoda, 2010)","noteIndex":0},"citationItems":[{"id":729,"uris":["http://zotero.org/users/local/SIKpUXFh/items/Y5BH4KLZ"],"uri":["http://zotero.org/users/local/SIKpUXFh/items/Y5BH4KLZ"],"itemData":{"id":729,"type":"article-journal","title":"Capital budgeting management practices in Japan: a focus on the use of capital budgeting methods","container-title":"Economic Journal of Hokkaido University","page":"39-50","volume":"39","author":[{"family":"Shinoda","given":"Tomonari"}],"issued":{"date-parts":[["2010"]]}}}],"schema":"https://github.com/citation-style-language/schema/raw/master/csl-citation.json"} </w:instrText>
      </w:r>
      <w:r w:rsidRPr="00465D6B">
        <w:rPr>
          <w:rFonts w:ascii="Arial" w:hAnsi="Arial" w:cs="Arial"/>
          <w:sz w:val="24"/>
          <w:szCs w:val="24"/>
          <w:lang w:val="en-US"/>
        </w:rPr>
        <w:fldChar w:fldCharType="separate"/>
      </w:r>
      <w:r w:rsidRPr="00465D6B">
        <w:rPr>
          <w:rFonts w:ascii="Arial" w:hAnsi="Arial" w:cs="Arial"/>
          <w:sz w:val="24"/>
          <w:szCs w:val="24"/>
          <w:lang w:val="en-US"/>
        </w:rPr>
        <w:t>(Shinoda, 2010)</w:t>
      </w:r>
      <w:r w:rsidRPr="00465D6B">
        <w:rPr>
          <w:rFonts w:ascii="Arial" w:hAnsi="Arial" w:cs="Arial"/>
          <w:sz w:val="24"/>
          <w:szCs w:val="24"/>
        </w:rPr>
        <w:fldChar w:fldCharType="end"/>
      </w:r>
      <w:r w:rsidRPr="00465D6B">
        <w:rPr>
          <w:rFonts w:ascii="Arial" w:hAnsi="Arial" w:cs="Arial"/>
          <w:sz w:val="24"/>
          <w:szCs w:val="24"/>
          <w:lang w:val="en-US"/>
        </w:rPr>
        <w:t>. These project appraisal methods that tells the management which project to undertake and which to reject based on which generate positive cash flows and NPV and IRR that is higher than cost of capital.</w:t>
      </w:r>
    </w:p>
    <w:p w14:paraId="11751DE9" w14:textId="75D35F6A" w:rsidR="00465D6B" w:rsidRPr="00465D6B" w:rsidRDefault="00465D6B" w:rsidP="00465D6B">
      <w:pPr>
        <w:spacing w:line="360" w:lineRule="auto"/>
        <w:rPr>
          <w:rFonts w:ascii="Arial" w:hAnsi="Arial" w:cs="Arial"/>
          <w:b/>
          <w:bCs/>
          <w:i/>
          <w:iCs/>
          <w:sz w:val="24"/>
          <w:szCs w:val="24"/>
          <w:lang w:val="en-US"/>
        </w:rPr>
      </w:pPr>
      <w:r>
        <w:rPr>
          <w:rFonts w:ascii="Arial" w:hAnsi="Arial" w:cs="Arial"/>
          <w:b/>
          <w:bCs/>
          <w:i/>
          <w:iCs/>
          <w:sz w:val="24"/>
          <w:szCs w:val="24"/>
          <w:lang w:val="en-US"/>
        </w:rPr>
        <w:t>Summaris</w:t>
      </w:r>
      <w:r w:rsidRPr="00465D6B">
        <w:rPr>
          <w:rFonts w:ascii="Arial" w:hAnsi="Arial" w:cs="Arial"/>
          <w:b/>
          <w:bCs/>
          <w:i/>
          <w:iCs/>
          <w:sz w:val="24"/>
          <w:szCs w:val="24"/>
          <w:lang w:val="en-US"/>
        </w:rPr>
        <w:t>ed information of the projects</w:t>
      </w:r>
    </w:p>
    <w:p w14:paraId="55093787" w14:textId="50E56EF3" w:rsidR="00465D6B" w:rsidRPr="00465D6B" w:rsidRDefault="00465D6B" w:rsidP="00465D6B">
      <w:pPr>
        <w:spacing w:line="360" w:lineRule="auto"/>
        <w:rPr>
          <w:rFonts w:ascii="Arial" w:hAnsi="Arial" w:cs="Arial"/>
          <w:sz w:val="24"/>
          <w:szCs w:val="24"/>
          <w:lang w:val="en-US"/>
        </w:rPr>
      </w:pPr>
      <w:r w:rsidRPr="00465D6B">
        <w:rPr>
          <w:rFonts w:ascii="Arial" w:hAnsi="Arial" w:cs="Arial"/>
          <w:sz w:val="24"/>
          <w:szCs w:val="24"/>
        </w:rPr>
        <w:t>James Plc produces a variety of high-quality garden furniture and associated items</w:t>
      </w:r>
      <w:r>
        <w:rPr>
          <w:rFonts w:ascii="Arial" w:hAnsi="Arial" w:cs="Arial"/>
          <w:sz w:val="24"/>
          <w:szCs w:val="24"/>
        </w:rPr>
        <w:t xml:space="preserve"> and</w:t>
      </w:r>
      <w:r w:rsidRPr="00465D6B">
        <w:rPr>
          <w:rFonts w:ascii="Arial" w:hAnsi="Arial" w:cs="Arial"/>
          <w:sz w:val="24"/>
          <w:szCs w:val="24"/>
        </w:rPr>
        <w:t xml:space="preserve"> </w:t>
      </w:r>
      <w:r>
        <w:rPr>
          <w:rFonts w:ascii="Arial" w:hAnsi="Arial" w:cs="Arial"/>
          <w:sz w:val="24"/>
          <w:szCs w:val="24"/>
        </w:rPr>
        <w:t xml:space="preserve">is </w:t>
      </w:r>
      <w:r w:rsidRPr="00465D6B">
        <w:rPr>
          <w:rFonts w:ascii="Arial" w:hAnsi="Arial" w:cs="Arial"/>
          <w:sz w:val="24"/>
          <w:szCs w:val="24"/>
        </w:rPr>
        <w:t>considering whether to invest in the potential to expand the business. The directors have identified three ma</w:t>
      </w:r>
      <w:r>
        <w:rPr>
          <w:rFonts w:ascii="Arial" w:hAnsi="Arial" w:cs="Arial"/>
          <w:sz w:val="24"/>
          <w:szCs w:val="24"/>
        </w:rPr>
        <w:t>in options for a four-year plan:</w:t>
      </w:r>
      <w:r w:rsidRPr="00465D6B">
        <w:rPr>
          <w:rFonts w:ascii="Arial" w:hAnsi="Arial" w:cs="Arial"/>
          <w:sz w:val="24"/>
          <w:szCs w:val="24"/>
        </w:rPr>
        <w:br/>
      </w:r>
      <w:r w:rsidRPr="00465D6B">
        <w:rPr>
          <w:rFonts w:ascii="Arial" w:hAnsi="Arial" w:cs="Arial"/>
          <w:sz w:val="24"/>
          <w:szCs w:val="24"/>
        </w:rPr>
        <w:br/>
        <w:t>A. Expand its flourishing retail outlet to include all products.</w:t>
      </w:r>
      <w:r w:rsidRPr="00465D6B">
        <w:rPr>
          <w:rFonts w:ascii="Arial" w:hAnsi="Arial" w:cs="Arial"/>
          <w:sz w:val="24"/>
          <w:szCs w:val="24"/>
        </w:rPr>
        <w:br/>
        <w:t>B. Develop into internet sales.</w:t>
      </w:r>
      <w:r w:rsidRPr="00465D6B">
        <w:rPr>
          <w:rFonts w:ascii="Arial" w:hAnsi="Arial" w:cs="Arial"/>
          <w:sz w:val="24"/>
          <w:szCs w:val="24"/>
        </w:rPr>
        <w:br/>
        <w:t>C. Produce greenhouses and conservatories.</w:t>
      </w:r>
      <w:r w:rsidRPr="00465D6B">
        <w:rPr>
          <w:rFonts w:ascii="Arial" w:hAnsi="Arial" w:cs="Arial"/>
          <w:sz w:val="24"/>
          <w:szCs w:val="24"/>
        </w:rPr>
        <w:br/>
      </w:r>
      <w:r w:rsidRPr="00465D6B">
        <w:rPr>
          <w:rFonts w:ascii="Arial" w:hAnsi="Arial" w:cs="Arial"/>
          <w:sz w:val="24"/>
          <w:szCs w:val="24"/>
        </w:rPr>
        <w:lastRenderedPageBreak/>
        <w:t>These options would require initial expenditure of (A) £750,000, (B) £1,200,000, or (C) £2,000,000. The most recent estimates on year-end cash flows are as follows</w:t>
      </w:r>
      <w:r w:rsidRPr="00465D6B">
        <w:rPr>
          <w:rFonts w:ascii="Arial" w:hAnsi="Arial" w:cs="Arial"/>
          <w:sz w:val="24"/>
          <w:szCs w:val="24"/>
        </w:rPr>
        <w:br/>
        <w:t>Year 1 Year 2 Year 3 Year 4</w:t>
      </w:r>
      <w:r w:rsidRPr="00465D6B">
        <w:rPr>
          <w:rFonts w:ascii="Arial" w:hAnsi="Arial" w:cs="Arial"/>
          <w:sz w:val="24"/>
          <w:szCs w:val="24"/>
        </w:rPr>
        <w:br/>
        <w:t>£’000 £’000 £’000 £’000</w:t>
      </w:r>
      <w:r w:rsidRPr="00465D6B">
        <w:rPr>
          <w:rFonts w:ascii="Arial" w:hAnsi="Arial" w:cs="Arial"/>
          <w:sz w:val="24"/>
          <w:szCs w:val="24"/>
        </w:rPr>
        <w:br/>
        <w:t>(A) 400 500 500 500</w:t>
      </w:r>
      <w:r w:rsidRPr="00465D6B">
        <w:rPr>
          <w:rFonts w:ascii="Arial" w:hAnsi="Arial" w:cs="Arial"/>
          <w:sz w:val="24"/>
          <w:szCs w:val="24"/>
        </w:rPr>
        <w:br/>
        <w:t>(B) 500 600 800 1,000</w:t>
      </w:r>
      <w:r w:rsidRPr="00465D6B">
        <w:rPr>
          <w:rFonts w:ascii="Arial" w:hAnsi="Arial" w:cs="Arial"/>
          <w:sz w:val="24"/>
          <w:szCs w:val="24"/>
        </w:rPr>
        <w:br/>
        <w:t>(C) 500 1,000 1,500 1,500</w:t>
      </w:r>
    </w:p>
    <w:p w14:paraId="5DA4259C" w14:textId="77777777" w:rsidR="00465D6B" w:rsidRPr="00465D6B" w:rsidRDefault="00465D6B" w:rsidP="00465D6B">
      <w:pPr>
        <w:spacing w:line="360" w:lineRule="auto"/>
        <w:jc w:val="center"/>
        <w:rPr>
          <w:rFonts w:ascii="Arial" w:hAnsi="Arial" w:cs="Arial"/>
          <w:b/>
          <w:bCs/>
          <w:sz w:val="24"/>
          <w:szCs w:val="24"/>
          <w:lang w:val="en-US"/>
        </w:rPr>
      </w:pPr>
      <w:r w:rsidRPr="00465D6B">
        <w:rPr>
          <w:rFonts w:ascii="Arial" w:hAnsi="Arial" w:cs="Arial"/>
          <w:b/>
          <w:bCs/>
          <w:sz w:val="24"/>
          <w:szCs w:val="24"/>
          <w:lang w:val="en-US"/>
        </w:rPr>
        <w:t>Net Present Value (NPV)</w:t>
      </w:r>
    </w:p>
    <w:p w14:paraId="7D43BD44" w14:textId="77777777" w:rsidR="00465D6B" w:rsidRPr="00465D6B" w:rsidRDefault="00465D6B" w:rsidP="00465D6B">
      <w:pPr>
        <w:spacing w:line="360" w:lineRule="auto"/>
        <w:rPr>
          <w:rFonts w:ascii="Arial" w:hAnsi="Arial" w:cs="Arial"/>
          <w:sz w:val="24"/>
          <w:szCs w:val="24"/>
          <w:lang w:val="en-US"/>
        </w:rPr>
      </w:pPr>
      <w:r w:rsidRPr="00465D6B">
        <w:rPr>
          <w:rFonts w:ascii="Arial" w:hAnsi="Arial" w:cs="Arial"/>
          <w:sz w:val="24"/>
          <w:szCs w:val="24"/>
          <w:lang w:val="en-US"/>
        </w:rPr>
        <w:t xml:space="preserve">This is the most popular and widely capital budgeting technique used in evaluating the profitability of a project. Business entities use NPV to evaluate whether they should pursue or reject a project based on cash flows generated. </w:t>
      </w:r>
    </w:p>
    <w:p w14:paraId="2AC0D39D" w14:textId="77777777" w:rsidR="00465D6B" w:rsidRPr="00465D6B" w:rsidRDefault="00465D6B" w:rsidP="00465D6B">
      <w:pPr>
        <w:spacing w:line="360" w:lineRule="auto"/>
        <w:rPr>
          <w:rFonts w:ascii="Arial" w:hAnsi="Arial" w:cs="Arial"/>
          <w:b/>
          <w:bCs/>
          <w:i/>
          <w:iCs/>
          <w:sz w:val="24"/>
          <w:szCs w:val="24"/>
          <w:u w:val="single"/>
          <w:lang w:val="en-US"/>
        </w:rPr>
      </w:pPr>
      <w:r w:rsidRPr="00465D6B">
        <w:rPr>
          <w:rFonts w:ascii="Arial" w:hAnsi="Arial" w:cs="Arial"/>
          <w:b/>
          <w:bCs/>
          <w:i/>
          <w:iCs/>
          <w:sz w:val="24"/>
          <w:szCs w:val="24"/>
          <w:u w:val="single"/>
          <w:lang w:val="en-US"/>
        </w:rPr>
        <w:t xml:space="preserve">Calculations </w:t>
      </w:r>
    </w:p>
    <w:p w14:paraId="4282F5E4" w14:textId="77777777" w:rsidR="00465D6B" w:rsidRPr="00465D6B" w:rsidRDefault="00465D6B" w:rsidP="00465D6B">
      <w:pPr>
        <w:spacing w:line="360" w:lineRule="auto"/>
        <w:rPr>
          <w:rFonts w:ascii="Arial" w:hAnsi="Arial" w:cs="Arial"/>
          <w:b/>
          <w:bCs/>
          <w:i/>
          <w:iCs/>
          <w:sz w:val="24"/>
          <w:szCs w:val="24"/>
          <w:u w:val="single"/>
          <w:lang w:val="en-US"/>
        </w:rPr>
      </w:pPr>
      <w:r w:rsidRPr="00465D6B">
        <w:rPr>
          <w:rFonts w:ascii="Arial" w:hAnsi="Arial" w:cs="Arial"/>
          <w:b/>
          <w:bCs/>
          <w:i/>
          <w:iCs/>
          <w:sz w:val="24"/>
          <w:szCs w:val="24"/>
          <w:u w:val="single"/>
          <w:lang w:val="en-US"/>
        </w:rPr>
        <w:t xml:space="preserve">Project A - </w:t>
      </w:r>
      <w:r w:rsidRPr="00465D6B">
        <w:rPr>
          <w:rFonts w:ascii="Arial" w:hAnsi="Arial" w:cs="Arial"/>
          <w:b/>
          <w:bCs/>
          <w:i/>
          <w:iCs/>
          <w:sz w:val="24"/>
          <w:szCs w:val="24"/>
          <w:u w:val="single"/>
        </w:rPr>
        <w:t>Expand its flourishing retail outlet to include all products</w:t>
      </w:r>
    </w:p>
    <w:p w14:paraId="35200D1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lang w:val="en-US"/>
        </w:rPr>
        <w:t xml:space="preserve">This project has an initial expenditure of </w:t>
      </w:r>
      <w:r w:rsidRPr="00465D6B">
        <w:rPr>
          <w:rFonts w:ascii="Arial" w:hAnsi="Arial" w:cs="Arial"/>
          <w:sz w:val="24"/>
          <w:szCs w:val="24"/>
        </w:rPr>
        <w:t xml:space="preserve">£750,000 and cash flows of 400,000, 500,000, 500,000, and 500,000 in a four-year plan and 8% cost of capital. </w:t>
      </w:r>
    </w:p>
    <w:tbl>
      <w:tblPr>
        <w:tblStyle w:val="TableGrid"/>
        <w:tblW w:w="0" w:type="auto"/>
        <w:tblLook w:val="04A0" w:firstRow="1" w:lastRow="0" w:firstColumn="1" w:lastColumn="0" w:noHBand="0" w:noVBand="1"/>
      </w:tblPr>
      <w:tblGrid>
        <w:gridCol w:w="1468"/>
        <w:gridCol w:w="2366"/>
        <w:gridCol w:w="1790"/>
        <w:gridCol w:w="3013"/>
      </w:tblGrid>
      <w:tr w:rsidR="00465D6B" w:rsidRPr="00465D6B" w14:paraId="54F0A80D" w14:textId="77777777" w:rsidTr="00465D6B">
        <w:trPr>
          <w:trHeight w:val="354"/>
        </w:trPr>
        <w:tc>
          <w:tcPr>
            <w:tcW w:w="1468" w:type="dxa"/>
            <w:noWrap/>
            <w:hideMark/>
          </w:tcPr>
          <w:p w14:paraId="29A2D5FE"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Year</w:t>
            </w:r>
          </w:p>
        </w:tc>
        <w:tc>
          <w:tcPr>
            <w:tcW w:w="2366" w:type="dxa"/>
            <w:noWrap/>
            <w:hideMark/>
          </w:tcPr>
          <w:p w14:paraId="66F8324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Cash flow</w:t>
            </w:r>
          </w:p>
        </w:tc>
        <w:tc>
          <w:tcPr>
            <w:tcW w:w="1790" w:type="dxa"/>
            <w:noWrap/>
            <w:hideMark/>
          </w:tcPr>
          <w:p w14:paraId="5AAEF403"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PVIF</w:t>
            </w:r>
          </w:p>
        </w:tc>
        <w:tc>
          <w:tcPr>
            <w:tcW w:w="3013" w:type="dxa"/>
            <w:noWrap/>
            <w:hideMark/>
          </w:tcPr>
          <w:p w14:paraId="04D405D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Present Value</w:t>
            </w:r>
          </w:p>
        </w:tc>
      </w:tr>
      <w:tr w:rsidR="00465D6B" w:rsidRPr="00465D6B" w14:paraId="4F8A5AA8" w14:textId="77777777" w:rsidTr="00465D6B">
        <w:trPr>
          <w:trHeight w:val="354"/>
        </w:trPr>
        <w:tc>
          <w:tcPr>
            <w:tcW w:w="1468" w:type="dxa"/>
            <w:noWrap/>
            <w:hideMark/>
          </w:tcPr>
          <w:p w14:paraId="2F6BD53D"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w:t>
            </w:r>
          </w:p>
        </w:tc>
        <w:tc>
          <w:tcPr>
            <w:tcW w:w="2366" w:type="dxa"/>
            <w:noWrap/>
            <w:hideMark/>
          </w:tcPr>
          <w:p w14:paraId="56E048D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-750,000</w:t>
            </w:r>
          </w:p>
        </w:tc>
        <w:tc>
          <w:tcPr>
            <w:tcW w:w="1790" w:type="dxa"/>
            <w:noWrap/>
            <w:hideMark/>
          </w:tcPr>
          <w:p w14:paraId="75567AF3"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w:t>
            </w:r>
          </w:p>
        </w:tc>
        <w:tc>
          <w:tcPr>
            <w:tcW w:w="3013" w:type="dxa"/>
            <w:noWrap/>
            <w:hideMark/>
          </w:tcPr>
          <w:p w14:paraId="11B7B43E"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-750,000</w:t>
            </w:r>
          </w:p>
        </w:tc>
      </w:tr>
      <w:tr w:rsidR="00465D6B" w:rsidRPr="00465D6B" w14:paraId="054B122E" w14:textId="77777777" w:rsidTr="00465D6B">
        <w:trPr>
          <w:trHeight w:val="354"/>
        </w:trPr>
        <w:tc>
          <w:tcPr>
            <w:tcW w:w="1468" w:type="dxa"/>
            <w:noWrap/>
            <w:hideMark/>
          </w:tcPr>
          <w:p w14:paraId="09C4B85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w:t>
            </w:r>
          </w:p>
        </w:tc>
        <w:tc>
          <w:tcPr>
            <w:tcW w:w="2366" w:type="dxa"/>
            <w:noWrap/>
            <w:hideMark/>
          </w:tcPr>
          <w:p w14:paraId="5AE0F59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400,000</w:t>
            </w:r>
          </w:p>
        </w:tc>
        <w:tc>
          <w:tcPr>
            <w:tcW w:w="1790" w:type="dxa"/>
            <w:noWrap/>
            <w:hideMark/>
          </w:tcPr>
          <w:p w14:paraId="033A71B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0.9259</w:t>
            </w:r>
          </w:p>
        </w:tc>
        <w:tc>
          <w:tcPr>
            <w:tcW w:w="3013" w:type="dxa"/>
            <w:noWrap/>
            <w:hideMark/>
          </w:tcPr>
          <w:p w14:paraId="7429DE8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370,360</w:t>
            </w:r>
          </w:p>
        </w:tc>
      </w:tr>
      <w:tr w:rsidR="00465D6B" w:rsidRPr="00465D6B" w14:paraId="7204D925" w14:textId="77777777" w:rsidTr="00465D6B">
        <w:trPr>
          <w:trHeight w:val="354"/>
        </w:trPr>
        <w:tc>
          <w:tcPr>
            <w:tcW w:w="1468" w:type="dxa"/>
            <w:noWrap/>
            <w:hideMark/>
          </w:tcPr>
          <w:p w14:paraId="2C05220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w:t>
            </w:r>
          </w:p>
        </w:tc>
        <w:tc>
          <w:tcPr>
            <w:tcW w:w="2366" w:type="dxa"/>
            <w:noWrap/>
            <w:hideMark/>
          </w:tcPr>
          <w:p w14:paraId="5BF79D5E"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500,000</w:t>
            </w:r>
          </w:p>
        </w:tc>
        <w:tc>
          <w:tcPr>
            <w:tcW w:w="1790" w:type="dxa"/>
            <w:noWrap/>
            <w:hideMark/>
          </w:tcPr>
          <w:p w14:paraId="455D00C8"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0.8573</w:t>
            </w:r>
          </w:p>
        </w:tc>
        <w:tc>
          <w:tcPr>
            <w:tcW w:w="3013" w:type="dxa"/>
            <w:noWrap/>
            <w:hideMark/>
          </w:tcPr>
          <w:p w14:paraId="1BF3C62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428,650</w:t>
            </w:r>
          </w:p>
        </w:tc>
      </w:tr>
      <w:tr w:rsidR="00465D6B" w:rsidRPr="00465D6B" w14:paraId="3D44ED2A" w14:textId="77777777" w:rsidTr="00465D6B">
        <w:trPr>
          <w:trHeight w:val="354"/>
        </w:trPr>
        <w:tc>
          <w:tcPr>
            <w:tcW w:w="1468" w:type="dxa"/>
            <w:noWrap/>
            <w:hideMark/>
          </w:tcPr>
          <w:p w14:paraId="3F0B55A1"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3</w:t>
            </w:r>
          </w:p>
        </w:tc>
        <w:tc>
          <w:tcPr>
            <w:tcW w:w="2366" w:type="dxa"/>
            <w:noWrap/>
            <w:hideMark/>
          </w:tcPr>
          <w:p w14:paraId="30E0DEA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500,000</w:t>
            </w:r>
          </w:p>
        </w:tc>
        <w:tc>
          <w:tcPr>
            <w:tcW w:w="1790" w:type="dxa"/>
            <w:noWrap/>
            <w:hideMark/>
          </w:tcPr>
          <w:p w14:paraId="3DC9717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0.7938</w:t>
            </w:r>
          </w:p>
        </w:tc>
        <w:tc>
          <w:tcPr>
            <w:tcW w:w="3013" w:type="dxa"/>
            <w:noWrap/>
            <w:hideMark/>
          </w:tcPr>
          <w:p w14:paraId="7413F903"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396,960</w:t>
            </w:r>
          </w:p>
        </w:tc>
      </w:tr>
      <w:tr w:rsidR="00465D6B" w:rsidRPr="00465D6B" w14:paraId="00AF135C" w14:textId="77777777" w:rsidTr="00465D6B">
        <w:trPr>
          <w:trHeight w:val="354"/>
        </w:trPr>
        <w:tc>
          <w:tcPr>
            <w:tcW w:w="1468" w:type="dxa"/>
            <w:noWrap/>
            <w:hideMark/>
          </w:tcPr>
          <w:p w14:paraId="184B2E84"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4</w:t>
            </w:r>
          </w:p>
        </w:tc>
        <w:tc>
          <w:tcPr>
            <w:tcW w:w="2366" w:type="dxa"/>
            <w:noWrap/>
            <w:hideMark/>
          </w:tcPr>
          <w:p w14:paraId="174431A8"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500,000</w:t>
            </w:r>
          </w:p>
        </w:tc>
        <w:tc>
          <w:tcPr>
            <w:tcW w:w="1790" w:type="dxa"/>
            <w:noWrap/>
            <w:hideMark/>
          </w:tcPr>
          <w:p w14:paraId="2E31BA3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0.7350</w:t>
            </w:r>
          </w:p>
        </w:tc>
        <w:tc>
          <w:tcPr>
            <w:tcW w:w="3013" w:type="dxa"/>
            <w:noWrap/>
            <w:hideMark/>
          </w:tcPr>
          <w:p w14:paraId="44C2CFE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367,500</w:t>
            </w:r>
          </w:p>
        </w:tc>
      </w:tr>
      <w:tr w:rsidR="00465D6B" w:rsidRPr="00465D6B" w14:paraId="4C0CA545" w14:textId="77777777" w:rsidTr="00465D6B">
        <w:trPr>
          <w:trHeight w:val="354"/>
        </w:trPr>
        <w:tc>
          <w:tcPr>
            <w:tcW w:w="1468" w:type="dxa"/>
            <w:shd w:val="clear" w:color="auto" w:fill="FFFF00"/>
            <w:noWrap/>
            <w:hideMark/>
          </w:tcPr>
          <w:p w14:paraId="5786719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NPV</w:t>
            </w:r>
          </w:p>
        </w:tc>
        <w:tc>
          <w:tcPr>
            <w:tcW w:w="2366" w:type="dxa"/>
            <w:shd w:val="clear" w:color="auto" w:fill="FFFF00"/>
            <w:noWrap/>
            <w:hideMark/>
          </w:tcPr>
          <w:p w14:paraId="5BC1488F" w14:textId="77777777" w:rsidR="00465D6B" w:rsidRPr="00465D6B" w:rsidRDefault="00465D6B" w:rsidP="00465D6B">
            <w:pPr>
              <w:spacing w:line="360" w:lineRule="auto"/>
              <w:rPr>
                <w:rFonts w:ascii="Arial" w:hAnsi="Arial" w:cs="Arial"/>
                <w:sz w:val="24"/>
                <w:szCs w:val="24"/>
              </w:rPr>
            </w:pPr>
          </w:p>
        </w:tc>
        <w:tc>
          <w:tcPr>
            <w:tcW w:w="1790" w:type="dxa"/>
            <w:shd w:val="clear" w:color="auto" w:fill="FFFF00"/>
            <w:noWrap/>
            <w:hideMark/>
          </w:tcPr>
          <w:p w14:paraId="210987EB" w14:textId="77777777" w:rsidR="00465D6B" w:rsidRPr="00465D6B" w:rsidRDefault="00465D6B" w:rsidP="00465D6B">
            <w:pPr>
              <w:spacing w:line="360" w:lineRule="auto"/>
              <w:rPr>
                <w:rFonts w:ascii="Arial" w:hAnsi="Arial" w:cs="Arial"/>
                <w:sz w:val="24"/>
                <w:szCs w:val="24"/>
              </w:rPr>
            </w:pPr>
          </w:p>
        </w:tc>
        <w:tc>
          <w:tcPr>
            <w:tcW w:w="3013" w:type="dxa"/>
            <w:shd w:val="clear" w:color="auto" w:fill="FFFF00"/>
            <w:noWrap/>
            <w:hideMark/>
          </w:tcPr>
          <w:p w14:paraId="05B0006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813,470</w:t>
            </w:r>
          </w:p>
        </w:tc>
      </w:tr>
    </w:tbl>
    <w:p w14:paraId="1C2D1BD7" w14:textId="77777777" w:rsidR="00465D6B" w:rsidRPr="00465D6B" w:rsidRDefault="00465D6B" w:rsidP="00465D6B">
      <w:pPr>
        <w:spacing w:line="360" w:lineRule="auto"/>
        <w:rPr>
          <w:rFonts w:ascii="Arial" w:hAnsi="Arial" w:cs="Arial"/>
          <w:sz w:val="24"/>
          <w:szCs w:val="24"/>
        </w:rPr>
      </w:pPr>
    </w:p>
    <w:p w14:paraId="0991BD6F" w14:textId="77777777" w:rsidR="00465D6B" w:rsidRPr="00465D6B" w:rsidRDefault="00465D6B" w:rsidP="00465D6B">
      <w:pPr>
        <w:spacing w:line="360" w:lineRule="auto"/>
        <w:rPr>
          <w:rFonts w:ascii="Arial" w:hAnsi="Arial" w:cs="Arial"/>
          <w:sz w:val="24"/>
          <w:szCs w:val="24"/>
          <w:lang w:val="en-US"/>
        </w:rPr>
      </w:pPr>
      <w:r w:rsidRPr="00465D6B">
        <w:rPr>
          <w:rFonts w:ascii="Arial" w:hAnsi="Arial" w:cs="Arial"/>
          <w:sz w:val="24"/>
          <w:szCs w:val="24"/>
          <w:lang w:val="en-US"/>
        </w:rPr>
        <w:t xml:space="preserve">The NPV for Project A is </w:t>
      </w:r>
      <w:r w:rsidRPr="00465D6B">
        <w:rPr>
          <w:rFonts w:ascii="Arial" w:hAnsi="Arial" w:cs="Arial"/>
          <w:sz w:val="24"/>
          <w:szCs w:val="24"/>
          <w:highlight w:val="yellow"/>
        </w:rPr>
        <w:t>£813,470.</w:t>
      </w:r>
    </w:p>
    <w:p w14:paraId="371CF2E3" w14:textId="77777777" w:rsidR="00465D6B" w:rsidRPr="00465D6B" w:rsidRDefault="00465D6B" w:rsidP="00465D6B">
      <w:pPr>
        <w:spacing w:line="360" w:lineRule="auto"/>
        <w:rPr>
          <w:rFonts w:ascii="Arial" w:hAnsi="Arial" w:cs="Arial"/>
          <w:b/>
          <w:bCs/>
          <w:i/>
          <w:iCs/>
          <w:sz w:val="24"/>
          <w:szCs w:val="24"/>
          <w:u w:val="single"/>
        </w:rPr>
      </w:pPr>
      <w:r w:rsidRPr="00465D6B">
        <w:rPr>
          <w:rFonts w:ascii="Arial" w:hAnsi="Arial" w:cs="Arial"/>
          <w:b/>
          <w:bCs/>
          <w:i/>
          <w:iCs/>
          <w:sz w:val="24"/>
          <w:szCs w:val="24"/>
          <w:u w:val="single"/>
        </w:rPr>
        <w:t>Project B - Develop into internet sales</w:t>
      </w:r>
    </w:p>
    <w:p w14:paraId="6C9EC4B4"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The project has an initial capital of £1,200,000 and annual cash flows of £500,000, £600,000, £800,000, and £1,000,000. </w:t>
      </w:r>
    </w:p>
    <w:tbl>
      <w:tblPr>
        <w:tblStyle w:val="TableGrid"/>
        <w:tblW w:w="9221" w:type="dxa"/>
        <w:tblLook w:val="04A0" w:firstRow="1" w:lastRow="0" w:firstColumn="1" w:lastColumn="0" w:noHBand="0" w:noVBand="1"/>
      </w:tblPr>
      <w:tblGrid>
        <w:gridCol w:w="1780"/>
        <w:gridCol w:w="2552"/>
        <w:gridCol w:w="1780"/>
        <w:gridCol w:w="3109"/>
      </w:tblGrid>
      <w:tr w:rsidR="00465D6B" w:rsidRPr="00465D6B" w14:paraId="674C21B4" w14:textId="77777777" w:rsidTr="00465D6B">
        <w:trPr>
          <w:trHeight w:val="349"/>
        </w:trPr>
        <w:tc>
          <w:tcPr>
            <w:tcW w:w="1780" w:type="dxa"/>
            <w:noWrap/>
            <w:hideMark/>
          </w:tcPr>
          <w:p w14:paraId="21ED3038"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Year</w:t>
            </w:r>
          </w:p>
        </w:tc>
        <w:tc>
          <w:tcPr>
            <w:tcW w:w="2552" w:type="dxa"/>
            <w:noWrap/>
            <w:hideMark/>
          </w:tcPr>
          <w:p w14:paraId="235F8D5E"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Cash flow</w:t>
            </w:r>
          </w:p>
        </w:tc>
        <w:tc>
          <w:tcPr>
            <w:tcW w:w="1780" w:type="dxa"/>
            <w:noWrap/>
            <w:hideMark/>
          </w:tcPr>
          <w:p w14:paraId="23BF0B6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PVIF</w:t>
            </w:r>
          </w:p>
        </w:tc>
        <w:tc>
          <w:tcPr>
            <w:tcW w:w="3109" w:type="dxa"/>
            <w:noWrap/>
            <w:hideMark/>
          </w:tcPr>
          <w:p w14:paraId="7324D6A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Present Value</w:t>
            </w:r>
          </w:p>
        </w:tc>
      </w:tr>
      <w:tr w:rsidR="00465D6B" w:rsidRPr="00465D6B" w14:paraId="7894CC88" w14:textId="77777777" w:rsidTr="00465D6B">
        <w:trPr>
          <w:trHeight w:val="349"/>
        </w:trPr>
        <w:tc>
          <w:tcPr>
            <w:tcW w:w="1780" w:type="dxa"/>
            <w:noWrap/>
            <w:hideMark/>
          </w:tcPr>
          <w:p w14:paraId="6EB5F07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w:t>
            </w:r>
          </w:p>
        </w:tc>
        <w:tc>
          <w:tcPr>
            <w:tcW w:w="2552" w:type="dxa"/>
            <w:noWrap/>
            <w:hideMark/>
          </w:tcPr>
          <w:p w14:paraId="54D6417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-1,200,000</w:t>
            </w:r>
          </w:p>
        </w:tc>
        <w:tc>
          <w:tcPr>
            <w:tcW w:w="1780" w:type="dxa"/>
            <w:noWrap/>
            <w:hideMark/>
          </w:tcPr>
          <w:p w14:paraId="3A9B772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w:t>
            </w:r>
          </w:p>
        </w:tc>
        <w:tc>
          <w:tcPr>
            <w:tcW w:w="3109" w:type="dxa"/>
            <w:noWrap/>
            <w:hideMark/>
          </w:tcPr>
          <w:p w14:paraId="79381BF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-1,200,000</w:t>
            </w:r>
          </w:p>
        </w:tc>
      </w:tr>
      <w:tr w:rsidR="00465D6B" w:rsidRPr="00465D6B" w14:paraId="25B60F60" w14:textId="77777777" w:rsidTr="00465D6B">
        <w:trPr>
          <w:trHeight w:val="349"/>
        </w:trPr>
        <w:tc>
          <w:tcPr>
            <w:tcW w:w="1780" w:type="dxa"/>
            <w:noWrap/>
            <w:hideMark/>
          </w:tcPr>
          <w:p w14:paraId="7F777177"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lastRenderedPageBreak/>
              <w:t>1</w:t>
            </w:r>
          </w:p>
        </w:tc>
        <w:tc>
          <w:tcPr>
            <w:tcW w:w="2552" w:type="dxa"/>
            <w:noWrap/>
            <w:hideMark/>
          </w:tcPr>
          <w:p w14:paraId="2448F05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500,000</w:t>
            </w:r>
          </w:p>
        </w:tc>
        <w:tc>
          <w:tcPr>
            <w:tcW w:w="1780" w:type="dxa"/>
            <w:noWrap/>
            <w:hideMark/>
          </w:tcPr>
          <w:p w14:paraId="1D3A360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0.9259</w:t>
            </w:r>
          </w:p>
        </w:tc>
        <w:tc>
          <w:tcPr>
            <w:tcW w:w="3109" w:type="dxa"/>
            <w:noWrap/>
            <w:hideMark/>
          </w:tcPr>
          <w:p w14:paraId="5D37188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462,950</w:t>
            </w:r>
          </w:p>
        </w:tc>
      </w:tr>
      <w:tr w:rsidR="00465D6B" w:rsidRPr="00465D6B" w14:paraId="6714778D" w14:textId="77777777" w:rsidTr="00465D6B">
        <w:trPr>
          <w:trHeight w:val="349"/>
        </w:trPr>
        <w:tc>
          <w:tcPr>
            <w:tcW w:w="1780" w:type="dxa"/>
            <w:noWrap/>
            <w:hideMark/>
          </w:tcPr>
          <w:p w14:paraId="54789F27"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w:t>
            </w:r>
          </w:p>
        </w:tc>
        <w:tc>
          <w:tcPr>
            <w:tcW w:w="2552" w:type="dxa"/>
            <w:noWrap/>
            <w:hideMark/>
          </w:tcPr>
          <w:p w14:paraId="327E8DB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600,000</w:t>
            </w:r>
          </w:p>
        </w:tc>
        <w:tc>
          <w:tcPr>
            <w:tcW w:w="1780" w:type="dxa"/>
            <w:noWrap/>
            <w:hideMark/>
          </w:tcPr>
          <w:p w14:paraId="3C1034B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0.8573</w:t>
            </w:r>
          </w:p>
        </w:tc>
        <w:tc>
          <w:tcPr>
            <w:tcW w:w="3109" w:type="dxa"/>
            <w:noWrap/>
            <w:hideMark/>
          </w:tcPr>
          <w:p w14:paraId="54C3655D"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514,380</w:t>
            </w:r>
          </w:p>
        </w:tc>
      </w:tr>
      <w:tr w:rsidR="00465D6B" w:rsidRPr="00465D6B" w14:paraId="35BE43F7" w14:textId="77777777" w:rsidTr="00465D6B">
        <w:trPr>
          <w:trHeight w:val="349"/>
        </w:trPr>
        <w:tc>
          <w:tcPr>
            <w:tcW w:w="1780" w:type="dxa"/>
            <w:noWrap/>
            <w:hideMark/>
          </w:tcPr>
          <w:p w14:paraId="173B431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3</w:t>
            </w:r>
          </w:p>
        </w:tc>
        <w:tc>
          <w:tcPr>
            <w:tcW w:w="2552" w:type="dxa"/>
            <w:noWrap/>
            <w:hideMark/>
          </w:tcPr>
          <w:p w14:paraId="5789FEF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800,000</w:t>
            </w:r>
          </w:p>
        </w:tc>
        <w:tc>
          <w:tcPr>
            <w:tcW w:w="1780" w:type="dxa"/>
            <w:noWrap/>
            <w:hideMark/>
          </w:tcPr>
          <w:p w14:paraId="6407C86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0.7938</w:t>
            </w:r>
          </w:p>
        </w:tc>
        <w:tc>
          <w:tcPr>
            <w:tcW w:w="3109" w:type="dxa"/>
            <w:noWrap/>
            <w:hideMark/>
          </w:tcPr>
          <w:p w14:paraId="19A04D3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635,040</w:t>
            </w:r>
          </w:p>
        </w:tc>
      </w:tr>
      <w:tr w:rsidR="00465D6B" w:rsidRPr="00465D6B" w14:paraId="7C363535" w14:textId="77777777" w:rsidTr="00465D6B">
        <w:trPr>
          <w:trHeight w:val="349"/>
        </w:trPr>
        <w:tc>
          <w:tcPr>
            <w:tcW w:w="1780" w:type="dxa"/>
            <w:noWrap/>
            <w:hideMark/>
          </w:tcPr>
          <w:p w14:paraId="5F423B8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4</w:t>
            </w:r>
          </w:p>
        </w:tc>
        <w:tc>
          <w:tcPr>
            <w:tcW w:w="2552" w:type="dxa"/>
            <w:noWrap/>
            <w:hideMark/>
          </w:tcPr>
          <w:p w14:paraId="0AF2EAB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1,000,000</w:t>
            </w:r>
          </w:p>
        </w:tc>
        <w:tc>
          <w:tcPr>
            <w:tcW w:w="1780" w:type="dxa"/>
            <w:noWrap/>
            <w:hideMark/>
          </w:tcPr>
          <w:p w14:paraId="24221557"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0.7350</w:t>
            </w:r>
          </w:p>
        </w:tc>
        <w:tc>
          <w:tcPr>
            <w:tcW w:w="3109" w:type="dxa"/>
            <w:noWrap/>
            <w:hideMark/>
          </w:tcPr>
          <w:p w14:paraId="4A99754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735,090</w:t>
            </w:r>
          </w:p>
        </w:tc>
      </w:tr>
      <w:tr w:rsidR="00465D6B" w:rsidRPr="00465D6B" w14:paraId="3C944862" w14:textId="77777777" w:rsidTr="00465D6B">
        <w:trPr>
          <w:trHeight w:val="349"/>
        </w:trPr>
        <w:tc>
          <w:tcPr>
            <w:tcW w:w="1780" w:type="dxa"/>
            <w:shd w:val="clear" w:color="auto" w:fill="FFFF00"/>
            <w:noWrap/>
            <w:hideMark/>
          </w:tcPr>
          <w:p w14:paraId="46A42678"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NPV</w:t>
            </w:r>
          </w:p>
        </w:tc>
        <w:tc>
          <w:tcPr>
            <w:tcW w:w="2552" w:type="dxa"/>
            <w:shd w:val="clear" w:color="auto" w:fill="FFFF00"/>
            <w:noWrap/>
            <w:hideMark/>
          </w:tcPr>
          <w:p w14:paraId="226498F2" w14:textId="77777777" w:rsidR="00465D6B" w:rsidRPr="00465D6B" w:rsidRDefault="00465D6B" w:rsidP="00465D6B">
            <w:pPr>
              <w:spacing w:line="360" w:lineRule="auto"/>
              <w:rPr>
                <w:rFonts w:ascii="Arial" w:hAnsi="Arial" w:cs="Arial"/>
                <w:sz w:val="24"/>
                <w:szCs w:val="24"/>
              </w:rPr>
            </w:pPr>
          </w:p>
        </w:tc>
        <w:tc>
          <w:tcPr>
            <w:tcW w:w="1780" w:type="dxa"/>
            <w:shd w:val="clear" w:color="auto" w:fill="FFFF00"/>
            <w:noWrap/>
            <w:hideMark/>
          </w:tcPr>
          <w:p w14:paraId="084C3D1B" w14:textId="77777777" w:rsidR="00465D6B" w:rsidRPr="00465D6B" w:rsidRDefault="00465D6B" w:rsidP="00465D6B">
            <w:pPr>
              <w:spacing w:line="360" w:lineRule="auto"/>
              <w:rPr>
                <w:rFonts w:ascii="Arial" w:hAnsi="Arial" w:cs="Arial"/>
                <w:sz w:val="24"/>
                <w:szCs w:val="24"/>
              </w:rPr>
            </w:pPr>
          </w:p>
        </w:tc>
        <w:tc>
          <w:tcPr>
            <w:tcW w:w="3109" w:type="dxa"/>
            <w:shd w:val="clear" w:color="auto" w:fill="FFFF00"/>
            <w:noWrap/>
            <w:hideMark/>
          </w:tcPr>
          <w:p w14:paraId="6FD0E95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1,147,460</w:t>
            </w:r>
          </w:p>
        </w:tc>
      </w:tr>
    </w:tbl>
    <w:p w14:paraId="1FA99DA9" w14:textId="77777777" w:rsidR="00465D6B" w:rsidRPr="00465D6B" w:rsidRDefault="00465D6B" w:rsidP="00465D6B">
      <w:pPr>
        <w:spacing w:line="360" w:lineRule="auto"/>
        <w:rPr>
          <w:rFonts w:ascii="Arial" w:hAnsi="Arial" w:cs="Arial"/>
          <w:sz w:val="24"/>
          <w:szCs w:val="24"/>
        </w:rPr>
      </w:pPr>
    </w:p>
    <w:p w14:paraId="49122FDD"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Therefore, the NPV of Project B is </w:t>
      </w:r>
      <w:r w:rsidRPr="00465D6B">
        <w:rPr>
          <w:rFonts w:ascii="Arial" w:hAnsi="Arial" w:cs="Arial"/>
          <w:sz w:val="24"/>
          <w:szCs w:val="24"/>
          <w:highlight w:val="yellow"/>
        </w:rPr>
        <w:t>£1,147,460.</w:t>
      </w:r>
      <w:r w:rsidRPr="00465D6B">
        <w:rPr>
          <w:rFonts w:ascii="Arial" w:hAnsi="Arial" w:cs="Arial"/>
          <w:sz w:val="24"/>
          <w:szCs w:val="24"/>
        </w:rPr>
        <w:t xml:space="preserve"> </w:t>
      </w:r>
    </w:p>
    <w:p w14:paraId="59C31876" w14:textId="77777777" w:rsidR="00465D6B" w:rsidRPr="00465D6B" w:rsidRDefault="00465D6B" w:rsidP="00465D6B">
      <w:pPr>
        <w:spacing w:line="360" w:lineRule="auto"/>
        <w:rPr>
          <w:rFonts w:ascii="Arial" w:hAnsi="Arial" w:cs="Arial"/>
          <w:b/>
          <w:bCs/>
          <w:i/>
          <w:iCs/>
          <w:sz w:val="24"/>
          <w:szCs w:val="24"/>
          <w:u w:val="single"/>
        </w:rPr>
      </w:pPr>
      <w:r w:rsidRPr="00465D6B">
        <w:rPr>
          <w:rFonts w:ascii="Arial" w:hAnsi="Arial" w:cs="Arial"/>
          <w:b/>
          <w:bCs/>
          <w:i/>
          <w:iCs/>
          <w:sz w:val="24"/>
          <w:szCs w:val="24"/>
          <w:u w:val="single"/>
        </w:rPr>
        <w:t xml:space="preserve">Project C - </w:t>
      </w:r>
      <w:bookmarkStart w:id="0" w:name="_Hlk19199794"/>
      <w:r w:rsidRPr="00465D6B">
        <w:rPr>
          <w:rFonts w:ascii="Arial" w:hAnsi="Arial" w:cs="Arial"/>
          <w:b/>
          <w:bCs/>
          <w:i/>
          <w:iCs/>
          <w:sz w:val="24"/>
          <w:szCs w:val="24"/>
          <w:u w:val="single"/>
        </w:rPr>
        <w:t>Produce greenhouses and conservatories</w:t>
      </w:r>
      <w:bookmarkEnd w:id="0"/>
    </w:p>
    <w:p w14:paraId="2C8E4547"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The project has initial capital of £2,000,000 and cash flows of £500,000, </w:t>
      </w:r>
      <w:bookmarkStart w:id="1" w:name="_Hlk19199784"/>
      <w:r w:rsidRPr="00465D6B">
        <w:rPr>
          <w:rFonts w:ascii="Arial" w:hAnsi="Arial" w:cs="Arial"/>
          <w:sz w:val="24"/>
          <w:szCs w:val="24"/>
        </w:rPr>
        <w:t>£</w:t>
      </w:r>
      <w:bookmarkEnd w:id="1"/>
      <w:r w:rsidRPr="00465D6B">
        <w:rPr>
          <w:rFonts w:ascii="Arial" w:hAnsi="Arial" w:cs="Arial"/>
          <w:sz w:val="24"/>
          <w:szCs w:val="24"/>
        </w:rPr>
        <w:t xml:space="preserve">1,000,000, £1,500,000, and £1,500,000. </w:t>
      </w:r>
    </w:p>
    <w:tbl>
      <w:tblPr>
        <w:tblStyle w:val="TableGrid"/>
        <w:tblW w:w="0" w:type="auto"/>
        <w:tblLook w:val="04A0" w:firstRow="1" w:lastRow="0" w:firstColumn="1" w:lastColumn="0" w:noHBand="0" w:noVBand="1"/>
      </w:tblPr>
      <w:tblGrid>
        <w:gridCol w:w="1622"/>
        <w:gridCol w:w="2324"/>
        <w:gridCol w:w="1622"/>
        <w:gridCol w:w="2831"/>
      </w:tblGrid>
      <w:tr w:rsidR="00465D6B" w:rsidRPr="00465D6B" w14:paraId="44F999CF" w14:textId="77777777" w:rsidTr="00465D6B">
        <w:trPr>
          <w:trHeight w:val="354"/>
        </w:trPr>
        <w:tc>
          <w:tcPr>
            <w:tcW w:w="1622" w:type="dxa"/>
            <w:noWrap/>
            <w:hideMark/>
          </w:tcPr>
          <w:p w14:paraId="6904898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Year</w:t>
            </w:r>
          </w:p>
        </w:tc>
        <w:tc>
          <w:tcPr>
            <w:tcW w:w="2324" w:type="dxa"/>
            <w:noWrap/>
            <w:hideMark/>
          </w:tcPr>
          <w:p w14:paraId="6E1D3751"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Cash flow</w:t>
            </w:r>
          </w:p>
        </w:tc>
        <w:tc>
          <w:tcPr>
            <w:tcW w:w="1622" w:type="dxa"/>
            <w:noWrap/>
            <w:hideMark/>
          </w:tcPr>
          <w:p w14:paraId="71E0038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PVIF</w:t>
            </w:r>
          </w:p>
        </w:tc>
        <w:tc>
          <w:tcPr>
            <w:tcW w:w="2831" w:type="dxa"/>
            <w:noWrap/>
            <w:hideMark/>
          </w:tcPr>
          <w:p w14:paraId="39F3470D"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Present Value</w:t>
            </w:r>
          </w:p>
        </w:tc>
      </w:tr>
      <w:tr w:rsidR="00465D6B" w:rsidRPr="00465D6B" w14:paraId="1396DC83" w14:textId="77777777" w:rsidTr="00465D6B">
        <w:trPr>
          <w:trHeight w:val="354"/>
        </w:trPr>
        <w:tc>
          <w:tcPr>
            <w:tcW w:w="1622" w:type="dxa"/>
            <w:noWrap/>
            <w:hideMark/>
          </w:tcPr>
          <w:p w14:paraId="368E7D1B" w14:textId="77777777" w:rsidR="00465D6B" w:rsidRPr="00465D6B" w:rsidRDefault="00465D6B" w:rsidP="00465D6B">
            <w:pPr>
              <w:spacing w:line="360" w:lineRule="auto"/>
              <w:rPr>
                <w:rFonts w:ascii="Arial" w:hAnsi="Arial" w:cs="Arial"/>
                <w:sz w:val="24"/>
                <w:szCs w:val="24"/>
              </w:rPr>
            </w:pPr>
            <w:bookmarkStart w:id="2" w:name="_Hlk19203010"/>
            <w:r w:rsidRPr="00465D6B">
              <w:rPr>
                <w:rFonts w:ascii="Arial" w:hAnsi="Arial" w:cs="Arial"/>
                <w:sz w:val="24"/>
                <w:szCs w:val="24"/>
              </w:rPr>
              <w:t>0</w:t>
            </w:r>
          </w:p>
        </w:tc>
        <w:tc>
          <w:tcPr>
            <w:tcW w:w="2324" w:type="dxa"/>
            <w:noWrap/>
            <w:hideMark/>
          </w:tcPr>
          <w:p w14:paraId="136245A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-2,000,000</w:t>
            </w:r>
          </w:p>
        </w:tc>
        <w:tc>
          <w:tcPr>
            <w:tcW w:w="1622" w:type="dxa"/>
            <w:noWrap/>
            <w:hideMark/>
          </w:tcPr>
          <w:p w14:paraId="3C17177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w:t>
            </w:r>
          </w:p>
        </w:tc>
        <w:tc>
          <w:tcPr>
            <w:tcW w:w="2831" w:type="dxa"/>
            <w:noWrap/>
            <w:hideMark/>
          </w:tcPr>
          <w:p w14:paraId="5CED3854"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-2,000,000</w:t>
            </w:r>
          </w:p>
        </w:tc>
      </w:tr>
      <w:tr w:rsidR="00465D6B" w:rsidRPr="00465D6B" w14:paraId="17649316" w14:textId="77777777" w:rsidTr="00465D6B">
        <w:trPr>
          <w:trHeight w:val="354"/>
        </w:trPr>
        <w:tc>
          <w:tcPr>
            <w:tcW w:w="1622" w:type="dxa"/>
            <w:noWrap/>
            <w:hideMark/>
          </w:tcPr>
          <w:p w14:paraId="1D9659F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w:t>
            </w:r>
          </w:p>
        </w:tc>
        <w:tc>
          <w:tcPr>
            <w:tcW w:w="2324" w:type="dxa"/>
            <w:noWrap/>
            <w:hideMark/>
          </w:tcPr>
          <w:p w14:paraId="2C054FE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500,000</w:t>
            </w:r>
          </w:p>
        </w:tc>
        <w:tc>
          <w:tcPr>
            <w:tcW w:w="1622" w:type="dxa"/>
            <w:noWrap/>
            <w:hideMark/>
          </w:tcPr>
          <w:p w14:paraId="62D783E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0.9259</w:t>
            </w:r>
          </w:p>
        </w:tc>
        <w:tc>
          <w:tcPr>
            <w:tcW w:w="2831" w:type="dxa"/>
            <w:noWrap/>
            <w:hideMark/>
          </w:tcPr>
          <w:p w14:paraId="00ECCC41"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462,950</w:t>
            </w:r>
          </w:p>
        </w:tc>
      </w:tr>
      <w:tr w:rsidR="00465D6B" w:rsidRPr="00465D6B" w14:paraId="73E876F9" w14:textId="77777777" w:rsidTr="00465D6B">
        <w:trPr>
          <w:trHeight w:val="354"/>
        </w:trPr>
        <w:tc>
          <w:tcPr>
            <w:tcW w:w="1622" w:type="dxa"/>
            <w:noWrap/>
            <w:hideMark/>
          </w:tcPr>
          <w:p w14:paraId="086B72B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w:t>
            </w:r>
          </w:p>
        </w:tc>
        <w:tc>
          <w:tcPr>
            <w:tcW w:w="2324" w:type="dxa"/>
            <w:noWrap/>
            <w:hideMark/>
          </w:tcPr>
          <w:p w14:paraId="1D1B71B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1,000,000</w:t>
            </w:r>
          </w:p>
        </w:tc>
        <w:tc>
          <w:tcPr>
            <w:tcW w:w="1622" w:type="dxa"/>
            <w:noWrap/>
            <w:hideMark/>
          </w:tcPr>
          <w:p w14:paraId="40E5416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0.8573</w:t>
            </w:r>
          </w:p>
        </w:tc>
        <w:tc>
          <w:tcPr>
            <w:tcW w:w="2831" w:type="dxa"/>
            <w:noWrap/>
            <w:hideMark/>
          </w:tcPr>
          <w:p w14:paraId="360B8B3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857,380</w:t>
            </w:r>
          </w:p>
        </w:tc>
      </w:tr>
      <w:tr w:rsidR="00465D6B" w:rsidRPr="00465D6B" w14:paraId="20B50A76" w14:textId="77777777" w:rsidTr="00465D6B">
        <w:trPr>
          <w:trHeight w:val="354"/>
        </w:trPr>
        <w:tc>
          <w:tcPr>
            <w:tcW w:w="1622" w:type="dxa"/>
            <w:noWrap/>
            <w:hideMark/>
          </w:tcPr>
          <w:p w14:paraId="38291EED"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3</w:t>
            </w:r>
          </w:p>
        </w:tc>
        <w:tc>
          <w:tcPr>
            <w:tcW w:w="2324" w:type="dxa"/>
            <w:noWrap/>
            <w:hideMark/>
          </w:tcPr>
          <w:p w14:paraId="1C94364D"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1,500,000</w:t>
            </w:r>
          </w:p>
        </w:tc>
        <w:tc>
          <w:tcPr>
            <w:tcW w:w="1622" w:type="dxa"/>
            <w:noWrap/>
            <w:hideMark/>
          </w:tcPr>
          <w:p w14:paraId="7CF3F76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0.7938</w:t>
            </w:r>
          </w:p>
        </w:tc>
        <w:tc>
          <w:tcPr>
            <w:tcW w:w="2831" w:type="dxa"/>
            <w:noWrap/>
            <w:hideMark/>
          </w:tcPr>
          <w:p w14:paraId="3666CC3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1,190,760</w:t>
            </w:r>
          </w:p>
        </w:tc>
      </w:tr>
      <w:tr w:rsidR="00465D6B" w:rsidRPr="00465D6B" w14:paraId="2566E224" w14:textId="77777777" w:rsidTr="00465D6B">
        <w:trPr>
          <w:trHeight w:val="354"/>
        </w:trPr>
        <w:tc>
          <w:tcPr>
            <w:tcW w:w="1622" w:type="dxa"/>
            <w:noWrap/>
            <w:hideMark/>
          </w:tcPr>
          <w:p w14:paraId="5C5F185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4</w:t>
            </w:r>
          </w:p>
        </w:tc>
        <w:tc>
          <w:tcPr>
            <w:tcW w:w="2324" w:type="dxa"/>
            <w:noWrap/>
            <w:hideMark/>
          </w:tcPr>
          <w:p w14:paraId="4735F31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1,500,000</w:t>
            </w:r>
          </w:p>
        </w:tc>
        <w:tc>
          <w:tcPr>
            <w:tcW w:w="1622" w:type="dxa"/>
            <w:noWrap/>
            <w:hideMark/>
          </w:tcPr>
          <w:p w14:paraId="7BBC5EC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0.7350</w:t>
            </w:r>
          </w:p>
        </w:tc>
        <w:tc>
          <w:tcPr>
            <w:tcW w:w="2831" w:type="dxa"/>
            <w:noWrap/>
            <w:hideMark/>
          </w:tcPr>
          <w:p w14:paraId="048CB77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1,102,500</w:t>
            </w:r>
          </w:p>
        </w:tc>
      </w:tr>
      <w:bookmarkEnd w:id="2"/>
      <w:tr w:rsidR="00465D6B" w:rsidRPr="00465D6B" w14:paraId="59CAA360" w14:textId="77777777" w:rsidTr="00465D6B">
        <w:trPr>
          <w:trHeight w:val="354"/>
        </w:trPr>
        <w:tc>
          <w:tcPr>
            <w:tcW w:w="1622" w:type="dxa"/>
            <w:shd w:val="clear" w:color="auto" w:fill="FFFF00"/>
            <w:noWrap/>
            <w:hideMark/>
          </w:tcPr>
          <w:p w14:paraId="76FE425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NPV</w:t>
            </w:r>
          </w:p>
        </w:tc>
        <w:tc>
          <w:tcPr>
            <w:tcW w:w="2324" w:type="dxa"/>
            <w:shd w:val="clear" w:color="auto" w:fill="FFFF00"/>
            <w:noWrap/>
            <w:hideMark/>
          </w:tcPr>
          <w:p w14:paraId="1344C7F9" w14:textId="77777777" w:rsidR="00465D6B" w:rsidRPr="00465D6B" w:rsidRDefault="00465D6B" w:rsidP="00465D6B">
            <w:pPr>
              <w:spacing w:line="360" w:lineRule="auto"/>
              <w:rPr>
                <w:rFonts w:ascii="Arial" w:hAnsi="Arial" w:cs="Arial"/>
                <w:sz w:val="24"/>
                <w:szCs w:val="24"/>
              </w:rPr>
            </w:pPr>
          </w:p>
        </w:tc>
        <w:tc>
          <w:tcPr>
            <w:tcW w:w="1622" w:type="dxa"/>
            <w:shd w:val="clear" w:color="auto" w:fill="FFFF00"/>
            <w:noWrap/>
            <w:hideMark/>
          </w:tcPr>
          <w:p w14:paraId="50B85B5F" w14:textId="77777777" w:rsidR="00465D6B" w:rsidRPr="00465D6B" w:rsidRDefault="00465D6B" w:rsidP="00465D6B">
            <w:pPr>
              <w:spacing w:line="360" w:lineRule="auto"/>
              <w:rPr>
                <w:rFonts w:ascii="Arial" w:hAnsi="Arial" w:cs="Arial"/>
                <w:sz w:val="24"/>
                <w:szCs w:val="24"/>
              </w:rPr>
            </w:pPr>
          </w:p>
        </w:tc>
        <w:tc>
          <w:tcPr>
            <w:tcW w:w="2831" w:type="dxa"/>
            <w:shd w:val="clear" w:color="auto" w:fill="FFFF00"/>
            <w:noWrap/>
            <w:hideMark/>
          </w:tcPr>
          <w:p w14:paraId="4B962307" w14:textId="77777777" w:rsidR="00465D6B" w:rsidRPr="00465D6B" w:rsidRDefault="00465D6B" w:rsidP="00465D6B">
            <w:pPr>
              <w:spacing w:line="360" w:lineRule="auto"/>
              <w:rPr>
                <w:rFonts w:ascii="Arial" w:hAnsi="Arial" w:cs="Arial"/>
                <w:sz w:val="24"/>
                <w:szCs w:val="24"/>
              </w:rPr>
            </w:pPr>
            <w:r w:rsidRPr="00465D6B">
              <w:rPr>
                <w:rFonts w:ascii="Arial" w:hAnsi="Arial" w:cs="Arial"/>
                <w:color w:val="FF0000"/>
                <w:sz w:val="24"/>
                <w:szCs w:val="24"/>
                <w:highlight w:val="yellow"/>
              </w:rPr>
              <w:t>1,613,590</w:t>
            </w:r>
          </w:p>
        </w:tc>
      </w:tr>
    </w:tbl>
    <w:p w14:paraId="4DEA7FED" w14:textId="77777777" w:rsidR="00465D6B" w:rsidRPr="00465D6B" w:rsidRDefault="00465D6B" w:rsidP="00465D6B">
      <w:pPr>
        <w:spacing w:line="360" w:lineRule="auto"/>
        <w:rPr>
          <w:rFonts w:ascii="Arial" w:hAnsi="Arial" w:cs="Arial"/>
          <w:sz w:val="24"/>
          <w:szCs w:val="24"/>
        </w:rPr>
      </w:pPr>
    </w:p>
    <w:p w14:paraId="383A9013"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Therefore, the NPV for Project C is </w:t>
      </w:r>
      <w:r w:rsidRPr="00465D6B">
        <w:rPr>
          <w:rFonts w:ascii="Arial" w:hAnsi="Arial" w:cs="Arial"/>
          <w:sz w:val="24"/>
          <w:szCs w:val="24"/>
          <w:highlight w:val="yellow"/>
        </w:rPr>
        <w:t>£1,163,590.</w:t>
      </w:r>
      <w:r w:rsidRPr="00465D6B">
        <w:rPr>
          <w:rFonts w:ascii="Arial" w:hAnsi="Arial" w:cs="Arial"/>
          <w:sz w:val="24"/>
          <w:szCs w:val="24"/>
        </w:rPr>
        <w:t xml:space="preserve"> </w:t>
      </w:r>
    </w:p>
    <w:p w14:paraId="39B5EEBC" w14:textId="77777777" w:rsidR="00465D6B" w:rsidRPr="00465D6B" w:rsidRDefault="00465D6B" w:rsidP="00465D6B">
      <w:pPr>
        <w:spacing w:line="360" w:lineRule="auto"/>
        <w:rPr>
          <w:rFonts w:ascii="Arial" w:hAnsi="Arial" w:cs="Arial"/>
          <w:b/>
          <w:bCs/>
          <w:sz w:val="24"/>
          <w:szCs w:val="24"/>
          <w:u w:val="single"/>
        </w:rPr>
      </w:pPr>
      <w:r w:rsidRPr="00465D6B">
        <w:rPr>
          <w:rFonts w:ascii="Arial" w:hAnsi="Arial" w:cs="Arial"/>
          <w:b/>
          <w:bCs/>
          <w:sz w:val="24"/>
          <w:szCs w:val="24"/>
          <w:u w:val="single"/>
        </w:rPr>
        <w:t>Ranking</w:t>
      </w:r>
    </w:p>
    <w:tbl>
      <w:tblPr>
        <w:tblStyle w:val="TableGrid"/>
        <w:tblW w:w="0" w:type="auto"/>
        <w:tblLook w:val="04A0" w:firstRow="1" w:lastRow="0" w:firstColumn="1" w:lastColumn="0" w:noHBand="0" w:noVBand="1"/>
      </w:tblPr>
      <w:tblGrid>
        <w:gridCol w:w="3005"/>
        <w:gridCol w:w="3005"/>
        <w:gridCol w:w="3006"/>
      </w:tblGrid>
      <w:tr w:rsidR="00465D6B" w:rsidRPr="00465D6B" w14:paraId="16065E4C" w14:textId="77777777" w:rsidTr="00465D6B">
        <w:tc>
          <w:tcPr>
            <w:tcW w:w="3005" w:type="dxa"/>
          </w:tcPr>
          <w:p w14:paraId="1394873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Project</w:t>
            </w:r>
          </w:p>
        </w:tc>
        <w:tc>
          <w:tcPr>
            <w:tcW w:w="3005" w:type="dxa"/>
          </w:tcPr>
          <w:p w14:paraId="4414893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NPV</w:t>
            </w:r>
          </w:p>
        </w:tc>
        <w:tc>
          <w:tcPr>
            <w:tcW w:w="3006" w:type="dxa"/>
          </w:tcPr>
          <w:p w14:paraId="62E2132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Rank</w:t>
            </w:r>
          </w:p>
        </w:tc>
      </w:tr>
      <w:tr w:rsidR="00465D6B" w:rsidRPr="00465D6B" w14:paraId="58FD21E5" w14:textId="77777777" w:rsidTr="00465D6B">
        <w:tc>
          <w:tcPr>
            <w:tcW w:w="3005" w:type="dxa"/>
          </w:tcPr>
          <w:p w14:paraId="0D5C3EE3"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w:t>
            </w:r>
          </w:p>
        </w:tc>
        <w:tc>
          <w:tcPr>
            <w:tcW w:w="3005" w:type="dxa"/>
          </w:tcPr>
          <w:p w14:paraId="26E5439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£813,470</w:t>
            </w:r>
          </w:p>
        </w:tc>
        <w:tc>
          <w:tcPr>
            <w:tcW w:w="3006" w:type="dxa"/>
          </w:tcPr>
          <w:p w14:paraId="445DAE8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3</w:t>
            </w:r>
          </w:p>
        </w:tc>
      </w:tr>
      <w:tr w:rsidR="00465D6B" w:rsidRPr="00465D6B" w14:paraId="03D3475F" w14:textId="77777777" w:rsidTr="00465D6B">
        <w:tc>
          <w:tcPr>
            <w:tcW w:w="3005" w:type="dxa"/>
          </w:tcPr>
          <w:p w14:paraId="020A388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B</w:t>
            </w:r>
          </w:p>
        </w:tc>
        <w:tc>
          <w:tcPr>
            <w:tcW w:w="3005" w:type="dxa"/>
          </w:tcPr>
          <w:p w14:paraId="5D26F02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£1,147,460</w:t>
            </w:r>
          </w:p>
        </w:tc>
        <w:tc>
          <w:tcPr>
            <w:tcW w:w="3006" w:type="dxa"/>
          </w:tcPr>
          <w:p w14:paraId="39D6E31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w:t>
            </w:r>
          </w:p>
        </w:tc>
      </w:tr>
      <w:tr w:rsidR="00465D6B" w:rsidRPr="00465D6B" w14:paraId="677ACF6D" w14:textId="77777777" w:rsidTr="00465D6B">
        <w:tc>
          <w:tcPr>
            <w:tcW w:w="3005" w:type="dxa"/>
            <w:shd w:val="clear" w:color="auto" w:fill="FFFF00"/>
          </w:tcPr>
          <w:p w14:paraId="5B65C2B4" w14:textId="77777777" w:rsidR="00465D6B" w:rsidRPr="00465D6B" w:rsidRDefault="00465D6B" w:rsidP="00465D6B">
            <w:pPr>
              <w:spacing w:line="360" w:lineRule="auto"/>
              <w:rPr>
                <w:rFonts w:ascii="Arial" w:hAnsi="Arial" w:cs="Arial"/>
                <w:sz w:val="24"/>
                <w:szCs w:val="24"/>
                <w:highlight w:val="yellow"/>
              </w:rPr>
            </w:pPr>
            <w:r w:rsidRPr="00465D6B">
              <w:rPr>
                <w:rFonts w:ascii="Arial" w:hAnsi="Arial" w:cs="Arial"/>
                <w:sz w:val="24"/>
                <w:szCs w:val="24"/>
                <w:highlight w:val="yellow"/>
              </w:rPr>
              <w:t>C</w:t>
            </w:r>
          </w:p>
        </w:tc>
        <w:tc>
          <w:tcPr>
            <w:tcW w:w="3005" w:type="dxa"/>
            <w:shd w:val="clear" w:color="auto" w:fill="FFFF00"/>
          </w:tcPr>
          <w:p w14:paraId="69EB6042" w14:textId="77777777" w:rsidR="00465D6B" w:rsidRPr="00465D6B" w:rsidRDefault="00465D6B" w:rsidP="00465D6B">
            <w:pPr>
              <w:spacing w:line="360" w:lineRule="auto"/>
              <w:rPr>
                <w:rFonts w:ascii="Arial" w:hAnsi="Arial" w:cs="Arial"/>
                <w:sz w:val="24"/>
                <w:szCs w:val="24"/>
                <w:highlight w:val="yellow"/>
              </w:rPr>
            </w:pPr>
            <w:r w:rsidRPr="00465D6B">
              <w:rPr>
                <w:rFonts w:ascii="Arial" w:hAnsi="Arial" w:cs="Arial"/>
                <w:sz w:val="24"/>
                <w:szCs w:val="24"/>
                <w:highlight w:val="yellow"/>
              </w:rPr>
              <w:t>£1,163,590</w:t>
            </w:r>
          </w:p>
        </w:tc>
        <w:tc>
          <w:tcPr>
            <w:tcW w:w="3006" w:type="dxa"/>
            <w:shd w:val="clear" w:color="auto" w:fill="FFFF00"/>
          </w:tcPr>
          <w:p w14:paraId="05D8C143" w14:textId="77777777" w:rsidR="00465D6B" w:rsidRPr="00465D6B" w:rsidRDefault="00465D6B" w:rsidP="00465D6B">
            <w:pPr>
              <w:spacing w:line="360" w:lineRule="auto"/>
              <w:rPr>
                <w:rFonts w:ascii="Arial" w:hAnsi="Arial" w:cs="Arial"/>
                <w:color w:val="FF0000"/>
                <w:sz w:val="24"/>
                <w:szCs w:val="24"/>
              </w:rPr>
            </w:pPr>
            <w:r w:rsidRPr="00465D6B">
              <w:rPr>
                <w:rFonts w:ascii="Arial" w:hAnsi="Arial" w:cs="Arial"/>
                <w:sz w:val="24"/>
                <w:szCs w:val="24"/>
                <w:highlight w:val="yellow"/>
              </w:rPr>
              <w:t>1</w:t>
            </w:r>
          </w:p>
        </w:tc>
      </w:tr>
    </w:tbl>
    <w:p w14:paraId="6D746941" w14:textId="77777777" w:rsidR="00465D6B" w:rsidRPr="00465D6B" w:rsidRDefault="00465D6B" w:rsidP="00465D6B">
      <w:pPr>
        <w:spacing w:line="360" w:lineRule="auto"/>
        <w:rPr>
          <w:rFonts w:ascii="Arial" w:hAnsi="Arial" w:cs="Arial"/>
          <w:sz w:val="24"/>
          <w:szCs w:val="24"/>
        </w:rPr>
      </w:pPr>
    </w:p>
    <w:p w14:paraId="25F6C898"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Based on the calculations and project ranking, Project C (produce greenhouses and conservatories) is ranked number one and should be selected because it has the highest NPV of £1,163,590. </w:t>
      </w:r>
    </w:p>
    <w:p w14:paraId="077A2AF1" w14:textId="77777777" w:rsidR="00465D6B" w:rsidRPr="00465D6B" w:rsidRDefault="00465D6B" w:rsidP="00465D6B">
      <w:pPr>
        <w:spacing w:line="360" w:lineRule="auto"/>
        <w:jc w:val="center"/>
        <w:rPr>
          <w:rFonts w:ascii="Arial" w:hAnsi="Arial" w:cs="Arial"/>
          <w:b/>
          <w:bCs/>
          <w:sz w:val="24"/>
          <w:szCs w:val="24"/>
        </w:rPr>
      </w:pPr>
    </w:p>
    <w:p w14:paraId="74CE0A1B" w14:textId="77777777" w:rsidR="00465D6B" w:rsidRPr="00465D6B" w:rsidRDefault="00465D6B" w:rsidP="00465D6B">
      <w:pPr>
        <w:spacing w:line="360" w:lineRule="auto"/>
        <w:rPr>
          <w:rFonts w:ascii="Arial" w:hAnsi="Arial" w:cs="Arial"/>
          <w:b/>
          <w:bCs/>
          <w:sz w:val="24"/>
          <w:szCs w:val="24"/>
        </w:rPr>
      </w:pPr>
      <w:r w:rsidRPr="00465D6B">
        <w:rPr>
          <w:rFonts w:ascii="Arial" w:hAnsi="Arial" w:cs="Arial"/>
          <w:b/>
          <w:bCs/>
          <w:sz w:val="24"/>
          <w:szCs w:val="24"/>
        </w:rPr>
        <w:lastRenderedPageBreak/>
        <w:t>Internal Rate of Return (IRR)</w:t>
      </w:r>
    </w:p>
    <w:p w14:paraId="1F66B49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The internal rate of return (IRR) refers to an approach used in capital budgeting for estimating the profitability of proposed projects. It is a discount rate that makes NPV of resulting cash flows of a project equal to zero. The following is the formula used to calculate NPV. </w:t>
      </w:r>
    </w:p>
    <w:p w14:paraId="422B6F75" w14:textId="77777777" w:rsidR="00465D6B" w:rsidRPr="00465D6B" w:rsidRDefault="00465D6B" w:rsidP="00465D6B">
      <w:pPr>
        <w:spacing w:line="360" w:lineRule="auto"/>
        <w:ind w:left="1440"/>
        <w:jc w:val="center"/>
        <w:rPr>
          <w:rFonts w:ascii="Arial" w:hAnsi="Arial" w:cs="Arial"/>
          <w:b/>
          <w:bCs/>
          <w:i/>
          <w:iCs/>
          <w:sz w:val="24"/>
          <w:szCs w:val="24"/>
        </w:rPr>
      </w:pPr>
      <w:r w:rsidRPr="00465D6B">
        <w:rPr>
          <w:rFonts w:ascii="Arial" w:hAnsi="Arial" w:cs="Arial"/>
          <w:b/>
          <w:bCs/>
          <w:i/>
          <w:iCs/>
          <w:sz w:val="24"/>
          <w:szCs w:val="24"/>
        </w:rPr>
        <w:t>0 = P</w:t>
      </w:r>
      <w:r w:rsidRPr="00465D6B">
        <w:rPr>
          <w:rFonts w:ascii="Arial" w:hAnsi="Arial" w:cs="Arial"/>
          <w:b/>
          <w:bCs/>
          <w:i/>
          <w:iCs/>
          <w:sz w:val="24"/>
          <w:szCs w:val="24"/>
          <w:vertAlign w:val="subscript"/>
        </w:rPr>
        <w:t>0</w:t>
      </w:r>
      <w:r w:rsidRPr="00465D6B">
        <w:rPr>
          <w:rFonts w:ascii="Arial" w:hAnsi="Arial" w:cs="Arial"/>
          <w:b/>
          <w:bCs/>
          <w:i/>
          <w:iCs/>
          <w:sz w:val="24"/>
          <w:szCs w:val="24"/>
        </w:rPr>
        <w:t xml:space="preserve"> + P</w:t>
      </w:r>
      <w:r w:rsidRPr="00465D6B">
        <w:rPr>
          <w:rFonts w:ascii="Arial" w:hAnsi="Arial" w:cs="Arial"/>
          <w:b/>
          <w:bCs/>
          <w:i/>
          <w:iCs/>
          <w:sz w:val="24"/>
          <w:szCs w:val="24"/>
          <w:vertAlign w:val="subscript"/>
        </w:rPr>
        <w:t>1</w:t>
      </w:r>
      <w:r w:rsidRPr="00465D6B">
        <w:rPr>
          <w:rFonts w:ascii="Arial" w:hAnsi="Arial" w:cs="Arial"/>
          <w:b/>
          <w:bCs/>
          <w:i/>
          <w:iCs/>
          <w:sz w:val="24"/>
          <w:szCs w:val="24"/>
        </w:rPr>
        <w:t>/(1+IRR) + P</w:t>
      </w:r>
      <w:r w:rsidRPr="00465D6B">
        <w:rPr>
          <w:rFonts w:ascii="Arial" w:hAnsi="Arial" w:cs="Arial"/>
          <w:b/>
          <w:bCs/>
          <w:i/>
          <w:iCs/>
          <w:sz w:val="24"/>
          <w:szCs w:val="24"/>
          <w:vertAlign w:val="subscript"/>
        </w:rPr>
        <w:t>2</w:t>
      </w:r>
      <w:r w:rsidRPr="00465D6B">
        <w:rPr>
          <w:rFonts w:ascii="Arial" w:hAnsi="Arial" w:cs="Arial"/>
          <w:b/>
          <w:bCs/>
          <w:i/>
          <w:iCs/>
          <w:sz w:val="24"/>
          <w:szCs w:val="24"/>
        </w:rPr>
        <w:t>/(1+IRR)</w:t>
      </w:r>
      <w:r w:rsidRPr="00465D6B">
        <w:rPr>
          <w:rFonts w:ascii="Arial" w:hAnsi="Arial" w:cs="Arial"/>
          <w:b/>
          <w:bCs/>
          <w:i/>
          <w:iCs/>
          <w:sz w:val="24"/>
          <w:szCs w:val="24"/>
          <w:vertAlign w:val="superscript"/>
        </w:rPr>
        <w:t>2</w:t>
      </w:r>
      <w:r w:rsidRPr="00465D6B">
        <w:rPr>
          <w:rFonts w:ascii="Arial" w:hAnsi="Arial" w:cs="Arial"/>
          <w:b/>
          <w:bCs/>
          <w:i/>
          <w:iCs/>
          <w:sz w:val="24"/>
          <w:szCs w:val="24"/>
        </w:rPr>
        <w:t xml:space="preserve"> + P</w:t>
      </w:r>
      <w:r w:rsidRPr="00465D6B">
        <w:rPr>
          <w:rFonts w:ascii="Arial" w:hAnsi="Arial" w:cs="Arial"/>
          <w:b/>
          <w:bCs/>
          <w:i/>
          <w:iCs/>
          <w:sz w:val="24"/>
          <w:szCs w:val="24"/>
          <w:vertAlign w:val="subscript"/>
        </w:rPr>
        <w:t>3</w:t>
      </w:r>
      <w:r w:rsidRPr="00465D6B">
        <w:rPr>
          <w:rFonts w:ascii="Arial" w:hAnsi="Arial" w:cs="Arial"/>
          <w:b/>
          <w:bCs/>
          <w:i/>
          <w:iCs/>
          <w:sz w:val="24"/>
          <w:szCs w:val="24"/>
        </w:rPr>
        <w:t>/(1+IRR)</w:t>
      </w:r>
      <w:r w:rsidRPr="00465D6B">
        <w:rPr>
          <w:rFonts w:ascii="Arial" w:hAnsi="Arial" w:cs="Arial"/>
          <w:b/>
          <w:bCs/>
          <w:i/>
          <w:iCs/>
          <w:sz w:val="24"/>
          <w:szCs w:val="24"/>
          <w:vertAlign w:val="superscript"/>
        </w:rPr>
        <w:t>3</w:t>
      </w:r>
      <w:r w:rsidRPr="00465D6B">
        <w:rPr>
          <w:rFonts w:ascii="Arial" w:hAnsi="Arial" w:cs="Arial"/>
          <w:b/>
          <w:bCs/>
          <w:i/>
          <w:iCs/>
          <w:sz w:val="24"/>
          <w:szCs w:val="24"/>
        </w:rPr>
        <w:t xml:space="preserve"> + . . . +P</w:t>
      </w:r>
      <w:r w:rsidRPr="00465D6B">
        <w:rPr>
          <w:rFonts w:ascii="Arial" w:hAnsi="Arial" w:cs="Arial"/>
          <w:b/>
          <w:bCs/>
          <w:i/>
          <w:iCs/>
          <w:sz w:val="24"/>
          <w:szCs w:val="24"/>
          <w:vertAlign w:val="subscript"/>
        </w:rPr>
        <w:t>n</w:t>
      </w:r>
      <w:r w:rsidRPr="00465D6B">
        <w:rPr>
          <w:rFonts w:ascii="Arial" w:hAnsi="Arial" w:cs="Arial"/>
          <w:b/>
          <w:bCs/>
          <w:i/>
          <w:iCs/>
          <w:sz w:val="24"/>
          <w:szCs w:val="24"/>
        </w:rPr>
        <w:t>/(1+IRR)</w:t>
      </w:r>
      <w:r w:rsidRPr="00465D6B">
        <w:rPr>
          <w:rFonts w:ascii="Arial" w:hAnsi="Arial" w:cs="Arial"/>
          <w:b/>
          <w:bCs/>
          <w:i/>
          <w:iCs/>
          <w:sz w:val="24"/>
          <w:szCs w:val="24"/>
          <w:vertAlign w:val="superscript"/>
        </w:rPr>
        <w:t xml:space="preserve"> n</w:t>
      </w:r>
    </w:p>
    <w:p w14:paraId="175FAA7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Where P</w:t>
      </w:r>
      <w:r w:rsidRPr="00465D6B">
        <w:rPr>
          <w:rFonts w:ascii="Arial" w:hAnsi="Arial" w:cs="Arial"/>
          <w:sz w:val="24"/>
          <w:szCs w:val="24"/>
          <w:vertAlign w:val="subscript"/>
        </w:rPr>
        <w:t>0</w:t>
      </w:r>
      <w:r w:rsidRPr="00465D6B">
        <w:rPr>
          <w:rFonts w:ascii="Arial" w:hAnsi="Arial" w:cs="Arial"/>
          <w:sz w:val="24"/>
          <w:szCs w:val="24"/>
        </w:rPr>
        <w:t>, P</w:t>
      </w:r>
      <w:r w:rsidRPr="00465D6B">
        <w:rPr>
          <w:rFonts w:ascii="Arial" w:hAnsi="Arial" w:cs="Arial"/>
          <w:sz w:val="24"/>
          <w:szCs w:val="24"/>
          <w:vertAlign w:val="subscript"/>
        </w:rPr>
        <w:t>1</w:t>
      </w:r>
      <w:r w:rsidRPr="00465D6B">
        <w:rPr>
          <w:rFonts w:ascii="Arial" w:hAnsi="Arial" w:cs="Arial"/>
          <w:sz w:val="24"/>
          <w:szCs w:val="24"/>
        </w:rPr>
        <w:t>…P</w:t>
      </w:r>
      <w:r w:rsidRPr="00465D6B">
        <w:rPr>
          <w:rFonts w:ascii="Arial" w:hAnsi="Arial" w:cs="Arial"/>
          <w:sz w:val="24"/>
          <w:szCs w:val="24"/>
          <w:vertAlign w:val="subscript"/>
        </w:rPr>
        <w:t>n</w:t>
      </w:r>
      <w:r w:rsidRPr="00465D6B">
        <w:rPr>
          <w:rFonts w:ascii="Arial" w:hAnsi="Arial" w:cs="Arial"/>
          <w:sz w:val="24"/>
          <w:szCs w:val="24"/>
        </w:rPr>
        <w:t xml:space="preserve"> equals cash flows in year 1, 2…. n; and IRR = project’s internal rate of return.</w:t>
      </w:r>
    </w:p>
    <w:p w14:paraId="4C1BF564"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Therefore, the IRR for Project C is calculated as shown below: </w:t>
      </w:r>
    </w:p>
    <w:p w14:paraId="67A1ECD2" w14:textId="77777777" w:rsidR="00465D6B" w:rsidRPr="00465D6B" w:rsidRDefault="00465D6B" w:rsidP="00465D6B">
      <w:pPr>
        <w:spacing w:line="360" w:lineRule="auto"/>
        <w:rPr>
          <w:rFonts w:ascii="Arial" w:hAnsi="Arial" w:cs="Arial"/>
          <w:sz w:val="24"/>
          <w:szCs w:val="24"/>
          <w:vertAlign w:val="superscript"/>
        </w:rPr>
      </w:pPr>
      <w:r w:rsidRPr="00465D6B">
        <w:rPr>
          <w:rFonts w:ascii="Arial" w:hAnsi="Arial" w:cs="Arial"/>
          <w:sz w:val="24"/>
          <w:szCs w:val="24"/>
        </w:rPr>
        <w:tab/>
      </w:r>
      <w:r w:rsidRPr="00465D6B">
        <w:rPr>
          <w:rFonts w:ascii="Arial" w:hAnsi="Arial" w:cs="Arial"/>
          <w:sz w:val="24"/>
          <w:szCs w:val="24"/>
        </w:rPr>
        <w:tab/>
        <w:t>0 = -2,000,000 + 462,950/(1+IRR) + 857,380/(1+IRR)</w:t>
      </w:r>
      <w:r w:rsidRPr="00465D6B">
        <w:rPr>
          <w:rFonts w:ascii="Arial" w:hAnsi="Arial" w:cs="Arial"/>
          <w:sz w:val="24"/>
          <w:szCs w:val="24"/>
          <w:vertAlign w:val="superscript"/>
        </w:rPr>
        <w:t>2</w:t>
      </w:r>
      <w:r w:rsidRPr="00465D6B">
        <w:rPr>
          <w:rFonts w:ascii="Arial" w:hAnsi="Arial" w:cs="Arial"/>
          <w:sz w:val="24"/>
          <w:szCs w:val="24"/>
        </w:rPr>
        <w:t xml:space="preserve"> + 1,190,760/(1+IRR)</w:t>
      </w:r>
      <w:r w:rsidRPr="00465D6B">
        <w:rPr>
          <w:rFonts w:ascii="Arial" w:hAnsi="Arial" w:cs="Arial"/>
          <w:sz w:val="24"/>
          <w:szCs w:val="24"/>
          <w:vertAlign w:val="superscript"/>
        </w:rPr>
        <w:t>3</w:t>
      </w:r>
      <w:r w:rsidRPr="00465D6B">
        <w:rPr>
          <w:rFonts w:ascii="Arial" w:hAnsi="Arial" w:cs="Arial"/>
          <w:sz w:val="24"/>
          <w:szCs w:val="24"/>
        </w:rPr>
        <w:t xml:space="preserve"> + 1,102,500/(1+IRR)</w:t>
      </w:r>
      <w:r w:rsidRPr="00465D6B">
        <w:rPr>
          <w:rFonts w:ascii="Arial" w:hAnsi="Arial" w:cs="Arial"/>
          <w:sz w:val="24"/>
          <w:szCs w:val="24"/>
          <w:vertAlign w:val="superscript"/>
        </w:rPr>
        <w:t>4</w:t>
      </w:r>
    </w:p>
    <w:p w14:paraId="4A0718EB" w14:textId="77777777" w:rsidR="00465D6B" w:rsidRPr="00465D6B" w:rsidRDefault="00465D6B" w:rsidP="00465D6B">
      <w:pPr>
        <w:spacing w:line="360" w:lineRule="auto"/>
        <w:rPr>
          <w:rStyle w:val="big"/>
          <w:rFonts w:ascii="Arial" w:hAnsi="Arial" w:cs="Arial"/>
          <w:b/>
          <w:bCs/>
          <w:sz w:val="24"/>
          <w:szCs w:val="24"/>
        </w:rPr>
      </w:pPr>
      <w:r w:rsidRPr="00465D6B">
        <w:rPr>
          <w:rFonts w:ascii="Arial" w:hAnsi="Arial" w:cs="Arial"/>
          <w:sz w:val="24"/>
          <w:szCs w:val="24"/>
        </w:rPr>
        <w:tab/>
      </w:r>
      <w:r w:rsidRPr="00465D6B">
        <w:rPr>
          <w:rFonts w:ascii="Arial" w:hAnsi="Arial" w:cs="Arial"/>
          <w:sz w:val="24"/>
          <w:szCs w:val="24"/>
        </w:rPr>
        <w:tab/>
      </w:r>
      <w:r w:rsidRPr="00465D6B">
        <w:rPr>
          <w:rFonts w:ascii="Arial" w:hAnsi="Arial" w:cs="Arial"/>
          <w:b/>
          <w:bCs/>
          <w:sz w:val="24"/>
          <w:szCs w:val="24"/>
          <w:highlight w:val="yellow"/>
        </w:rPr>
        <w:t xml:space="preserve">IRR = </w:t>
      </w:r>
      <w:r w:rsidRPr="00465D6B">
        <w:rPr>
          <w:rStyle w:val="big"/>
          <w:rFonts w:ascii="Arial" w:hAnsi="Arial" w:cs="Arial"/>
          <w:b/>
          <w:bCs/>
          <w:sz w:val="24"/>
          <w:szCs w:val="24"/>
          <w:highlight w:val="yellow"/>
        </w:rPr>
        <w:t>24.52%</w:t>
      </w:r>
    </w:p>
    <w:p w14:paraId="0D53C70A" w14:textId="77777777" w:rsidR="00465D6B" w:rsidRPr="00465D6B" w:rsidRDefault="00465D6B" w:rsidP="00465D6B">
      <w:pPr>
        <w:spacing w:line="360" w:lineRule="auto"/>
        <w:rPr>
          <w:rStyle w:val="big"/>
          <w:rFonts w:ascii="Arial" w:hAnsi="Arial" w:cs="Arial"/>
          <w:sz w:val="24"/>
          <w:szCs w:val="24"/>
        </w:rPr>
      </w:pPr>
      <w:r w:rsidRPr="00465D6B">
        <w:rPr>
          <w:rStyle w:val="big"/>
          <w:rFonts w:ascii="Arial" w:hAnsi="Arial" w:cs="Arial"/>
          <w:sz w:val="24"/>
          <w:szCs w:val="24"/>
        </w:rPr>
        <w:t xml:space="preserve">Therefore, the rate of growth Project C is expected to generate is </w:t>
      </w:r>
      <w:r w:rsidRPr="00465D6B">
        <w:rPr>
          <w:rStyle w:val="big"/>
          <w:rFonts w:ascii="Arial" w:hAnsi="Arial" w:cs="Arial"/>
          <w:sz w:val="24"/>
          <w:szCs w:val="24"/>
          <w:highlight w:val="yellow"/>
        </w:rPr>
        <w:t>24.52%</w:t>
      </w:r>
      <w:r w:rsidRPr="00465D6B">
        <w:rPr>
          <w:rStyle w:val="big"/>
          <w:rFonts w:ascii="Arial" w:hAnsi="Arial" w:cs="Arial"/>
          <w:sz w:val="24"/>
          <w:szCs w:val="24"/>
        </w:rPr>
        <w:t xml:space="preserve">. Notably, it is clear IRR is greater than project’s cost of capital; that means the project will be profitable and should be undertaken. </w:t>
      </w:r>
    </w:p>
    <w:p w14:paraId="6207920A" w14:textId="77777777" w:rsidR="00465D6B" w:rsidRPr="00465D6B" w:rsidRDefault="00465D6B" w:rsidP="00465D6B">
      <w:pPr>
        <w:spacing w:line="360" w:lineRule="auto"/>
        <w:rPr>
          <w:rStyle w:val="big"/>
          <w:rFonts w:ascii="Arial" w:hAnsi="Arial" w:cs="Arial"/>
          <w:b/>
          <w:bCs/>
          <w:sz w:val="24"/>
          <w:szCs w:val="24"/>
        </w:rPr>
      </w:pPr>
      <w:r w:rsidRPr="00465D6B">
        <w:rPr>
          <w:rStyle w:val="big"/>
          <w:rFonts w:ascii="Arial" w:hAnsi="Arial" w:cs="Arial"/>
          <w:b/>
          <w:bCs/>
          <w:sz w:val="24"/>
          <w:szCs w:val="24"/>
        </w:rPr>
        <w:t>Choice of NPV</w:t>
      </w:r>
    </w:p>
    <w:p w14:paraId="577A6771" w14:textId="1A5ED45A" w:rsidR="00465D6B" w:rsidRPr="00465D6B" w:rsidRDefault="00465D6B" w:rsidP="00465D6B">
      <w:pPr>
        <w:spacing w:line="360" w:lineRule="auto"/>
        <w:rPr>
          <w:rFonts w:ascii="Arial" w:hAnsi="Arial" w:cs="Arial"/>
          <w:sz w:val="24"/>
          <w:szCs w:val="24"/>
          <w:lang w:val="en-US"/>
        </w:rPr>
      </w:pPr>
      <w:r>
        <w:rPr>
          <w:rFonts w:ascii="Arial" w:hAnsi="Arial" w:cs="Arial"/>
          <w:sz w:val="24"/>
          <w:szCs w:val="24"/>
          <w:lang w:val="en-US"/>
        </w:rPr>
        <w:t>For this case study, NPV utilis</w:t>
      </w:r>
      <w:r w:rsidRPr="00465D6B">
        <w:rPr>
          <w:rFonts w:ascii="Arial" w:hAnsi="Arial" w:cs="Arial"/>
          <w:sz w:val="24"/>
          <w:szCs w:val="24"/>
          <w:lang w:val="en-US"/>
        </w:rPr>
        <w:t xml:space="preserve">es discounted cash flows to evaluate investment projects – where a project with the highest value has been accepted over the ones with a lower value. The use of discounted cash flows makes this approach an accurate technique for capital budgeting as it considers the aspect of time value of money as well as risk valuables </w:t>
      </w:r>
      <w:r w:rsidRPr="00465D6B">
        <w:rPr>
          <w:rFonts w:ascii="Arial" w:hAnsi="Arial" w:cs="Arial"/>
          <w:sz w:val="24"/>
          <w:szCs w:val="24"/>
        </w:rPr>
        <w:t>(</w:t>
      </w:r>
      <w:proofErr w:type="spellStart"/>
      <w:r w:rsidRPr="00465D6B">
        <w:rPr>
          <w:rFonts w:ascii="Arial" w:hAnsi="Arial" w:cs="Arial"/>
          <w:sz w:val="24"/>
          <w:szCs w:val="24"/>
        </w:rPr>
        <w:t>Bierman</w:t>
      </w:r>
      <w:bookmarkStart w:id="3" w:name="_GoBack"/>
      <w:bookmarkEnd w:id="3"/>
      <w:proofErr w:type="spellEnd"/>
      <w:r w:rsidRPr="00465D6B">
        <w:rPr>
          <w:rFonts w:ascii="Arial" w:hAnsi="Arial" w:cs="Arial"/>
          <w:sz w:val="24"/>
          <w:szCs w:val="24"/>
        </w:rPr>
        <w:t xml:space="preserve"> &amp; </w:t>
      </w:r>
      <w:proofErr w:type="spellStart"/>
      <w:r w:rsidRPr="00465D6B">
        <w:rPr>
          <w:rFonts w:ascii="Arial" w:hAnsi="Arial" w:cs="Arial"/>
          <w:sz w:val="24"/>
          <w:szCs w:val="24"/>
        </w:rPr>
        <w:t>Smidt</w:t>
      </w:r>
      <w:proofErr w:type="spellEnd"/>
      <w:r w:rsidRPr="00465D6B">
        <w:rPr>
          <w:rFonts w:ascii="Arial" w:hAnsi="Arial" w:cs="Arial"/>
          <w:sz w:val="24"/>
          <w:szCs w:val="24"/>
        </w:rPr>
        <w:t>, 2012)</w:t>
      </w:r>
      <w:r w:rsidRPr="00465D6B">
        <w:rPr>
          <w:rFonts w:ascii="Arial" w:hAnsi="Arial" w:cs="Arial"/>
          <w:sz w:val="24"/>
          <w:szCs w:val="24"/>
          <w:lang w:val="en-US"/>
        </w:rPr>
        <w:t xml:space="preserve">. The core purpose for choosing this technique in evaluating proposed investments is because it is most suitable for independent and mutually exclusive projects. Besides, NPV considers that aspect time value of money. James PLC should follow this method because it shows future cash flows of the project; hence, it easy to choose the one that generates higher cash flows with highest net present value. </w:t>
      </w:r>
    </w:p>
    <w:p w14:paraId="0DDF43C7" w14:textId="77777777" w:rsidR="00465D6B" w:rsidRPr="00465D6B" w:rsidRDefault="00465D6B" w:rsidP="00465D6B">
      <w:pPr>
        <w:spacing w:line="360" w:lineRule="auto"/>
        <w:rPr>
          <w:rFonts w:ascii="Arial" w:hAnsi="Arial" w:cs="Arial"/>
          <w:b/>
          <w:bCs/>
          <w:sz w:val="24"/>
          <w:szCs w:val="24"/>
          <w:lang w:val="en-US"/>
        </w:rPr>
      </w:pPr>
      <w:r w:rsidRPr="00465D6B">
        <w:rPr>
          <w:rFonts w:ascii="Arial" w:hAnsi="Arial" w:cs="Arial"/>
          <w:b/>
          <w:bCs/>
          <w:sz w:val="24"/>
          <w:szCs w:val="24"/>
          <w:lang w:val="en-US"/>
        </w:rPr>
        <w:t>Use of Non-discounting Methods</w:t>
      </w:r>
    </w:p>
    <w:p w14:paraId="4937E81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lang w:val="en-US"/>
        </w:rPr>
        <w:t>These capital budgeting methods which do not explicitly put into consideration the factor of the time value of money. That means</w:t>
      </w:r>
      <w:proofErr w:type="gramStart"/>
      <w:r w:rsidRPr="00465D6B">
        <w:rPr>
          <w:rFonts w:ascii="Arial" w:hAnsi="Arial" w:cs="Arial"/>
          <w:sz w:val="24"/>
          <w:szCs w:val="24"/>
          <w:lang w:val="en-US"/>
        </w:rPr>
        <w:t>,</w:t>
      </w:r>
      <w:proofErr w:type="gramEnd"/>
      <w:r w:rsidRPr="00465D6B">
        <w:rPr>
          <w:rFonts w:ascii="Arial" w:hAnsi="Arial" w:cs="Arial"/>
          <w:sz w:val="24"/>
          <w:szCs w:val="24"/>
          <w:lang w:val="en-US"/>
        </w:rPr>
        <w:t xml:space="preserve"> they assume that the pounds earned </w:t>
      </w:r>
      <w:r w:rsidRPr="00465D6B">
        <w:rPr>
          <w:rFonts w:ascii="Arial" w:hAnsi="Arial" w:cs="Arial"/>
          <w:sz w:val="24"/>
          <w:szCs w:val="24"/>
          <w:lang w:val="en-US"/>
        </w:rPr>
        <w:lastRenderedPageBreak/>
        <w:t>in the future have the same value with the pounds which have been invested several years earlier. One good example of a non-discounting method that has gained popularity is payback method (</w:t>
      </w:r>
      <w:proofErr w:type="spellStart"/>
      <w:r w:rsidRPr="00465D6B">
        <w:rPr>
          <w:rFonts w:ascii="Arial" w:hAnsi="Arial" w:cs="Arial"/>
          <w:sz w:val="24"/>
          <w:szCs w:val="24"/>
        </w:rPr>
        <w:t>Durnev</w:t>
      </w:r>
      <w:proofErr w:type="spellEnd"/>
      <w:r w:rsidRPr="00465D6B">
        <w:rPr>
          <w:rFonts w:ascii="Arial" w:hAnsi="Arial" w:cs="Arial"/>
          <w:sz w:val="24"/>
          <w:szCs w:val="24"/>
        </w:rPr>
        <w:t xml:space="preserve">, </w:t>
      </w:r>
      <w:proofErr w:type="spellStart"/>
      <w:r w:rsidRPr="00465D6B">
        <w:rPr>
          <w:rFonts w:ascii="Arial" w:hAnsi="Arial" w:cs="Arial"/>
          <w:sz w:val="24"/>
          <w:szCs w:val="24"/>
        </w:rPr>
        <w:t>Morck</w:t>
      </w:r>
      <w:proofErr w:type="spellEnd"/>
      <w:r w:rsidRPr="00465D6B">
        <w:rPr>
          <w:rFonts w:ascii="Arial" w:hAnsi="Arial" w:cs="Arial"/>
          <w:sz w:val="24"/>
          <w:szCs w:val="24"/>
        </w:rPr>
        <w:t>, &amp; Yeung, 2004)</w:t>
      </w:r>
      <w:r w:rsidRPr="00465D6B">
        <w:rPr>
          <w:rFonts w:ascii="Arial" w:hAnsi="Arial" w:cs="Arial"/>
          <w:sz w:val="24"/>
          <w:szCs w:val="24"/>
          <w:lang w:val="en-US"/>
        </w:rPr>
        <w:t xml:space="preserve">. This method only calculates the number of years an investment will take to repay or return capital that is equal to one invested. For instance, if a project used </w:t>
      </w:r>
      <w:r w:rsidRPr="00465D6B">
        <w:rPr>
          <w:rFonts w:ascii="Arial" w:hAnsi="Arial" w:cs="Arial"/>
          <w:sz w:val="24"/>
          <w:szCs w:val="24"/>
        </w:rPr>
        <w:t xml:space="preserve">£100,000 and generates cash flows of £50,000, its payback period will be two years (£50,000 + £50,000 = £100,000). It answers the question, how long will take the investment to return capital invested? However, non-discounting methods are concerned with profitability of the project. For instance, payback does ignore the not only time value of money but also ignores cash flows received after the project has paid cash invested. Return on investment (ROI) and accounting rate of return (ARR) are other capital budgeting techniques that do not consider discounting future cash flows. If James PLC opted to use the payback period to determine how long Project C will take to repay the initial capital invested, the following would be the computations. </w:t>
      </w:r>
    </w:p>
    <w:p w14:paraId="00CF4FB7" w14:textId="77777777" w:rsidR="00465D6B" w:rsidRPr="00465D6B" w:rsidRDefault="00465D6B" w:rsidP="00465D6B">
      <w:pPr>
        <w:spacing w:line="360" w:lineRule="auto"/>
        <w:rPr>
          <w:rFonts w:ascii="Arial" w:hAnsi="Arial" w:cs="Arial"/>
          <w:b/>
          <w:bCs/>
          <w:i/>
          <w:iCs/>
          <w:sz w:val="24"/>
          <w:szCs w:val="24"/>
        </w:rPr>
      </w:pPr>
      <w:r w:rsidRPr="00465D6B">
        <w:rPr>
          <w:rFonts w:ascii="Arial" w:hAnsi="Arial" w:cs="Arial"/>
          <w:b/>
          <w:bCs/>
          <w:i/>
          <w:iCs/>
          <w:sz w:val="24"/>
          <w:szCs w:val="24"/>
        </w:rPr>
        <w:t>Payback period = initial investment /net cash flows</w:t>
      </w:r>
    </w:p>
    <w:tbl>
      <w:tblPr>
        <w:tblStyle w:val="TableGrid"/>
        <w:tblW w:w="0" w:type="auto"/>
        <w:tblLook w:val="04A0" w:firstRow="1" w:lastRow="0" w:firstColumn="1" w:lastColumn="0" w:noHBand="0" w:noVBand="1"/>
      </w:tblPr>
      <w:tblGrid>
        <w:gridCol w:w="1379"/>
        <w:gridCol w:w="1689"/>
        <w:gridCol w:w="1379"/>
        <w:gridCol w:w="2040"/>
        <w:gridCol w:w="2127"/>
      </w:tblGrid>
      <w:tr w:rsidR="00465D6B" w:rsidRPr="00465D6B" w14:paraId="08A89B05" w14:textId="77777777" w:rsidTr="00465D6B">
        <w:trPr>
          <w:trHeight w:val="440"/>
        </w:trPr>
        <w:tc>
          <w:tcPr>
            <w:tcW w:w="1379" w:type="dxa"/>
            <w:noWrap/>
            <w:hideMark/>
          </w:tcPr>
          <w:p w14:paraId="2C31CA0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Year</w:t>
            </w:r>
          </w:p>
        </w:tc>
        <w:tc>
          <w:tcPr>
            <w:tcW w:w="1689" w:type="dxa"/>
            <w:noWrap/>
            <w:hideMark/>
          </w:tcPr>
          <w:p w14:paraId="0D20C21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Cash flow</w:t>
            </w:r>
          </w:p>
        </w:tc>
        <w:tc>
          <w:tcPr>
            <w:tcW w:w="1379" w:type="dxa"/>
            <w:noWrap/>
            <w:hideMark/>
          </w:tcPr>
          <w:p w14:paraId="3CC1E2C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PVIF</w:t>
            </w:r>
          </w:p>
        </w:tc>
        <w:tc>
          <w:tcPr>
            <w:tcW w:w="2040" w:type="dxa"/>
            <w:noWrap/>
            <w:hideMark/>
          </w:tcPr>
          <w:p w14:paraId="7524B667"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Present Value</w:t>
            </w:r>
          </w:p>
        </w:tc>
        <w:tc>
          <w:tcPr>
            <w:tcW w:w="2127" w:type="dxa"/>
            <w:noWrap/>
            <w:hideMark/>
          </w:tcPr>
          <w:p w14:paraId="1C767D1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Cumulative PV</w:t>
            </w:r>
          </w:p>
        </w:tc>
      </w:tr>
      <w:tr w:rsidR="00465D6B" w:rsidRPr="00465D6B" w14:paraId="3F559471" w14:textId="77777777" w:rsidTr="00465D6B">
        <w:trPr>
          <w:trHeight w:val="440"/>
        </w:trPr>
        <w:tc>
          <w:tcPr>
            <w:tcW w:w="1379" w:type="dxa"/>
            <w:noWrap/>
            <w:hideMark/>
          </w:tcPr>
          <w:p w14:paraId="474FB7E1"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w:t>
            </w:r>
          </w:p>
        </w:tc>
        <w:tc>
          <w:tcPr>
            <w:tcW w:w="1689" w:type="dxa"/>
            <w:noWrap/>
            <w:hideMark/>
          </w:tcPr>
          <w:p w14:paraId="584DFAE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-2,000,000</w:t>
            </w:r>
          </w:p>
        </w:tc>
        <w:tc>
          <w:tcPr>
            <w:tcW w:w="1379" w:type="dxa"/>
            <w:noWrap/>
            <w:hideMark/>
          </w:tcPr>
          <w:p w14:paraId="429EF9F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w:t>
            </w:r>
          </w:p>
        </w:tc>
        <w:tc>
          <w:tcPr>
            <w:tcW w:w="2040" w:type="dxa"/>
            <w:noWrap/>
            <w:hideMark/>
          </w:tcPr>
          <w:p w14:paraId="67E812E1"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-2,000,000</w:t>
            </w:r>
          </w:p>
        </w:tc>
        <w:tc>
          <w:tcPr>
            <w:tcW w:w="2127" w:type="dxa"/>
            <w:noWrap/>
            <w:hideMark/>
          </w:tcPr>
          <w:p w14:paraId="4D292AA3"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-2,000,000</w:t>
            </w:r>
          </w:p>
        </w:tc>
      </w:tr>
      <w:tr w:rsidR="00465D6B" w:rsidRPr="00465D6B" w14:paraId="4B23C1F6" w14:textId="77777777" w:rsidTr="00465D6B">
        <w:trPr>
          <w:trHeight w:val="440"/>
        </w:trPr>
        <w:tc>
          <w:tcPr>
            <w:tcW w:w="1379" w:type="dxa"/>
            <w:noWrap/>
            <w:hideMark/>
          </w:tcPr>
          <w:p w14:paraId="512C9C1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w:t>
            </w:r>
          </w:p>
        </w:tc>
        <w:tc>
          <w:tcPr>
            <w:tcW w:w="1689" w:type="dxa"/>
            <w:noWrap/>
            <w:hideMark/>
          </w:tcPr>
          <w:p w14:paraId="376D5E3F"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500,000</w:t>
            </w:r>
          </w:p>
        </w:tc>
        <w:tc>
          <w:tcPr>
            <w:tcW w:w="1379" w:type="dxa"/>
            <w:noWrap/>
            <w:hideMark/>
          </w:tcPr>
          <w:p w14:paraId="79C577B1"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0.9259</w:t>
            </w:r>
          </w:p>
        </w:tc>
        <w:tc>
          <w:tcPr>
            <w:tcW w:w="2040" w:type="dxa"/>
            <w:noWrap/>
            <w:hideMark/>
          </w:tcPr>
          <w:p w14:paraId="278DB537"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462,950</w:t>
            </w:r>
          </w:p>
        </w:tc>
        <w:tc>
          <w:tcPr>
            <w:tcW w:w="2127" w:type="dxa"/>
            <w:noWrap/>
            <w:hideMark/>
          </w:tcPr>
          <w:p w14:paraId="026DD8D3"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-1,537,050</w:t>
            </w:r>
          </w:p>
        </w:tc>
      </w:tr>
      <w:tr w:rsidR="00465D6B" w:rsidRPr="00465D6B" w14:paraId="70BE0AE9" w14:textId="77777777" w:rsidTr="00465D6B">
        <w:trPr>
          <w:trHeight w:val="440"/>
        </w:trPr>
        <w:tc>
          <w:tcPr>
            <w:tcW w:w="1379" w:type="dxa"/>
            <w:noWrap/>
            <w:hideMark/>
          </w:tcPr>
          <w:p w14:paraId="35D4D3C3"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2</w:t>
            </w:r>
          </w:p>
        </w:tc>
        <w:tc>
          <w:tcPr>
            <w:tcW w:w="1689" w:type="dxa"/>
            <w:noWrap/>
            <w:hideMark/>
          </w:tcPr>
          <w:p w14:paraId="40CC9EB4"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1,000,000</w:t>
            </w:r>
          </w:p>
        </w:tc>
        <w:tc>
          <w:tcPr>
            <w:tcW w:w="1379" w:type="dxa"/>
            <w:noWrap/>
            <w:hideMark/>
          </w:tcPr>
          <w:p w14:paraId="04F1487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0.8573</w:t>
            </w:r>
          </w:p>
        </w:tc>
        <w:tc>
          <w:tcPr>
            <w:tcW w:w="2040" w:type="dxa"/>
            <w:noWrap/>
            <w:hideMark/>
          </w:tcPr>
          <w:p w14:paraId="3774E3D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857,300</w:t>
            </w:r>
          </w:p>
        </w:tc>
        <w:tc>
          <w:tcPr>
            <w:tcW w:w="2127" w:type="dxa"/>
            <w:noWrap/>
            <w:hideMark/>
          </w:tcPr>
          <w:p w14:paraId="1A560301"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-679,750</w:t>
            </w:r>
          </w:p>
        </w:tc>
      </w:tr>
      <w:tr w:rsidR="00465D6B" w:rsidRPr="00465D6B" w14:paraId="45F952DD" w14:textId="77777777" w:rsidTr="00465D6B">
        <w:trPr>
          <w:trHeight w:val="440"/>
        </w:trPr>
        <w:tc>
          <w:tcPr>
            <w:tcW w:w="1379" w:type="dxa"/>
            <w:noWrap/>
            <w:hideMark/>
          </w:tcPr>
          <w:p w14:paraId="45B58CC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3</w:t>
            </w:r>
          </w:p>
        </w:tc>
        <w:tc>
          <w:tcPr>
            <w:tcW w:w="1689" w:type="dxa"/>
            <w:noWrap/>
            <w:hideMark/>
          </w:tcPr>
          <w:p w14:paraId="60E652A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1,500,000</w:t>
            </w:r>
          </w:p>
        </w:tc>
        <w:tc>
          <w:tcPr>
            <w:tcW w:w="1379" w:type="dxa"/>
            <w:noWrap/>
            <w:hideMark/>
          </w:tcPr>
          <w:p w14:paraId="7EFCEE5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0.7938</w:t>
            </w:r>
          </w:p>
        </w:tc>
        <w:tc>
          <w:tcPr>
            <w:tcW w:w="2040" w:type="dxa"/>
            <w:noWrap/>
            <w:hideMark/>
          </w:tcPr>
          <w:p w14:paraId="485133A3"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1,190,700</w:t>
            </w:r>
          </w:p>
        </w:tc>
        <w:tc>
          <w:tcPr>
            <w:tcW w:w="2127" w:type="dxa"/>
            <w:noWrap/>
            <w:hideMark/>
          </w:tcPr>
          <w:p w14:paraId="6E36C390"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510,950</w:t>
            </w:r>
          </w:p>
        </w:tc>
      </w:tr>
      <w:tr w:rsidR="00465D6B" w:rsidRPr="00465D6B" w14:paraId="74B93F35" w14:textId="77777777" w:rsidTr="00465D6B">
        <w:trPr>
          <w:trHeight w:val="440"/>
        </w:trPr>
        <w:tc>
          <w:tcPr>
            <w:tcW w:w="1379" w:type="dxa"/>
            <w:noWrap/>
            <w:hideMark/>
          </w:tcPr>
          <w:p w14:paraId="08ECC32D"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4</w:t>
            </w:r>
          </w:p>
        </w:tc>
        <w:tc>
          <w:tcPr>
            <w:tcW w:w="1689" w:type="dxa"/>
            <w:noWrap/>
            <w:hideMark/>
          </w:tcPr>
          <w:p w14:paraId="7E08557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1,500,000</w:t>
            </w:r>
          </w:p>
        </w:tc>
        <w:tc>
          <w:tcPr>
            <w:tcW w:w="1379" w:type="dxa"/>
            <w:noWrap/>
            <w:hideMark/>
          </w:tcPr>
          <w:p w14:paraId="20C46278"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0.7350</w:t>
            </w:r>
          </w:p>
        </w:tc>
        <w:tc>
          <w:tcPr>
            <w:tcW w:w="2040" w:type="dxa"/>
            <w:noWrap/>
            <w:hideMark/>
          </w:tcPr>
          <w:p w14:paraId="29026924"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1,102,500</w:t>
            </w:r>
          </w:p>
        </w:tc>
        <w:tc>
          <w:tcPr>
            <w:tcW w:w="2127" w:type="dxa"/>
            <w:noWrap/>
            <w:hideMark/>
          </w:tcPr>
          <w:p w14:paraId="5C8851D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1,613,450</w:t>
            </w:r>
          </w:p>
        </w:tc>
      </w:tr>
    </w:tbl>
    <w:p w14:paraId="01BACFBD"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r>
    </w:p>
    <w:p w14:paraId="76C0465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The payback period will be </w:t>
      </w:r>
      <w:r w:rsidRPr="00465D6B">
        <w:rPr>
          <w:rFonts w:ascii="Arial" w:hAnsi="Arial" w:cs="Arial"/>
          <w:sz w:val="24"/>
          <w:szCs w:val="24"/>
          <w:highlight w:val="yellow"/>
        </w:rPr>
        <w:t>2 years and 6 months</w:t>
      </w:r>
      <w:r w:rsidRPr="00465D6B">
        <w:rPr>
          <w:rFonts w:ascii="Arial" w:hAnsi="Arial" w:cs="Arial"/>
          <w:sz w:val="24"/>
          <w:szCs w:val="24"/>
        </w:rPr>
        <w:t>.</w:t>
      </w:r>
    </w:p>
    <w:p w14:paraId="4956AEA1" w14:textId="77777777" w:rsidR="00465D6B" w:rsidRPr="00465D6B" w:rsidRDefault="00465D6B" w:rsidP="00465D6B">
      <w:pPr>
        <w:spacing w:line="360" w:lineRule="auto"/>
        <w:rPr>
          <w:rFonts w:ascii="Arial" w:hAnsi="Arial" w:cs="Arial"/>
          <w:b/>
          <w:bCs/>
          <w:sz w:val="24"/>
          <w:szCs w:val="24"/>
        </w:rPr>
      </w:pPr>
      <w:r w:rsidRPr="00465D6B">
        <w:rPr>
          <w:rFonts w:ascii="Arial" w:hAnsi="Arial" w:cs="Arial"/>
          <w:b/>
          <w:bCs/>
          <w:sz w:val="24"/>
          <w:szCs w:val="24"/>
        </w:rPr>
        <w:t>NPV Divisible Projects</w:t>
      </w:r>
    </w:p>
    <w:p w14:paraId="1D76240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To calculate the NPV for Project C, first we will calculate depreciation expense on a straight-line basis:</w:t>
      </w:r>
    </w:p>
    <w:p w14:paraId="58516D65"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Depreciation expense = (cost of the project – salvage value)/life of the project</w:t>
      </w:r>
    </w:p>
    <w:p w14:paraId="46DEACC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r>
      <w:r w:rsidRPr="00465D6B">
        <w:rPr>
          <w:rFonts w:ascii="Arial" w:hAnsi="Arial" w:cs="Arial"/>
          <w:sz w:val="24"/>
          <w:szCs w:val="24"/>
        </w:rPr>
        <w:tab/>
      </w:r>
      <w:r w:rsidRPr="00465D6B">
        <w:rPr>
          <w:rFonts w:ascii="Arial" w:hAnsi="Arial" w:cs="Arial"/>
          <w:sz w:val="24"/>
          <w:szCs w:val="24"/>
        </w:rPr>
        <w:tab/>
        <w:t>= (£2,500,000 – 0) / 4 years</w:t>
      </w:r>
    </w:p>
    <w:p w14:paraId="67966BFC"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r>
      <w:r w:rsidRPr="00465D6B">
        <w:rPr>
          <w:rFonts w:ascii="Arial" w:hAnsi="Arial" w:cs="Arial"/>
          <w:sz w:val="24"/>
          <w:szCs w:val="24"/>
        </w:rPr>
        <w:tab/>
      </w:r>
      <w:r w:rsidRPr="00465D6B">
        <w:rPr>
          <w:rFonts w:ascii="Arial" w:hAnsi="Arial" w:cs="Arial"/>
          <w:sz w:val="24"/>
          <w:szCs w:val="24"/>
        </w:rPr>
        <w:tab/>
        <w:t>= £625,000</w:t>
      </w:r>
    </w:p>
    <w:p w14:paraId="10B996C4"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lastRenderedPageBreak/>
        <w:t>Revenues for the project = £4,500,000, Cost of project = £2,500,000, Depreciation expense = £625,000</w:t>
      </w:r>
    </w:p>
    <w:p w14:paraId="3AD9861D"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Project before tax = 4,500,000 – 2,500,000 – 625,000</w:t>
      </w:r>
    </w:p>
    <w:p w14:paraId="45FAE71E"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r>
      <w:r w:rsidRPr="00465D6B">
        <w:rPr>
          <w:rFonts w:ascii="Arial" w:hAnsi="Arial" w:cs="Arial"/>
          <w:sz w:val="24"/>
          <w:szCs w:val="24"/>
        </w:rPr>
        <w:tab/>
      </w:r>
      <w:r w:rsidRPr="00465D6B">
        <w:rPr>
          <w:rFonts w:ascii="Arial" w:hAnsi="Arial" w:cs="Arial"/>
          <w:sz w:val="24"/>
          <w:szCs w:val="24"/>
        </w:rPr>
        <w:tab/>
        <w:t>= £1,375,000</w:t>
      </w:r>
    </w:p>
    <w:p w14:paraId="458148E8"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t xml:space="preserve">Tax = 1,375,000 * 20% </w:t>
      </w:r>
    </w:p>
    <w:p w14:paraId="0BD6D26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r>
      <w:r w:rsidRPr="00465D6B">
        <w:rPr>
          <w:rFonts w:ascii="Arial" w:hAnsi="Arial" w:cs="Arial"/>
          <w:sz w:val="24"/>
          <w:szCs w:val="24"/>
        </w:rPr>
        <w:tab/>
        <w:t>Tax = £275,000</w:t>
      </w:r>
    </w:p>
    <w:p w14:paraId="4B52CFB9"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Project before tax = 1,375,000 – 275,000</w:t>
      </w:r>
    </w:p>
    <w:p w14:paraId="42F7D448"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r>
      <w:r w:rsidRPr="00465D6B">
        <w:rPr>
          <w:rFonts w:ascii="Arial" w:hAnsi="Arial" w:cs="Arial"/>
          <w:sz w:val="24"/>
          <w:szCs w:val="24"/>
        </w:rPr>
        <w:tab/>
        <w:t>= £1,100,000</w:t>
      </w:r>
    </w:p>
    <w:p w14:paraId="3897B37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Then we add depreciation value since it is a non-cash expense:</w:t>
      </w:r>
    </w:p>
    <w:p w14:paraId="2ECC7F86"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t>= 1,100,000 + 625,000</w:t>
      </w:r>
    </w:p>
    <w:p w14:paraId="7645005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t>= £1,725,000</w:t>
      </w:r>
    </w:p>
    <w:p w14:paraId="502BAA9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Therefore, after-tax cash flow is 1,725,000. </w:t>
      </w:r>
    </w:p>
    <w:p w14:paraId="363CC66A"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NPV= PV of cash flows – cash outlays</w:t>
      </w:r>
    </w:p>
    <w:p w14:paraId="54949CA2"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 xml:space="preserve">NPV = 2,500,000 - 1,725,000/1.08 </w:t>
      </w:r>
      <w:r w:rsidRPr="00465D6B">
        <w:rPr>
          <w:rFonts w:ascii="Arial" w:hAnsi="Arial" w:cs="Arial"/>
          <w:sz w:val="24"/>
          <w:szCs w:val="24"/>
        </w:rPr>
        <w:softHyphen/>
        <w:t>+ 1,725,000/ (1.08) ^2 + 1,725,000</w:t>
      </w:r>
      <w:proofErr w:type="gramStart"/>
      <w:r w:rsidRPr="00465D6B">
        <w:rPr>
          <w:rFonts w:ascii="Arial" w:hAnsi="Arial" w:cs="Arial"/>
          <w:sz w:val="24"/>
          <w:szCs w:val="24"/>
        </w:rPr>
        <w:t>/(</w:t>
      </w:r>
      <w:proofErr w:type="gramEnd"/>
      <w:r w:rsidRPr="00465D6B">
        <w:rPr>
          <w:rFonts w:ascii="Arial" w:hAnsi="Arial" w:cs="Arial"/>
          <w:sz w:val="24"/>
          <w:szCs w:val="24"/>
        </w:rPr>
        <w:t>1.08)^3 + 1,725,000/(1.08)^4</w:t>
      </w:r>
    </w:p>
    <w:p w14:paraId="6449E1AB" w14:textId="77777777" w:rsidR="00465D6B" w:rsidRPr="00465D6B" w:rsidRDefault="00465D6B" w:rsidP="00465D6B">
      <w:pPr>
        <w:spacing w:line="360" w:lineRule="auto"/>
        <w:rPr>
          <w:rFonts w:ascii="Arial" w:hAnsi="Arial" w:cs="Arial"/>
          <w:sz w:val="24"/>
          <w:szCs w:val="24"/>
        </w:rPr>
      </w:pPr>
      <w:r w:rsidRPr="00465D6B">
        <w:rPr>
          <w:rFonts w:ascii="Arial" w:hAnsi="Arial" w:cs="Arial"/>
          <w:sz w:val="24"/>
          <w:szCs w:val="24"/>
        </w:rPr>
        <w:tab/>
      </w:r>
      <w:r w:rsidRPr="00465D6B">
        <w:rPr>
          <w:rFonts w:ascii="Arial" w:hAnsi="Arial" w:cs="Arial"/>
          <w:sz w:val="24"/>
          <w:szCs w:val="24"/>
        </w:rPr>
        <w:tab/>
        <w:t>NPV =</w:t>
      </w:r>
      <w:r w:rsidRPr="00465D6B">
        <w:rPr>
          <w:rFonts w:ascii="Arial" w:hAnsi="Arial" w:cs="Arial"/>
          <w:sz w:val="24"/>
          <w:szCs w:val="24"/>
          <w:highlight w:val="yellow"/>
        </w:rPr>
        <w:t xml:space="preserve"> £3,213,418</w:t>
      </w:r>
    </w:p>
    <w:p w14:paraId="33B97193" w14:textId="77777777" w:rsidR="00075487" w:rsidRDefault="00465D6B" w:rsidP="00465D6B">
      <w:pPr>
        <w:spacing w:line="360" w:lineRule="auto"/>
        <w:rPr>
          <w:rFonts w:ascii="Arial" w:hAnsi="Arial" w:cs="Arial"/>
          <w:b/>
          <w:bCs/>
          <w:sz w:val="24"/>
          <w:szCs w:val="24"/>
        </w:rPr>
      </w:pPr>
      <w:r w:rsidRPr="00465D6B">
        <w:rPr>
          <w:rFonts w:ascii="Arial" w:hAnsi="Arial" w:cs="Arial"/>
          <w:b/>
          <w:bCs/>
          <w:sz w:val="24"/>
          <w:szCs w:val="24"/>
        </w:rPr>
        <w:t>Conclu</w:t>
      </w:r>
      <w:r w:rsidR="00075487">
        <w:rPr>
          <w:rFonts w:ascii="Arial" w:hAnsi="Arial" w:cs="Arial"/>
          <w:b/>
          <w:bCs/>
          <w:sz w:val="24"/>
          <w:szCs w:val="24"/>
        </w:rPr>
        <w:t>sion</w:t>
      </w:r>
    </w:p>
    <w:p w14:paraId="59F7C23B" w14:textId="6C46F3C9" w:rsidR="00465D6B" w:rsidRPr="00075487" w:rsidRDefault="00465D6B" w:rsidP="00465D6B">
      <w:pPr>
        <w:spacing w:line="360" w:lineRule="auto"/>
        <w:rPr>
          <w:rFonts w:ascii="Arial" w:hAnsi="Arial" w:cs="Arial"/>
          <w:b/>
          <w:bCs/>
          <w:sz w:val="24"/>
          <w:szCs w:val="24"/>
        </w:rPr>
      </w:pPr>
      <w:r w:rsidRPr="00465D6B">
        <w:rPr>
          <w:rFonts w:ascii="Arial" w:hAnsi="Arial" w:cs="Arial"/>
          <w:sz w:val="24"/>
          <w:szCs w:val="24"/>
        </w:rPr>
        <w:t xml:space="preserve">In conclusion, after the analysis of the three projects, the company is recommended to undertake </w:t>
      </w:r>
      <w:r w:rsidRPr="00465D6B">
        <w:rPr>
          <w:rFonts w:ascii="Arial" w:hAnsi="Arial" w:cs="Arial"/>
          <w:b/>
          <w:bCs/>
          <w:sz w:val="24"/>
          <w:szCs w:val="24"/>
        </w:rPr>
        <w:t>Project C - Produce greenhouses and conservatories</w:t>
      </w:r>
      <w:r w:rsidRPr="00465D6B">
        <w:rPr>
          <w:rFonts w:ascii="Arial" w:hAnsi="Arial" w:cs="Arial"/>
          <w:sz w:val="24"/>
          <w:szCs w:val="24"/>
        </w:rPr>
        <w:t xml:space="preserve"> because it has the highest NPV and positive cash flows. Besides, the project has </w:t>
      </w:r>
      <w:r w:rsidRPr="00465D6B">
        <w:rPr>
          <w:rFonts w:ascii="Arial" w:hAnsi="Arial" w:cs="Arial"/>
          <w:b/>
          <w:bCs/>
          <w:sz w:val="24"/>
          <w:szCs w:val="24"/>
        </w:rPr>
        <w:t xml:space="preserve">IRR of </w:t>
      </w:r>
      <w:r w:rsidRPr="00465D6B">
        <w:rPr>
          <w:rStyle w:val="big"/>
          <w:rFonts w:ascii="Arial" w:hAnsi="Arial" w:cs="Arial"/>
          <w:b/>
          <w:bCs/>
          <w:sz w:val="24"/>
          <w:szCs w:val="24"/>
        </w:rPr>
        <w:t xml:space="preserve">24.52% </w:t>
      </w:r>
      <w:r w:rsidRPr="00465D6B">
        <w:rPr>
          <w:rStyle w:val="big"/>
          <w:rFonts w:ascii="Arial" w:hAnsi="Arial" w:cs="Arial"/>
          <w:sz w:val="24"/>
          <w:szCs w:val="24"/>
        </w:rPr>
        <w:t>which is significantly higher than current cost of capital of 8%.</w:t>
      </w:r>
      <w:r w:rsidRPr="00465D6B">
        <w:rPr>
          <w:rStyle w:val="big"/>
          <w:rFonts w:ascii="Arial" w:hAnsi="Arial" w:cs="Arial"/>
          <w:b/>
          <w:bCs/>
          <w:sz w:val="24"/>
          <w:szCs w:val="24"/>
        </w:rPr>
        <w:t xml:space="preserve"> </w:t>
      </w:r>
      <w:r w:rsidRPr="00465D6B">
        <w:rPr>
          <w:rFonts w:ascii="Arial" w:hAnsi="Arial" w:cs="Arial"/>
          <w:sz w:val="24"/>
          <w:szCs w:val="24"/>
        </w:rPr>
        <w:t xml:space="preserve"> </w:t>
      </w:r>
    </w:p>
    <w:p w14:paraId="10E33BD6" w14:textId="77777777" w:rsidR="00465D6B" w:rsidRPr="00465D6B" w:rsidRDefault="00465D6B" w:rsidP="00465D6B">
      <w:pPr>
        <w:spacing w:line="360" w:lineRule="auto"/>
        <w:rPr>
          <w:rFonts w:ascii="Arial" w:hAnsi="Arial" w:cs="Arial"/>
          <w:sz w:val="24"/>
          <w:szCs w:val="24"/>
          <w:lang w:val="en-US"/>
        </w:rPr>
      </w:pPr>
      <w:r w:rsidRPr="00465D6B">
        <w:rPr>
          <w:rFonts w:ascii="Arial" w:hAnsi="Arial" w:cs="Arial"/>
          <w:sz w:val="24"/>
          <w:szCs w:val="24"/>
        </w:rPr>
        <w:t xml:space="preserve">To finance this project, the company can obtain finances from equity and debt financing. With the </w:t>
      </w:r>
      <w:r w:rsidRPr="00465D6B">
        <w:rPr>
          <w:rFonts w:ascii="Arial" w:hAnsi="Arial" w:cs="Arial"/>
          <w:sz w:val="24"/>
          <w:szCs w:val="24"/>
          <w:lang w:val="en-US"/>
        </w:rPr>
        <w:t xml:space="preserve">use of </w:t>
      </w:r>
      <w:r w:rsidRPr="00465D6B">
        <w:rPr>
          <w:rFonts w:ascii="Arial" w:hAnsi="Arial" w:cs="Arial"/>
          <w:bCs/>
          <w:sz w:val="24"/>
          <w:szCs w:val="24"/>
          <w:lang w:val="en-US"/>
        </w:rPr>
        <w:t>debt financing</w:t>
      </w:r>
      <w:r w:rsidRPr="00465D6B">
        <w:rPr>
          <w:rFonts w:ascii="Arial" w:hAnsi="Arial" w:cs="Arial"/>
          <w:sz w:val="24"/>
          <w:szCs w:val="24"/>
          <w:lang w:val="en-US"/>
        </w:rPr>
        <w:t xml:space="preserve">, there will be no change in the company’s ownership structure. This means the company will not share management power with the investors. Hence, the method allows the company to retain the rights to run business operations without any sort of intervention. There is an allowance of principal and interest payments as business expenses. These expenses result in tax </w:t>
      </w:r>
      <w:r w:rsidRPr="00465D6B">
        <w:rPr>
          <w:rFonts w:ascii="Arial" w:hAnsi="Arial" w:cs="Arial"/>
          <w:sz w:val="24"/>
          <w:szCs w:val="24"/>
          <w:lang w:val="en-US"/>
        </w:rPr>
        <w:lastRenderedPageBreak/>
        <w:t xml:space="preserve">deductions. Since the company knows the principal and interest payments, they can make budget adjustments and financial plan to repay the debt. Using this method, the company can either choose to borrow on short-term and long-term. This is the less costly method of raising funds since the interest of repaying the loans is tax-deductible. However, this method will affect the firm’s profitability because the profits or revenues generated have to be paid to the investors either monthly or annually, as agreed by both parties </w:t>
      </w:r>
      <w:r w:rsidRPr="00465D6B">
        <w:rPr>
          <w:rFonts w:ascii="Arial" w:hAnsi="Arial" w:cs="Arial"/>
          <w:sz w:val="24"/>
          <w:szCs w:val="24"/>
          <w:lang w:val="en-US"/>
        </w:rPr>
        <w:fldChar w:fldCharType="begin"/>
      </w:r>
      <w:r w:rsidRPr="00465D6B">
        <w:rPr>
          <w:rFonts w:ascii="Arial" w:hAnsi="Arial" w:cs="Arial"/>
          <w:sz w:val="24"/>
          <w:szCs w:val="24"/>
          <w:lang w:val="en-US"/>
        </w:rPr>
        <w:instrText xml:space="preserve"> ADDIN ZOTERO_ITEM CSL_CITATION {"citationID":"PAvH3Ec5","properties":{"formattedCitation":"(Verbeeten, 2006)","plainCitation":"(Verbeeten, 2006)","noteIndex":0},"citationItems":[{"id":732,"uris":["http://zotero.org/users/local/SIKpUXFh/items/J3RMBWYD"],"uri":["http://zotero.org/users/local/SIKpUXFh/items/J3RMBWYD"],"itemData":{"id":732,"type":"article-journal","title":"Do organizations adopt sophisticated capital budgeting practices to deal with uncertainty in the investment decision?: A research note","container-title":"Management accounting research","page":"106-120","volume":"17","issue":"1","author":[{"family":"Verbeeten","given":"Frank HM"}],"issued":{"date-parts":[["2006"]]}}}],"schema":"https://github.com/citation-style-language/schema/raw/master/csl-citation.json"} </w:instrText>
      </w:r>
      <w:r w:rsidRPr="00465D6B">
        <w:rPr>
          <w:rFonts w:ascii="Arial" w:hAnsi="Arial" w:cs="Arial"/>
          <w:sz w:val="24"/>
          <w:szCs w:val="24"/>
          <w:lang w:val="en-US"/>
        </w:rPr>
        <w:fldChar w:fldCharType="separate"/>
      </w:r>
      <w:r w:rsidRPr="00465D6B">
        <w:rPr>
          <w:rFonts w:ascii="Arial" w:hAnsi="Arial" w:cs="Arial"/>
          <w:sz w:val="24"/>
          <w:szCs w:val="24"/>
          <w:lang w:val="en-US"/>
        </w:rPr>
        <w:t>(</w:t>
      </w:r>
      <w:proofErr w:type="spellStart"/>
      <w:r w:rsidRPr="00465D6B">
        <w:rPr>
          <w:rFonts w:ascii="Arial" w:hAnsi="Arial" w:cs="Arial"/>
          <w:sz w:val="24"/>
          <w:szCs w:val="24"/>
          <w:lang w:val="en-US"/>
        </w:rPr>
        <w:t>Verbeeten</w:t>
      </w:r>
      <w:proofErr w:type="spellEnd"/>
      <w:r w:rsidRPr="00465D6B">
        <w:rPr>
          <w:rFonts w:ascii="Arial" w:hAnsi="Arial" w:cs="Arial"/>
          <w:sz w:val="24"/>
          <w:szCs w:val="24"/>
          <w:lang w:val="en-US"/>
        </w:rPr>
        <w:t>, 2006)</w:t>
      </w:r>
      <w:r w:rsidRPr="00465D6B">
        <w:rPr>
          <w:rFonts w:ascii="Arial" w:hAnsi="Arial" w:cs="Arial"/>
          <w:sz w:val="24"/>
          <w:szCs w:val="24"/>
        </w:rPr>
        <w:fldChar w:fldCharType="end"/>
      </w:r>
      <w:r w:rsidRPr="00465D6B">
        <w:rPr>
          <w:rFonts w:ascii="Arial" w:hAnsi="Arial" w:cs="Arial"/>
          <w:sz w:val="24"/>
          <w:szCs w:val="24"/>
          <w:lang w:val="en-US"/>
        </w:rPr>
        <w:t xml:space="preserve">. Due to huge debt repayments, the company may experience slow growth. Most of the company objectives will aim at repaying the debt. Hence, the company will lose focus on other business activities. To obtain funds through this method, the company will need to have a good credit rating. The company will be under pressure to repay the debt, and this may affect their overall growth and profitability. </w:t>
      </w:r>
    </w:p>
    <w:p w14:paraId="787B3CFB" w14:textId="1B4F1C92" w:rsidR="00465D6B" w:rsidRPr="00465D6B" w:rsidRDefault="00465D6B" w:rsidP="00465D6B">
      <w:pPr>
        <w:spacing w:line="360" w:lineRule="auto"/>
        <w:ind w:firstLine="720"/>
        <w:rPr>
          <w:rFonts w:ascii="Arial" w:hAnsi="Arial" w:cs="Arial"/>
          <w:sz w:val="24"/>
          <w:szCs w:val="24"/>
          <w:lang w:val="en-US"/>
        </w:rPr>
      </w:pPr>
      <w:r w:rsidRPr="00465D6B">
        <w:rPr>
          <w:rFonts w:ascii="Arial" w:hAnsi="Arial" w:cs="Arial"/>
          <w:sz w:val="24"/>
          <w:szCs w:val="24"/>
          <w:lang w:val="en-US"/>
        </w:rPr>
        <w:t xml:space="preserve">The other method is </w:t>
      </w:r>
      <w:r w:rsidRPr="00465D6B">
        <w:rPr>
          <w:rFonts w:ascii="Arial" w:hAnsi="Arial" w:cs="Arial"/>
          <w:bCs/>
          <w:sz w:val="24"/>
          <w:szCs w:val="24"/>
          <w:lang w:val="en-US"/>
        </w:rPr>
        <w:t>equity financing</w:t>
      </w:r>
      <w:r w:rsidRPr="00465D6B">
        <w:rPr>
          <w:rFonts w:ascii="Arial" w:hAnsi="Arial" w:cs="Arial"/>
          <w:sz w:val="24"/>
          <w:szCs w:val="24"/>
          <w:lang w:val="en-US"/>
        </w:rPr>
        <w:t>. Equity financing will help the firm explore and execute organizational growth ideas. The funds which would have been used to repay debt will be saved and be used for other business operations. The company can use such capital to finance projects or make an investment in securities exchange and derive profits. Equity financing means revenues generated are for the business only, and investors can only be paid if the business is doing well. In this case, the business has no obligation to repay the investors first with revenues generated but later if they make profits. In such an event, investors will be paid through dividends. Investors who have funded the company can bring valuable ideas, experience, and skills as well as contact the company. This can help the company in making strategic decisions. The investors become part of the company and vest their interest in the company’s growth and profitability. The investors can also provide further financial assistance as the company grows.</w:t>
      </w:r>
    </w:p>
    <w:p w14:paraId="2ADF6AE3" w14:textId="77777777" w:rsidR="00465D6B" w:rsidRPr="00465D6B" w:rsidRDefault="00465D6B" w:rsidP="00465D6B">
      <w:pPr>
        <w:rPr>
          <w:rFonts w:ascii="Arial" w:hAnsi="Arial" w:cs="Arial"/>
          <w:sz w:val="24"/>
          <w:szCs w:val="24"/>
        </w:rPr>
      </w:pPr>
      <w:r w:rsidRPr="00465D6B">
        <w:rPr>
          <w:rFonts w:ascii="Arial" w:hAnsi="Arial" w:cs="Arial"/>
          <w:sz w:val="24"/>
          <w:szCs w:val="24"/>
        </w:rPr>
        <w:br w:type="page"/>
      </w:r>
    </w:p>
    <w:p w14:paraId="58144A20" w14:textId="77777777" w:rsidR="00465D6B" w:rsidRPr="00075487" w:rsidRDefault="00465D6B" w:rsidP="00075487">
      <w:pPr>
        <w:spacing w:line="360" w:lineRule="auto"/>
        <w:rPr>
          <w:rFonts w:ascii="Arial" w:hAnsi="Arial" w:cs="Arial"/>
          <w:b/>
          <w:sz w:val="24"/>
          <w:szCs w:val="24"/>
        </w:rPr>
      </w:pPr>
      <w:r w:rsidRPr="00075487">
        <w:rPr>
          <w:rFonts w:ascii="Arial" w:hAnsi="Arial" w:cs="Arial"/>
          <w:b/>
          <w:sz w:val="24"/>
          <w:szCs w:val="24"/>
        </w:rPr>
        <w:lastRenderedPageBreak/>
        <w:t>References</w:t>
      </w:r>
    </w:p>
    <w:p w14:paraId="1D6C884A" w14:textId="77777777" w:rsidR="00465D6B" w:rsidRPr="00465D6B" w:rsidRDefault="00465D6B" w:rsidP="00465D6B">
      <w:pPr>
        <w:pStyle w:val="Bibliography"/>
        <w:ind w:left="720" w:hanging="720"/>
        <w:rPr>
          <w:rFonts w:ascii="Arial" w:hAnsi="Arial" w:cs="Arial"/>
          <w:sz w:val="24"/>
          <w:szCs w:val="24"/>
        </w:rPr>
      </w:pPr>
      <w:proofErr w:type="spellStart"/>
      <w:r w:rsidRPr="00465D6B">
        <w:rPr>
          <w:rFonts w:ascii="Arial" w:hAnsi="Arial" w:cs="Arial"/>
          <w:sz w:val="24"/>
          <w:szCs w:val="24"/>
        </w:rPr>
        <w:t>Bierman</w:t>
      </w:r>
      <w:proofErr w:type="spellEnd"/>
      <w:r w:rsidRPr="00465D6B">
        <w:rPr>
          <w:rFonts w:ascii="Arial" w:hAnsi="Arial" w:cs="Arial"/>
          <w:sz w:val="24"/>
          <w:szCs w:val="24"/>
        </w:rPr>
        <w:t xml:space="preserve"> Jr, H., &amp; </w:t>
      </w:r>
      <w:proofErr w:type="spellStart"/>
      <w:r w:rsidRPr="00465D6B">
        <w:rPr>
          <w:rFonts w:ascii="Arial" w:hAnsi="Arial" w:cs="Arial"/>
          <w:sz w:val="24"/>
          <w:szCs w:val="24"/>
        </w:rPr>
        <w:t>Smidt</w:t>
      </w:r>
      <w:proofErr w:type="spellEnd"/>
      <w:r w:rsidRPr="00465D6B">
        <w:rPr>
          <w:rFonts w:ascii="Arial" w:hAnsi="Arial" w:cs="Arial"/>
          <w:sz w:val="24"/>
          <w:szCs w:val="24"/>
        </w:rPr>
        <w:t xml:space="preserve">, S. 2012. </w:t>
      </w:r>
      <w:r w:rsidRPr="00465D6B">
        <w:rPr>
          <w:rFonts w:ascii="Arial" w:hAnsi="Arial" w:cs="Arial"/>
          <w:i/>
          <w:iCs/>
          <w:sz w:val="24"/>
          <w:szCs w:val="24"/>
        </w:rPr>
        <w:t>The capital budgeting decision: economic analysis of investment projects</w:t>
      </w:r>
      <w:r w:rsidRPr="00465D6B">
        <w:rPr>
          <w:rFonts w:ascii="Arial" w:hAnsi="Arial" w:cs="Arial"/>
          <w:sz w:val="24"/>
          <w:szCs w:val="24"/>
        </w:rPr>
        <w:t>. Routledge.</w:t>
      </w:r>
    </w:p>
    <w:p w14:paraId="67B5507A" w14:textId="77777777" w:rsidR="00465D6B" w:rsidRPr="00465D6B" w:rsidRDefault="00465D6B" w:rsidP="00465D6B">
      <w:pPr>
        <w:pStyle w:val="Bibliography"/>
        <w:ind w:left="720" w:hanging="720"/>
        <w:rPr>
          <w:rFonts w:ascii="Arial" w:hAnsi="Arial" w:cs="Arial"/>
          <w:sz w:val="24"/>
          <w:szCs w:val="24"/>
        </w:rPr>
      </w:pPr>
      <w:r w:rsidRPr="00465D6B">
        <w:rPr>
          <w:rFonts w:ascii="Arial" w:hAnsi="Arial" w:cs="Arial"/>
          <w:sz w:val="24"/>
          <w:szCs w:val="24"/>
        </w:rPr>
        <w:t>Durnev, A., Morck, R., &amp; Yeung, B. 2004. Value</w:t>
      </w:r>
      <w:r w:rsidRPr="00465D6B">
        <w:rPr>
          <w:rFonts w:ascii="Cambria Math" w:hAnsi="Cambria Math" w:cs="Cambria Math"/>
          <w:sz w:val="24"/>
          <w:szCs w:val="24"/>
        </w:rPr>
        <w:t>‐</w:t>
      </w:r>
      <w:r w:rsidRPr="00465D6B">
        <w:rPr>
          <w:rFonts w:ascii="Arial" w:hAnsi="Arial" w:cs="Arial"/>
          <w:sz w:val="24"/>
          <w:szCs w:val="24"/>
        </w:rPr>
        <w:t>enhancing capital budgeting and firm</w:t>
      </w:r>
      <w:r w:rsidRPr="00465D6B">
        <w:rPr>
          <w:rFonts w:ascii="Cambria Math" w:hAnsi="Cambria Math" w:cs="Cambria Math"/>
          <w:sz w:val="24"/>
          <w:szCs w:val="24"/>
        </w:rPr>
        <w:t>‐</w:t>
      </w:r>
      <w:r w:rsidRPr="00465D6B">
        <w:rPr>
          <w:rFonts w:ascii="Arial" w:hAnsi="Arial" w:cs="Arial"/>
          <w:sz w:val="24"/>
          <w:szCs w:val="24"/>
        </w:rPr>
        <w:t xml:space="preserve">specific stock return variation. </w:t>
      </w:r>
      <w:r w:rsidRPr="00465D6B">
        <w:rPr>
          <w:rFonts w:ascii="Arial" w:hAnsi="Arial" w:cs="Arial"/>
          <w:i/>
          <w:iCs/>
          <w:sz w:val="24"/>
          <w:szCs w:val="24"/>
        </w:rPr>
        <w:t>The Journal of Finance</w:t>
      </w:r>
      <w:r w:rsidRPr="00465D6B">
        <w:rPr>
          <w:rFonts w:ascii="Arial" w:hAnsi="Arial" w:cs="Arial"/>
          <w:sz w:val="24"/>
          <w:szCs w:val="24"/>
        </w:rPr>
        <w:t xml:space="preserve">, </w:t>
      </w:r>
      <w:r w:rsidRPr="00465D6B">
        <w:rPr>
          <w:rFonts w:ascii="Arial" w:hAnsi="Arial" w:cs="Arial"/>
          <w:i/>
          <w:iCs/>
          <w:sz w:val="24"/>
          <w:szCs w:val="24"/>
        </w:rPr>
        <w:t>59</w:t>
      </w:r>
      <w:r w:rsidRPr="00465D6B">
        <w:rPr>
          <w:rFonts w:ascii="Arial" w:hAnsi="Arial" w:cs="Arial"/>
          <w:sz w:val="24"/>
          <w:szCs w:val="24"/>
        </w:rPr>
        <w:t>(1), 65–105.</w:t>
      </w:r>
    </w:p>
    <w:p w14:paraId="31DD511B" w14:textId="77777777" w:rsidR="00465D6B" w:rsidRPr="00465D6B" w:rsidRDefault="00465D6B" w:rsidP="00465D6B">
      <w:pPr>
        <w:pStyle w:val="Bibliography"/>
        <w:ind w:left="720" w:hanging="720"/>
        <w:rPr>
          <w:rFonts w:ascii="Arial" w:hAnsi="Arial" w:cs="Arial"/>
          <w:sz w:val="24"/>
          <w:szCs w:val="24"/>
        </w:rPr>
      </w:pPr>
      <w:r w:rsidRPr="00465D6B">
        <w:rPr>
          <w:rFonts w:ascii="Arial" w:hAnsi="Arial" w:cs="Arial"/>
          <w:sz w:val="24"/>
          <w:szCs w:val="24"/>
        </w:rPr>
        <w:t xml:space="preserve">Fabozzi, F. J., &amp; Drake, P. P. 2008. Capital Budgeting Techniques. </w:t>
      </w:r>
      <w:r w:rsidRPr="00465D6B">
        <w:rPr>
          <w:rFonts w:ascii="Arial" w:hAnsi="Arial" w:cs="Arial"/>
          <w:i/>
          <w:iCs/>
          <w:sz w:val="24"/>
          <w:szCs w:val="24"/>
        </w:rPr>
        <w:t>Handbook of Finance</w:t>
      </w:r>
      <w:r w:rsidRPr="00465D6B">
        <w:rPr>
          <w:rFonts w:ascii="Arial" w:hAnsi="Arial" w:cs="Arial"/>
          <w:sz w:val="24"/>
          <w:szCs w:val="24"/>
        </w:rPr>
        <w:t xml:space="preserve">, </w:t>
      </w:r>
      <w:r w:rsidRPr="00465D6B">
        <w:rPr>
          <w:rFonts w:ascii="Arial" w:hAnsi="Arial" w:cs="Arial"/>
          <w:i/>
          <w:iCs/>
          <w:sz w:val="24"/>
          <w:szCs w:val="24"/>
        </w:rPr>
        <w:t>2</w:t>
      </w:r>
      <w:r w:rsidRPr="00465D6B">
        <w:rPr>
          <w:rFonts w:ascii="Arial" w:hAnsi="Arial" w:cs="Arial"/>
          <w:sz w:val="24"/>
          <w:szCs w:val="24"/>
        </w:rPr>
        <w:t>.</w:t>
      </w:r>
    </w:p>
    <w:p w14:paraId="127D4B28" w14:textId="77777777" w:rsidR="00465D6B" w:rsidRPr="00465D6B" w:rsidRDefault="00465D6B" w:rsidP="00465D6B">
      <w:pPr>
        <w:pStyle w:val="Bibliography"/>
        <w:ind w:left="720" w:hanging="720"/>
        <w:rPr>
          <w:rFonts w:ascii="Arial" w:hAnsi="Arial" w:cs="Arial"/>
          <w:sz w:val="24"/>
          <w:szCs w:val="24"/>
        </w:rPr>
      </w:pPr>
      <w:r w:rsidRPr="00465D6B">
        <w:rPr>
          <w:rFonts w:ascii="Arial" w:hAnsi="Arial" w:cs="Arial"/>
          <w:sz w:val="24"/>
          <w:szCs w:val="24"/>
        </w:rPr>
        <w:t xml:space="preserve">Haka, S. F., Gordon, L. A., &amp; Pinches, G. E. 2005. Sophisticated capital budgeting selection techniques and firm performance. In </w:t>
      </w:r>
      <w:r w:rsidRPr="00465D6B">
        <w:rPr>
          <w:rFonts w:ascii="Arial" w:hAnsi="Arial" w:cs="Arial"/>
          <w:i/>
          <w:iCs/>
          <w:sz w:val="24"/>
          <w:szCs w:val="24"/>
        </w:rPr>
        <w:t>Readings in Accounting for Management Control</w:t>
      </w:r>
      <w:r w:rsidRPr="00465D6B">
        <w:rPr>
          <w:rFonts w:ascii="Arial" w:hAnsi="Arial" w:cs="Arial"/>
          <w:sz w:val="24"/>
          <w:szCs w:val="24"/>
        </w:rPr>
        <w:t xml:space="preserve"> (pp. 521–545). Springer.</w:t>
      </w:r>
    </w:p>
    <w:p w14:paraId="6BB908E8" w14:textId="77777777" w:rsidR="00465D6B" w:rsidRPr="00465D6B" w:rsidRDefault="00465D6B" w:rsidP="00465D6B">
      <w:pPr>
        <w:pStyle w:val="Bibliography"/>
        <w:ind w:left="720" w:hanging="720"/>
        <w:rPr>
          <w:rFonts w:ascii="Arial" w:hAnsi="Arial" w:cs="Arial"/>
          <w:sz w:val="24"/>
          <w:szCs w:val="24"/>
        </w:rPr>
      </w:pPr>
      <w:r w:rsidRPr="00465D6B">
        <w:rPr>
          <w:rFonts w:ascii="Arial" w:hAnsi="Arial" w:cs="Arial"/>
          <w:sz w:val="24"/>
          <w:szCs w:val="24"/>
        </w:rPr>
        <w:t xml:space="preserve">Hansen, D. 2008. Capital budgeting techniques. </w:t>
      </w:r>
      <w:r w:rsidRPr="00465D6B">
        <w:rPr>
          <w:rFonts w:ascii="Arial" w:hAnsi="Arial" w:cs="Arial"/>
          <w:i/>
          <w:iCs/>
          <w:sz w:val="24"/>
          <w:szCs w:val="24"/>
        </w:rPr>
        <w:t>Australasian Radiology</w:t>
      </w:r>
      <w:r w:rsidRPr="00465D6B">
        <w:rPr>
          <w:rFonts w:ascii="Arial" w:hAnsi="Arial" w:cs="Arial"/>
          <w:sz w:val="24"/>
          <w:szCs w:val="24"/>
        </w:rPr>
        <w:t xml:space="preserve">, </w:t>
      </w:r>
      <w:r w:rsidRPr="00465D6B">
        <w:rPr>
          <w:rFonts w:ascii="Arial" w:hAnsi="Arial" w:cs="Arial"/>
          <w:i/>
          <w:iCs/>
          <w:sz w:val="24"/>
          <w:szCs w:val="24"/>
        </w:rPr>
        <w:t>42</w:t>
      </w:r>
      <w:r w:rsidRPr="00465D6B">
        <w:rPr>
          <w:rFonts w:ascii="Arial" w:hAnsi="Arial" w:cs="Arial"/>
          <w:sz w:val="24"/>
          <w:szCs w:val="24"/>
        </w:rPr>
        <w:t>(1), 38–41.</w:t>
      </w:r>
    </w:p>
    <w:p w14:paraId="3497A225" w14:textId="77777777" w:rsidR="00465D6B" w:rsidRPr="00465D6B" w:rsidRDefault="00465D6B" w:rsidP="00465D6B">
      <w:pPr>
        <w:pStyle w:val="Bibliography"/>
        <w:ind w:left="720" w:hanging="720"/>
        <w:rPr>
          <w:rFonts w:ascii="Arial" w:hAnsi="Arial" w:cs="Arial"/>
          <w:sz w:val="24"/>
          <w:szCs w:val="24"/>
        </w:rPr>
      </w:pPr>
      <w:r w:rsidRPr="00465D6B">
        <w:rPr>
          <w:rFonts w:ascii="Arial" w:hAnsi="Arial" w:cs="Arial"/>
          <w:sz w:val="24"/>
          <w:szCs w:val="24"/>
        </w:rPr>
        <w:t xml:space="preserve">Horngren, C. T., Bhimani, A., Datar, S. M., Foster, G., &amp; Horngren, C. T. 2002. </w:t>
      </w:r>
      <w:r w:rsidRPr="00465D6B">
        <w:rPr>
          <w:rFonts w:ascii="Arial" w:hAnsi="Arial" w:cs="Arial"/>
          <w:i/>
          <w:iCs/>
          <w:sz w:val="24"/>
          <w:szCs w:val="24"/>
        </w:rPr>
        <w:t>Management and cost accounting</w:t>
      </w:r>
      <w:r w:rsidRPr="00465D6B">
        <w:rPr>
          <w:rFonts w:ascii="Arial" w:hAnsi="Arial" w:cs="Arial"/>
          <w:sz w:val="24"/>
          <w:szCs w:val="24"/>
        </w:rPr>
        <w:t>. Financial Times/Prentice Hall Harlow.</w:t>
      </w:r>
    </w:p>
    <w:p w14:paraId="383434A4" w14:textId="77777777" w:rsidR="00465D6B" w:rsidRPr="00465D6B" w:rsidRDefault="00465D6B" w:rsidP="00465D6B">
      <w:pPr>
        <w:pStyle w:val="Bibliography"/>
        <w:ind w:left="720" w:hanging="720"/>
        <w:rPr>
          <w:rFonts w:ascii="Arial" w:hAnsi="Arial" w:cs="Arial"/>
          <w:sz w:val="24"/>
          <w:szCs w:val="24"/>
        </w:rPr>
      </w:pPr>
      <w:r w:rsidRPr="00465D6B">
        <w:rPr>
          <w:rFonts w:ascii="Arial" w:hAnsi="Arial" w:cs="Arial"/>
          <w:sz w:val="24"/>
          <w:szCs w:val="24"/>
        </w:rPr>
        <w:t xml:space="preserve">Shinoda, T. 2010. Capital budgeting management practices in Japan: a focus on the use of capital budgeting methods. </w:t>
      </w:r>
      <w:r w:rsidRPr="00465D6B">
        <w:rPr>
          <w:rFonts w:ascii="Arial" w:hAnsi="Arial" w:cs="Arial"/>
          <w:i/>
          <w:iCs/>
          <w:sz w:val="24"/>
          <w:szCs w:val="24"/>
        </w:rPr>
        <w:t>Economic Journal of Hokkaido University</w:t>
      </w:r>
      <w:r w:rsidRPr="00465D6B">
        <w:rPr>
          <w:rFonts w:ascii="Arial" w:hAnsi="Arial" w:cs="Arial"/>
          <w:sz w:val="24"/>
          <w:szCs w:val="24"/>
        </w:rPr>
        <w:t xml:space="preserve">, </w:t>
      </w:r>
      <w:r w:rsidRPr="00465D6B">
        <w:rPr>
          <w:rFonts w:ascii="Arial" w:hAnsi="Arial" w:cs="Arial"/>
          <w:i/>
          <w:iCs/>
          <w:sz w:val="24"/>
          <w:szCs w:val="24"/>
        </w:rPr>
        <w:t>39</w:t>
      </w:r>
      <w:r w:rsidRPr="00465D6B">
        <w:rPr>
          <w:rFonts w:ascii="Arial" w:hAnsi="Arial" w:cs="Arial"/>
          <w:sz w:val="24"/>
          <w:szCs w:val="24"/>
        </w:rPr>
        <w:t>, 39–50.</w:t>
      </w:r>
    </w:p>
    <w:p w14:paraId="45D45131" w14:textId="77777777" w:rsidR="00465D6B" w:rsidRPr="00465D6B" w:rsidRDefault="00465D6B" w:rsidP="00465D6B">
      <w:pPr>
        <w:spacing w:line="360" w:lineRule="auto"/>
        <w:ind w:left="720" w:hanging="720"/>
        <w:rPr>
          <w:rFonts w:ascii="Arial" w:hAnsi="Arial" w:cs="Arial"/>
          <w:sz w:val="24"/>
          <w:szCs w:val="24"/>
        </w:rPr>
      </w:pPr>
      <w:r w:rsidRPr="00465D6B">
        <w:rPr>
          <w:rFonts w:ascii="Arial" w:hAnsi="Arial" w:cs="Arial"/>
          <w:sz w:val="24"/>
          <w:szCs w:val="24"/>
        </w:rPr>
        <w:t xml:space="preserve">Verbeeten, F. H. 2006. Do organizations adopt sophisticated capital budgeting practices to deal with uncertainty in the investment decision?: A research note. </w:t>
      </w:r>
      <w:r w:rsidRPr="00465D6B">
        <w:rPr>
          <w:rFonts w:ascii="Arial" w:hAnsi="Arial" w:cs="Arial"/>
          <w:i/>
          <w:iCs/>
          <w:sz w:val="24"/>
          <w:szCs w:val="24"/>
        </w:rPr>
        <w:t>Mana</w:t>
      </w:r>
    </w:p>
    <w:p w14:paraId="66430C35" w14:textId="77777777" w:rsidR="00465D6B" w:rsidRPr="00680C88" w:rsidRDefault="00465D6B" w:rsidP="00E570E2">
      <w:pPr>
        <w:spacing w:line="360" w:lineRule="auto"/>
        <w:rPr>
          <w:rFonts w:ascii="Arial" w:hAnsi="Arial" w:cs="Arial"/>
        </w:rPr>
      </w:pPr>
    </w:p>
    <w:sectPr w:rsidR="00465D6B" w:rsidRPr="00680C88" w:rsidSect="00E570E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8A55BB" w14:textId="77777777" w:rsidR="005E2219" w:rsidRDefault="005E2219" w:rsidP="00E570E2">
      <w:pPr>
        <w:spacing w:after="0" w:line="240" w:lineRule="auto"/>
      </w:pPr>
      <w:r>
        <w:separator/>
      </w:r>
    </w:p>
  </w:endnote>
  <w:endnote w:type="continuationSeparator" w:id="0">
    <w:p w14:paraId="676AD7ED" w14:textId="77777777" w:rsidR="005E2219" w:rsidRDefault="005E2219" w:rsidP="00E57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232541"/>
      <w:docPartObj>
        <w:docPartGallery w:val="Page Numbers (Bottom of Page)"/>
        <w:docPartUnique/>
      </w:docPartObj>
    </w:sdtPr>
    <w:sdtEndPr>
      <w:rPr>
        <w:color w:val="808080" w:themeColor="background1" w:themeShade="80"/>
        <w:spacing w:val="60"/>
      </w:rPr>
    </w:sdtEndPr>
    <w:sdtContent>
      <w:p w14:paraId="6AE7A0DB" w14:textId="13C411C9" w:rsidR="00465D6B" w:rsidRDefault="00465D6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409E7" w:rsidRPr="001409E7">
          <w:rPr>
            <w:b/>
            <w:bCs/>
            <w:noProof/>
          </w:rPr>
          <w:t>16</w:t>
        </w:r>
        <w:r>
          <w:rPr>
            <w:b/>
            <w:bCs/>
            <w:noProof/>
          </w:rPr>
          <w:fldChar w:fldCharType="end"/>
        </w:r>
        <w:r>
          <w:rPr>
            <w:b/>
            <w:bCs/>
          </w:rPr>
          <w:t xml:space="preserve"> | </w:t>
        </w:r>
        <w:r>
          <w:rPr>
            <w:color w:val="808080" w:themeColor="background1" w:themeShade="80"/>
            <w:spacing w:val="60"/>
          </w:rPr>
          <w:t>Page</w:t>
        </w:r>
      </w:p>
    </w:sdtContent>
  </w:sdt>
  <w:p w14:paraId="240D69F4" w14:textId="77777777" w:rsidR="00465D6B" w:rsidRDefault="00465D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222759" w14:textId="77777777" w:rsidR="005E2219" w:rsidRDefault="005E2219" w:rsidP="00E570E2">
      <w:pPr>
        <w:spacing w:after="0" w:line="240" w:lineRule="auto"/>
      </w:pPr>
      <w:r>
        <w:separator/>
      </w:r>
    </w:p>
  </w:footnote>
  <w:footnote w:type="continuationSeparator" w:id="0">
    <w:p w14:paraId="7F3842CC" w14:textId="77777777" w:rsidR="005E2219" w:rsidRDefault="005E2219" w:rsidP="00E570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AC7C3" w14:textId="57E78EEC" w:rsidR="00465D6B" w:rsidRPr="00E570E2" w:rsidRDefault="00465D6B">
    <w:pPr>
      <w:pStyle w:val="Header"/>
      <w:rPr>
        <w:rFonts w:ascii="Times New Roman" w:hAnsi="Times New Roman" w:cs="Times New Roman"/>
        <w:sz w:val="24"/>
        <w:szCs w:val="24"/>
      </w:rPr>
    </w:pPr>
    <w:r>
      <w:rPr>
        <w:rFonts w:ascii="Times New Roman" w:hAnsi="Times New Roman" w:cs="Times New Roman"/>
        <w:sz w:val="24"/>
        <w:szCs w:val="24"/>
      </w:rPr>
      <w:t>Student number: 1706958</w:t>
    </w:r>
    <w:r>
      <w:rPr>
        <w:rFonts w:ascii="Times New Roman" w:hAnsi="Times New Roman" w:cs="Times New Roman"/>
        <w:sz w:val="24"/>
        <w:szCs w:val="24"/>
      </w:rPr>
      <w:tab/>
    </w:r>
    <w:r>
      <w:rPr>
        <w:rFonts w:ascii="Times New Roman" w:hAnsi="Times New Roman" w:cs="Times New Roman"/>
        <w:sz w:val="24"/>
        <w:szCs w:val="24"/>
      </w:rPr>
      <w:tab/>
      <w:t>Module Code: SBMA7100D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E3B98"/>
    <w:multiLevelType w:val="hybridMultilevel"/>
    <w:tmpl w:val="F7344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976748"/>
    <w:multiLevelType w:val="hybridMultilevel"/>
    <w:tmpl w:val="4EDA537C"/>
    <w:lvl w:ilvl="0" w:tplc="2B888782">
      <w:start w:val="1"/>
      <w:numFmt w:val="decimal"/>
      <w:lvlText w:val="%1)"/>
      <w:lvlJc w:val="left"/>
      <w:pPr>
        <w:ind w:left="1080" w:hanging="360"/>
      </w:pPr>
      <w:rPr>
        <w:rFonts w:ascii="Arial" w:eastAsia="Times New Roman" w:hAnsi="Arial" w:cs="Arial"/>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0B5424F"/>
    <w:multiLevelType w:val="hybridMultilevel"/>
    <w:tmpl w:val="60C28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6FD49D7"/>
    <w:multiLevelType w:val="hybridMultilevel"/>
    <w:tmpl w:val="7A20B5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EA33F00"/>
    <w:multiLevelType w:val="multilevel"/>
    <w:tmpl w:val="79E6FCC8"/>
    <w:lvl w:ilvl="0">
      <w:start w:val="2"/>
      <w:numFmt w:val="decimal"/>
      <w:lvlText w:val="%1."/>
      <w:lvlJc w:val="left"/>
      <w:pPr>
        <w:ind w:left="36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IzMzE0MjA2NTUwNjRU0lEKTi0uzszPAymwrAUAPBq2jCwAAAA="/>
  </w:docVars>
  <w:rsids>
    <w:rsidRoot w:val="00E72EE8"/>
    <w:rsid w:val="00027B66"/>
    <w:rsid w:val="00053B8A"/>
    <w:rsid w:val="00075487"/>
    <w:rsid w:val="00094645"/>
    <w:rsid w:val="001409E7"/>
    <w:rsid w:val="0026022E"/>
    <w:rsid w:val="0030389F"/>
    <w:rsid w:val="00361A13"/>
    <w:rsid w:val="003D1934"/>
    <w:rsid w:val="00465D6B"/>
    <w:rsid w:val="004C1272"/>
    <w:rsid w:val="004D3C1A"/>
    <w:rsid w:val="005246FC"/>
    <w:rsid w:val="00553DEC"/>
    <w:rsid w:val="005E2219"/>
    <w:rsid w:val="00671B8E"/>
    <w:rsid w:val="00680C88"/>
    <w:rsid w:val="007349B4"/>
    <w:rsid w:val="00761162"/>
    <w:rsid w:val="008110AD"/>
    <w:rsid w:val="00855026"/>
    <w:rsid w:val="00897D39"/>
    <w:rsid w:val="009925B2"/>
    <w:rsid w:val="009B43AE"/>
    <w:rsid w:val="00AD25D2"/>
    <w:rsid w:val="00B06045"/>
    <w:rsid w:val="00B072AF"/>
    <w:rsid w:val="00B1267B"/>
    <w:rsid w:val="00C8352F"/>
    <w:rsid w:val="00C84503"/>
    <w:rsid w:val="00CC76FB"/>
    <w:rsid w:val="00D30FFB"/>
    <w:rsid w:val="00DC76A6"/>
    <w:rsid w:val="00E570E2"/>
    <w:rsid w:val="00E72EE8"/>
    <w:rsid w:val="00F31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sqqvc">
    <w:name w:val="isqqvc"/>
    <w:basedOn w:val="DefaultParagraphFont"/>
    <w:rsid w:val="00361A13"/>
  </w:style>
  <w:style w:type="paragraph" w:styleId="NormalWeb">
    <w:name w:val="Normal (Web)"/>
    <w:basedOn w:val="Normal"/>
    <w:uiPriority w:val="99"/>
    <w:unhideWhenUsed/>
    <w:rsid w:val="00E570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70E2"/>
    <w:rPr>
      <w:b/>
      <w:bCs/>
    </w:rPr>
  </w:style>
  <w:style w:type="paragraph" w:styleId="Header">
    <w:name w:val="header"/>
    <w:basedOn w:val="Normal"/>
    <w:link w:val="HeaderChar"/>
    <w:uiPriority w:val="99"/>
    <w:unhideWhenUsed/>
    <w:rsid w:val="00E570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0E2"/>
  </w:style>
  <w:style w:type="paragraph" w:styleId="Footer">
    <w:name w:val="footer"/>
    <w:basedOn w:val="Normal"/>
    <w:link w:val="FooterChar"/>
    <w:uiPriority w:val="99"/>
    <w:unhideWhenUsed/>
    <w:rsid w:val="00E570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0E2"/>
  </w:style>
  <w:style w:type="paragraph" w:styleId="Bibliography">
    <w:name w:val="Bibliography"/>
    <w:basedOn w:val="Normal"/>
    <w:next w:val="Normal"/>
    <w:uiPriority w:val="37"/>
    <w:unhideWhenUsed/>
    <w:rsid w:val="009925B2"/>
  </w:style>
  <w:style w:type="paragraph" w:styleId="ListParagraph">
    <w:name w:val="List Paragraph"/>
    <w:basedOn w:val="Normal"/>
    <w:uiPriority w:val="34"/>
    <w:qFormat/>
    <w:rsid w:val="00053B8A"/>
    <w:pPr>
      <w:ind w:left="720"/>
      <w:contextualSpacing/>
    </w:pPr>
  </w:style>
  <w:style w:type="table" w:styleId="TableGrid">
    <w:name w:val="Table Grid"/>
    <w:basedOn w:val="TableNormal"/>
    <w:uiPriority w:val="39"/>
    <w:rsid w:val="00465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g">
    <w:name w:val="big"/>
    <w:basedOn w:val="DefaultParagraphFont"/>
    <w:rsid w:val="00465D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sqqvc">
    <w:name w:val="isqqvc"/>
    <w:basedOn w:val="DefaultParagraphFont"/>
    <w:rsid w:val="00361A13"/>
  </w:style>
  <w:style w:type="paragraph" w:styleId="NormalWeb">
    <w:name w:val="Normal (Web)"/>
    <w:basedOn w:val="Normal"/>
    <w:uiPriority w:val="99"/>
    <w:unhideWhenUsed/>
    <w:rsid w:val="00E570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70E2"/>
    <w:rPr>
      <w:b/>
      <w:bCs/>
    </w:rPr>
  </w:style>
  <w:style w:type="paragraph" w:styleId="Header">
    <w:name w:val="header"/>
    <w:basedOn w:val="Normal"/>
    <w:link w:val="HeaderChar"/>
    <w:uiPriority w:val="99"/>
    <w:unhideWhenUsed/>
    <w:rsid w:val="00E570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0E2"/>
  </w:style>
  <w:style w:type="paragraph" w:styleId="Footer">
    <w:name w:val="footer"/>
    <w:basedOn w:val="Normal"/>
    <w:link w:val="FooterChar"/>
    <w:uiPriority w:val="99"/>
    <w:unhideWhenUsed/>
    <w:rsid w:val="00E570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0E2"/>
  </w:style>
  <w:style w:type="paragraph" w:styleId="Bibliography">
    <w:name w:val="Bibliography"/>
    <w:basedOn w:val="Normal"/>
    <w:next w:val="Normal"/>
    <w:uiPriority w:val="37"/>
    <w:unhideWhenUsed/>
    <w:rsid w:val="009925B2"/>
  </w:style>
  <w:style w:type="paragraph" w:styleId="ListParagraph">
    <w:name w:val="List Paragraph"/>
    <w:basedOn w:val="Normal"/>
    <w:uiPriority w:val="34"/>
    <w:qFormat/>
    <w:rsid w:val="00053B8A"/>
    <w:pPr>
      <w:ind w:left="720"/>
      <w:contextualSpacing/>
    </w:pPr>
  </w:style>
  <w:style w:type="table" w:styleId="TableGrid">
    <w:name w:val="Table Grid"/>
    <w:basedOn w:val="TableNormal"/>
    <w:uiPriority w:val="39"/>
    <w:rsid w:val="00465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g">
    <w:name w:val="big"/>
    <w:basedOn w:val="DefaultParagraphFont"/>
    <w:rsid w:val="00465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90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7148F-EB6A-40B1-AC2C-191C62347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5174</Words>
  <Characters>29496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Bolivia Jepkemboi</dc:creator>
  <cp:lastModifiedBy>Rhian</cp:lastModifiedBy>
  <cp:revision>3</cp:revision>
  <dcterms:created xsi:type="dcterms:W3CDTF">2019-09-13T14:07:00Z</dcterms:created>
  <dcterms:modified xsi:type="dcterms:W3CDTF">2019-09-13T14:09:00Z</dcterms:modified>
</cp:coreProperties>
</file>