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2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BA International Hotel Management </w:t>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102"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BMIH5007</w:t>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102"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6"/>
          <w:szCs w:val="36"/>
          <w:u w:val="none"/>
          <w:shd w:fill="auto" w:val="clear"/>
          <w:vertAlign w:val="baseline"/>
          <w:rtl w:val="0"/>
        </w:rPr>
        <w:t xml:space="preserve">Financial Management for the Hotel Industry</w:t>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102"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Lecturer Name: Tristan Hawkins</w:t>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102"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102"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102"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Student Name:Andrei Curelaru</w:t>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102"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Student ID:1918109</w:t>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i w:val="0"/>
          <w:smallCaps w:val="0"/>
          <w:strike w:val="0"/>
          <w:color w:val="366091"/>
          <w:sz w:val="28"/>
          <w:szCs w:val="28"/>
          <w:u w:val="none"/>
          <w:shd w:fill="auto" w:val="clear"/>
          <w:vertAlign w:val="baseline"/>
        </w:rPr>
      </w:pPr>
      <w:bookmarkStart w:colFirst="0" w:colLast="0" w:name="_gjdgxs" w:id="0"/>
      <w:bookmarkEnd w:id="0"/>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1.1 Background</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1.2 Aims</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1.3 Objective</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1.4 Scope</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 Market Analysis</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2.1 Porter’s Five Force Analysis</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2.2 Customer Preference of Seaview Resort Against that of  Rivalry Entity</w:t>
              <w:tab/>
              <w:t xml:space="preserve">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3. Financial analysis</w:t>
              <w:tab/>
              <w:t xml:space="preserve">7</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3.1 Analyse The Seaview Resort’s Financial Performance Over the Past Three Years</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3.2. Identify the Key Reasons Behind the Decline in Profitability</w:t>
              <w:tab/>
              <w:t xml:space="preserve">8</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3.3. Comprehensive Turnaround Strategy</w:t>
              <w:tab/>
              <w:t xml:space="preserve">9</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4. Conclusion</w:t>
              <w:tab/>
              <w:t xml:space="preserve">10</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 References</w:t>
              <w:tab/>
              <w:t xml:space="preserve">11</w:t>
            </w:r>
          </w:hyperlink>
          <w:r w:rsidDel="00000000" w:rsidR="00000000" w:rsidRPr="00000000">
            <w:rPr>
              <w:rtl w:val="0"/>
            </w:rPr>
          </w:r>
        </w:p>
        <w:p w:rsidR="00000000" w:rsidDel="00000000" w:rsidP="00000000" w:rsidRDefault="00000000" w:rsidRPr="00000000" w14:paraId="00000019">
          <w:pPr>
            <w:spacing w:line="360" w:lineRule="auto"/>
            <w:jc w:val="center"/>
            <w:rPr>
              <w:rFonts w:ascii="Times New Roman" w:cs="Times New Roman" w:eastAsia="Times New Roman" w:hAnsi="Times New Roman"/>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widowControl w:val="0"/>
        <w:rPr>
          <w:color w:val="000000"/>
        </w:rPr>
      </w:pPr>
      <w:bookmarkStart w:colFirst="0" w:colLast="0" w:name="_30j0zll" w:id="1"/>
      <w:bookmarkEnd w:id="1"/>
      <w:r w:rsidDel="00000000" w:rsidR="00000000" w:rsidRPr="00000000">
        <w:rPr>
          <w:color w:val="000000"/>
          <w:rtl w:val="0"/>
        </w:rPr>
        <w:t xml:space="preserve">1. Introduction </w:t>
      </w:r>
    </w:p>
    <w:p w:rsidR="00000000" w:rsidDel="00000000" w:rsidP="00000000" w:rsidRDefault="00000000" w:rsidRPr="00000000" w14:paraId="0000001C">
      <w:pPr>
        <w:pStyle w:val="Heading2"/>
        <w:widowControl w:val="0"/>
        <w:rPr>
          <w:color w:val="000000"/>
        </w:rPr>
      </w:pPr>
      <w:bookmarkStart w:colFirst="0" w:colLast="0" w:name="_1fob9te" w:id="2"/>
      <w:bookmarkEnd w:id="2"/>
      <w:r w:rsidDel="00000000" w:rsidR="00000000" w:rsidRPr="00000000">
        <w:rPr>
          <w:color w:val="000000"/>
          <w:rtl w:val="0"/>
        </w:rPr>
        <w:t xml:space="preserve">1.1 Background</w:t>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hotel sector is always evolving, and businesses in this field must continually adapt to shifting market conditions (Drury, 2021). The Seaview Resort, once a thriving luxury and leisure destination, is now seeing a drop in income, occupancy rates, and customer satisfaction. Mr. James Henderson, the resort’s owner, sees the significance of the situation and wants to conduct a strategic evaluation to decide the resort’s viability. It covers The Seaview Resort’s current position and presents solutions for a possible turnaround.</w:t>
      </w:r>
    </w:p>
    <w:p w:rsidR="00000000" w:rsidDel="00000000" w:rsidP="00000000" w:rsidRDefault="00000000" w:rsidRPr="00000000" w14:paraId="0000001E">
      <w:pPr>
        <w:pStyle w:val="Heading2"/>
        <w:widowControl w:val="0"/>
        <w:rPr>
          <w:color w:val="000000"/>
        </w:rPr>
      </w:pPr>
      <w:bookmarkStart w:colFirst="0" w:colLast="0" w:name="_3znysh7" w:id="3"/>
      <w:bookmarkEnd w:id="3"/>
      <w:r w:rsidDel="00000000" w:rsidR="00000000" w:rsidRPr="00000000">
        <w:rPr>
          <w:color w:val="000000"/>
          <w:rtl w:val="0"/>
        </w:rPr>
        <w:t xml:space="preserve">1.2 Aims</w:t>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aim of the report is to provide a critical grasp of the techniques used to monitor and analyse financial performance in the hotel industry.</w:t>
      </w:r>
    </w:p>
    <w:p w:rsidR="00000000" w:rsidDel="00000000" w:rsidP="00000000" w:rsidRDefault="00000000" w:rsidRPr="00000000" w14:paraId="00000020">
      <w:pPr>
        <w:pStyle w:val="Heading2"/>
        <w:widowControl w:val="0"/>
        <w:rPr>
          <w:color w:val="000000"/>
        </w:rPr>
      </w:pPr>
      <w:bookmarkStart w:colFirst="0" w:colLast="0" w:name="_2et92p0" w:id="4"/>
      <w:bookmarkEnd w:id="4"/>
      <w:r w:rsidDel="00000000" w:rsidR="00000000" w:rsidRPr="00000000">
        <w:rPr>
          <w:color w:val="000000"/>
          <w:rtl w:val="0"/>
        </w:rPr>
        <w:t xml:space="preserve">1.3 Objective </w:t>
      </w:r>
    </w:p>
    <w:p w:rsidR="00000000" w:rsidDel="00000000" w:rsidP="00000000" w:rsidRDefault="00000000" w:rsidRPr="00000000" w14:paraId="00000021">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200" w:before="213" w:line="360" w:lineRule="auto"/>
        <w:ind w:left="720" w:right="102"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conduct a thorough examination of the Seaview Resort’s financial performance</w:t>
      </w:r>
    </w:p>
    <w:p w:rsidR="00000000" w:rsidDel="00000000" w:rsidP="00000000" w:rsidRDefault="00000000" w:rsidRPr="00000000" w14:paraId="00000022">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102"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identify and analyse the causes of the revenue drop</w:t>
      </w:r>
    </w:p>
    <w:p w:rsidR="00000000" w:rsidDel="00000000" w:rsidP="00000000" w:rsidRDefault="00000000" w:rsidRPr="00000000" w14:paraId="00000023">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200" w:before="213" w:line="360" w:lineRule="auto"/>
        <w:ind w:left="720" w:right="102"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create a thorough plan for recovery that improves the resort’s financial health</w:t>
      </w:r>
    </w:p>
    <w:p w:rsidR="00000000" w:rsidDel="00000000" w:rsidP="00000000" w:rsidRDefault="00000000" w:rsidRPr="00000000" w14:paraId="00000024">
      <w:pPr>
        <w:pStyle w:val="Heading2"/>
        <w:widowControl w:val="0"/>
        <w:rPr>
          <w:color w:val="000000"/>
        </w:rPr>
      </w:pPr>
      <w:bookmarkStart w:colFirst="0" w:colLast="0" w:name="_tyjcwt" w:id="5"/>
      <w:bookmarkEnd w:id="5"/>
      <w:r w:rsidDel="00000000" w:rsidR="00000000" w:rsidRPr="00000000">
        <w:rPr>
          <w:color w:val="000000"/>
          <w:rtl w:val="0"/>
        </w:rPr>
        <w:t xml:space="preserve">1.4 Scope </w:t>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report will examine market trends, client preferences, and financial measures in depth. Its purpose is to provide deep knowledge concerning the Seaview Resort’s difficulties and to offer relevant solutions that address those challenges. The scope of the report includes identifying areas for improvement and developing a road map for long-term success.</w:t>
      </w:r>
    </w:p>
    <w:p w:rsidR="00000000" w:rsidDel="00000000" w:rsidP="00000000" w:rsidRDefault="00000000" w:rsidRPr="00000000" w14:paraId="00000026">
      <w:pPr>
        <w:pStyle w:val="Heading1"/>
        <w:widowControl w:val="0"/>
        <w:rPr>
          <w:color w:val="000000"/>
        </w:rPr>
      </w:pPr>
      <w:bookmarkStart w:colFirst="0" w:colLast="0" w:name="_3dy6vkm" w:id="6"/>
      <w:bookmarkEnd w:id="6"/>
      <w:r w:rsidDel="00000000" w:rsidR="00000000" w:rsidRPr="00000000">
        <w:rPr>
          <w:color w:val="000000"/>
          <w:rtl w:val="0"/>
        </w:rPr>
        <w:t xml:space="preserve">2. Market Analysis </w:t>
      </w:r>
    </w:p>
    <w:p w:rsidR="00000000" w:rsidDel="00000000" w:rsidP="00000000" w:rsidRDefault="00000000" w:rsidRPr="00000000" w14:paraId="00000027">
      <w:pPr>
        <w:pStyle w:val="Heading2"/>
        <w:widowControl w:val="0"/>
        <w:rPr>
          <w:color w:val="000000"/>
        </w:rPr>
      </w:pPr>
      <w:bookmarkStart w:colFirst="0" w:colLast="0" w:name="_1t3h5sf" w:id="7"/>
      <w:bookmarkEnd w:id="7"/>
      <w:r w:rsidDel="00000000" w:rsidR="00000000" w:rsidRPr="00000000">
        <w:rPr>
          <w:color w:val="000000"/>
          <w:rtl w:val="0"/>
        </w:rPr>
        <w:t xml:space="preserve">2.1 Porter’s Five Force Analysis</w:t>
      </w:r>
    </w:p>
    <w:tbl>
      <w:tblPr>
        <w:tblStyle w:val="Table1"/>
        <w:tblW w:w="936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2340"/>
        <w:gridCol w:w="5175"/>
        <w:gridCol w:w="1845"/>
        <w:tblGridChange w:id="0">
          <w:tblGrid>
            <w:gridCol w:w="2340"/>
            <w:gridCol w:w="5175"/>
            <w:gridCol w:w="1845"/>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Force</w:t>
            </w:r>
          </w:p>
        </w:tc>
        <w:tc>
          <w:tcPr>
            <w:shd w:fill="auto" w:val="clear"/>
            <w:tcMar>
              <w:top w:w="100.0" w:type="dxa"/>
              <w:left w:w="100.0" w:type="dxa"/>
              <w:bottom w:w="100.0" w:type="dxa"/>
              <w:right w:w="100.0" w:type="dxa"/>
            </w:tcMar>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Analysis </w:t>
            </w:r>
          </w:p>
        </w:tc>
        <w:tc>
          <w:tcPr>
            <w:shd w:fill="auto" w:val="clear"/>
            <w:tcMar>
              <w:top w:w="100.0" w:type="dxa"/>
              <w:left w:w="100.0" w:type="dxa"/>
              <w:bottom w:w="100.0" w:type="dxa"/>
              <w:right w:w="100.0" w:type="dxa"/>
            </w:tcMar>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Impact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Threats of New Entrants </w:t>
            </w:r>
          </w:p>
        </w:tc>
        <w:tc>
          <w:tcPr>
            <w:shd w:fill="auto" w:val="clear"/>
            <w:tcMar>
              <w:top w:w="100.0" w:type="dxa"/>
              <w:left w:w="100.0" w:type="dxa"/>
              <w:bottom w:w="100.0" w:type="dxa"/>
              <w:right w:w="100.0" w:type="dxa"/>
            </w:tcMar>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multiple newer and more contemporary resorts recently established themselves in close vicinity, the seaside resort business confronts a significant risk of new entrants. The attractiveness of a seaside environment, combined with minimal entry challenges, adds to a steady stream of new rivals. To counteract this challenge, The Seaview Resort needs to effectively distinguish itself. Unique products, such as exclusive experiences or specialised services, can establish a barrier to entry while also attracting a loyal clientele.</w:t>
            </w:r>
          </w:p>
        </w:tc>
        <w:tc>
          <w:tcPr>
            <w:shd w:fill="auto" w:val="clear"/>
            <w:tcMar>
              <w:top w:w="100.0" w:type="dxa"/>
              <w:left w:w="100.0" w:type="dxa"/>
              <w:bottom w:w="100.0" w:type="dxa"/>
              <w:right w:w="100.0" w:type="dxa"/>
            </w:tcMar>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High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Bargaining Power of Customers </w:t>
            </w:r>
          </w:p>
        </w:tc>
        <w:tc>
          <w:tcPr>
            <w:shd w:fill="auto" w:val="clear"/>
            <w:tcMar>
              <w:top w:w="100.0" w:type="dxa"/>
              <w:left w:w="100.0" w:type="dxa"/>
              <w:bottom w:w="100.0" w:type="dxa"/>
              <w:right w:w="100.0" w:type="dxa"/>
            </w:tcMar>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Customers’ demands for eco-friendly and experienced tourism have greatly enhanced purchasers’ negotiating power in the coastal resort sector. Guests are growing more selective, looking for sustainable practices and engaging experiences. In order to prevent this, the Seaview Resort needs to participate in green initiatives that involve renewable energy sources as well as waste reduction programmes. Furthermore, customised experiences that are matched with changing customer wants will increase consumer satisfaction and commitment.</w:t>
            </w:r>
          </w:p>
        </w:tc>
        <w:tc>
          <w:tcPr>
            <w:shd w:fill="auto" w:val="clear"/>
            <w:tcMar>
              <w:top w:w="100.0" w:type="dxa"/>
              <w:left w:w="100.0" w:type="dxa"/>
              <w:bottom w:w="100.0" w:type="dxa"/>
              <w:right w:w="100.0" w:type="dxa"/>
            </w:tcMar>
          </w:tcPr>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High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Bargaining Power of Suppliers</w:t>
            </w:r>
          </w:p>
        </w:tc>
        <w:tc>
          <w:tcPr>
            <w:shd w:fill="auto" w:val="clear"/>
            <w:tcMar>
              <w:top w:w="100.0" w:type="dxa"/>
              <w:left w:w="100.0" w:type="dxa"/>
              <w:bottom w:w="100.0" w:type="dxa"/>
              <w:right w:w="100.0" w:type="dxa"/>
            </w:tcMar>
          </w:tcPr>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Suppliers of environmentally friendly facilities and services wield moderate power in the coastal resort market. Suppliers of such items might affect the industry’s trajectory as resorts struggle to fulfil the rising demand for sustainable practices. The Seaview Resort may get around this by forming strategic alliances with suppliers and obtaining favourable pricing. Developing long-term partnerships with suppliers that share a commitment to sustainability can help to make operations more cost-effective and ecologically aware.</w:t>
            </w:r>
          </w:p>
        </w:tc>
        <w:tc>
          <w:tcPr>
            <w:shd w:fill="auto" w:val="clear"/>
            <w:tcMar>
              <w:top w:w="100.0" w:type="dxa"/>
              <w:left w:w="100.0" w:type="dxa"/>
              <w:bottom w:w="100.0" w:type="dxa"/>
              <w:right w:w="100.0" w:type="dxa"/>
            </w:tcMar>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Moderate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Threat of Substitutes</w:t>
            </w:r>
          </w:p>
        </w:tc>
        <w:tc>
          <w:tcPr>
            <w:shd w:fill="auto" w:val="clear"/>
            <w:tcMar>
              <w:top w:w="100.0" w:type="dxa"/>
              <w:left w:w="100.0" w:type="dxa"/>
              <w:bottom w:w="100.0" w:type="dxa"/>
              <w:right w:w="100.0" w:type="dxa"/>
            </w:tcMar>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While seaside resorts remain a popular choice, the potential of alternatives poses a minor concern. Various holiday choices, such as urban getaways or nature retreats, may draw customers away from coastal resorts. To counteract this, the Seaview Resort must constantly innovate and improve its products. Specialised packages, special events, or collaborations with local attractions can reduce the attractiveness of replacements and keep tourists engaged with the resort’s distinctive offers.</w:t>
            </w:r>
          </w:p>
        </w:tc>
        <w:tc>
          <w:tcPr>
            <w:shd w:fill="auto" w:val="clear"/>
            <w:tcMar>
              <w:top w:w="100.0" w:type="dxa"/>
              <w:left w:w="100.0" w:type="dxa"/>
              <w:bottom w:w="100.0" w:type="dxa"/>
              <w:right w:w="100.0" w:type="dxa"/>
            </w:tcMar>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Moderate</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Competitive Rivalry</w:t>
            </w:r>
          </w:p>
        </w:tc>
        <w:tc>
          <w:tcPr>
            <w:shd w:fill="auto" w:val="clear"/>
            <w:tcMar>
              <w:top w:w="100.0" w:type="dxa"/>
              <w:left w:w="100.0" w:type="dxa"/>
              <w:bottom w:w="100.0" w:type="dxa"/>
              <w:right w:w="100.0" w:type="dxa"/>
            </w:tcMar>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seaside resort sector is characterised by fierce competitive competition among current firms, which is exacerbated by the constant arrival of new rivals. Resorts compete intensely for a piece of the client base, thus The Seaview Resort must distinguish out. Differentiation will be achieved by great service quality, one-of-a-kind facilities, and a dedication to sustainability. In addition, the resort should spend on marketing methods that showcase its unique qualities, establishing a strong brand presence in a highly competitive terrain.</w:t>
            </w:r>
          </w:p>
        </w:tc>
        <w:tc>
          <w:tcPr>
            <w:shd w:fill="auto" w:val="clear"/>
            <w:tcMar>
              <w:top w:w="100.0" w:type="dxa"/>
              <w:left w:w="100.0" w:type="dxa"/>
              <w:bottom w:w="100.0" w:type="dxa"/>
              <w:right w:w="100.0" w:type="dxa"/>
            </w:tcMar>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Very high</w:t>
            </w:r>
          </w:p>
        </w:tc>
      </w:tr>
    </w:tbl>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Lu and Tabari, 2019, Malmström, 2020, Göral, 2021, Makuthu, 2021 and Birru, Sudarmiatin and Hermawan,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B">
      <w:pPr>
        <w:pStyle w:val="Heading2"/>
        <w:widowControl w:val="0"/>
        <w:rPr>
          <w:color w:val="000000"/>
        </w:rPr>
      </w:pPr>
      <w:bookmarkStart w:colFirst="0" w:colLast="0" w:name="_4d34og8" w:id="8"/>
      <w:bookmarkEnd w:id="8"/>
      <w:r w:rsidDel="00000000" w:rsidR="00000000" w:rsidRPr="00000000">
        <w:rPr>
          <w:color w:val="000000"/>
          <w:rtl w:val="0"/>
        </w:rPr>
        <w:t xml:space="preserve">2.2 Customer Preference of Seaview Resort Against that of  Rivalry Entity    </w:t>
      </w:r>
    </w:p>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recognition and adjusting to client preferences, according to Porter’s method, is critical for reducing recognised threats and securing a competitive edge. The Seaview Resort faces challenges, including greater competitiveness and increased customer influence, as a result of a movement towards eco-friendly and experienced tourism.</w:t>
      </w:r>
    </w:p>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Customer Reviews and Preferences: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Feedback from guests of the Seaview Resort indicate concern over diminishing service quality and outmoded facilities. To properly address these difficulties, Seaview Resort must do a comparison analysis against competitors, taking into account important elements impacting client choices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Pei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Service Quality and Amenities: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Seaview Resort needs to concentrate on improving the standard of service by investing in employee training and rethinking customer-facing operations. Furthermore, modernising amenities to reflect current tastes and environmental requirements will be critical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Alonso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Competitive Differentiation: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Seaview Resort should strategically differentiate itself in order to meet the fierce competitive rivalry identified by Porter’s study. Seaview Resort may attract clients looking for unique products by highlighting its devotion to eco-friendly practices, delivering unique experiences, and showing modern amenities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Olorunsola,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Strategic Positioning: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By being knowledgeable of competing entities’ unique products and competitive advantages, Seaview Resort will be able to strategically position itself. Marketing initiatives and customer communications that emphasise the Seaview Resort’s competitive advantages can have the power to influence consumer choices (Walker, 2021).</w:t>
      </w:r>
    </w:p>
    <w:p w:rsidR="00000000" w:rsidDel="00000000" w:rsidP="00000000" w:rsidRDefault="00000000" w:rsidRPr="00000000" w14:paraId="00000041">
      <w:pPr>
        <w:pStyle w:val="Heading1"/>
        <w:widowControl w:val="0"/>
        <w:rPr>
          <w:color w:val="000000"/>
        </w:rPr>
      </w:pPr>
      <w:bookmarkStart w:colFirst="0" w:colLast="0" w:name="_2s8eyo1" w:id="9"/>
      <w:bookmarkEnd w:id="9"/>
      <w:r w:rsidDel="00000000" w:rsidR="00000000" w:rsidRPr="00000000">
        <w:rPr>
          <w:color w:val="000000"/>
          <w:rtl w:val="0"/>
        </w:rPr>
        <w:t xml:space="preserve">3. Financial analysis </w:t>
      </w:r>
    </w:p>
    <w:p w:rsidR="00000000" w:rsidDel="00000000" w:rsidP="00000000" w:rsidRDefault="00000000" w:rsidRPr="00000000" w14:paraId="00000042">
      <w:pPr>
        <w:pStyle w:val="Heading2"/>
        <w:widowControl w:val="0"/>
        <w:rPr>
          <w:color w:val="000000"/>
        </w:rPr>
      </w:pPr>
      <w:bookmarkStart w:colFirst="0" w:colLast="0" w:name="_17dp8vu" w:id="10"/>
      <w:bookmarkEnd w:id="10"/>
      <w:r w:rsidDel="00000000" w:rsidR="00000000" w:rsidRPr="00000000">
        <w:rPr>
          <w:color w:val="000000"/>
          <w:rtl w:val="0"/>
        </w:rPr>
        <w:t xml:space="preserve">3.1 Analyse The Seaview Resort’s Financial Performance Over the Past Three Years</w:t>
      </w:r>
    </w:p>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per the data provided the net profit margin of Seaview Resort for the last three years are as follows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2020</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8%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2021</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and</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-11%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2022. The net profit margin of the resort is constantly decreasing, which indicates lack of financial stability and future viability of the organisation. By examining the income statement of the resort for the past three years it has revealed that the operating expenses of the resort are highly increasing where the revenue is decreasing. It is the main reason for the decline in net profit margin of the organisation over the last three years. Due to continuous decline in the profitability the risk competency of the firm will get hindered therefore it may have to face varieties of risks while experiencing significant loss in revenue. Following are some important financial ratio of The Seaview Resort in 2022:</w:t>
      </w:r>
    </w:p>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Current ratio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Current Assets / Current Liabilities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 250000/180000 = 1.38</w:t>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Return on capital employed = Net Income/Shareholders’ Equity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(47500)/450000 = -0.10</w:t>
      </w:r>
    </w:p>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Net Profit Margin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-11%</w:t>
      </w:r>
    </w:p>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Debt Equity Ratio = Total Debt/Total Shareholders Fund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580000/450000 = 1.28</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current ratio of the resort in 2022 is 1.38, meaning that for every 1 in current liabilities, it has 1.38 in current assets. The current ratio is healthy since it shows that the resort has sufficient funds on hand to pay for its current liabilities. The return on capital employed (ROCE) of the resort is (-0.10). It indicates that the resort’s profit margin is insufficient to offset the cost of its initial investment. It suggests that the organisation fails to utilise the best use of its resources which may hinder the future financial stability of the firm. ROCE less than 0% would be regarded as inadequate, whilst 0% or higher ROCE would be considered to be appropriate. The Resort has a net profit margin of -11%. It suggests significant financial loss for the resort. The result indicates that the resort is not making adequate money to pay its operating expenses. It is generally accepted that a net profit margin of 0% or above is desirable and that a net profit margin of less than 0% is unfavourable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Zuhroh,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Seaview Resort has a 1.28 debt-to-equity ratio. It indicates that for every £1 in equity owned by shareholders, the resort owes £1.28 in debt. The high debt burden indicates an uncertain future for the resort. Regarding debt-to-equity ratio of less than 1 would be deemed favourable but a ratio of 1 or more than 1 would be recognised as unfavourable. </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financial condition of Seaview Resort is hazardous. The resort is losing money and not making enough profit to pay for its capital due to its high level of debt. The lack of sufficient cash flow to cover its debt payments is further contributing to the resort’s uncertain financial situation. The resort must take action to strengthen its stability and financial performance. It may include raising money, cutting costs and boosting revenue. The resort could declare insolvency if it fails to take action.</w:t>
      </w:r>
    </w:p>
    <w:p w:rsidR="00000000" w:rsidDel="00000000" w:rsidP="00000000" w:rsidRDefault="00000000" w:rsidRPr="00000000" w14:paraId="0000004A">
      <w:pPr>
        <w:pStyle w:val="Heading2"/>
        <w:widowControl w:val="0"/>
        <w:rPr>
          <w:color w:val="000000"/>
        </w:rPr>
      </w:pPr>
      <w:bookmarkStart w:colFirst="0" w:colLast="0" w:name="_3rdcrjn" w:id="11"/>
      <w:bookmarkEnd w:id="11"/>
      <w:r w:rsidDel="00000000" w:rsidR="00000000" w:rsidRPr="00000000">
        <w:rPr>
          <w:color w:val="000000"/>
          <w:rtl w:val="0"/>
        </w:rPr>
        <w:t xml:space="preserve">3.2. Identify the Key Reasons Behind the Decline in Profitability</w:t>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profitability of Seaview Resort has declined for a number of reasons. Its inadequate profit margin is a sign of ineffective techniques for revenue growth and cost control. Profit margins have been weakened by rising operating costs that may be the result of higher marketing expenses, unsuccessful business endeavours or inflationary pressures on the cost of goods sold (COGS)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Tarkom and Ujah, 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Due to its inability to control rising costs, the resort has suffered large losses even in the face of declining income.</w:t>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negative ROCE indicates that invested capital had not been utilised effectively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Yenni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possible that underperforming investments, inefficient capital allocation techniques or inefficient asset management are common and may not produce returns commensurate with the money invested. The resort’s financial situation is further exacerbated by the implication that its assets are not producing enough revenue to cover the money invested.</w:t>
      </w:r>
    </w:p>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Excessive reliance on debt funding is indicated by a high debt-to-equity ratio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Hertina and Saudi,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resort’s high debt load raises interest costs, which lowers liquidity and profitability. The resort may have resorted to taking on excessive debt in order to finance operations or expansion which put it in a risky financial position where it was unable to pay off debt.</w:t>
      </w:r>
    </w:p>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inability to make enough money to pay expenses is indicated by a negative net profit margin that highlights revenue issues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Nariswari and Nugraha,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There are a few possible reasons for the resort’s financial crisis, such as decreasing tourist numbers, poor pricing tactics or competitive pressures that undermine revenue sources.</w:t>
      </w:r>
    </w:p>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may be difficult for the resort to effectively manage its financial resources if there are extensive operational imperfections, such as inefficient cost controls, waste or insufficient income strategy for diversification.</w:t>
      </w:r>
    </w:p>
    <w:p w:rsidR="00000000" w:rsidDel="00000000" w:rsidP="00000000" w:rsidRDefault="00000000" w:rsidRPr="00000000" w14:paraId="00000050">
      <w:pPr>
        <w:pStyle w:val="Heading2"/>
        <w:widowControl w:val="0"/>
        <w:spacing w:before="6" w:lineRule="auto"/>
        <w:ind w:right="334"/>
        <w:rPr>
          <w:color w:val="000000"/>
        </w:rPr>
      </w:pPr>
      <w:bookmarkStart w:colFirst="0" w:colLast="0" w:name="_26in1rg" w:id="12"/>
      <w:bookmarkEnd w:id="12"/>
      <w:r w:rsidDel="00000000" w:rsidR="00000000" w:rsidRPr="00000000">
        <w:rPr>
          <w:color w:val="000000"/>
          <w:rtl w:val="0"/>
        </w:rPr>
        <w:t xml:space="preserve">3.3. Comprehensive Turnaround Strategy </w:t>
      </w:r>
    </w:p>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 w:line="360" w:lineRule="auto"/>
        <w:ind w:left="0" w:right="334"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revitalise the resort’s financial health and sustain its reputation, detailed analysis and reconstruction of cost control plans are essential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Liakh and Spigarelli,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Profit margins can be increased by reducing rising operating expenses through the implementation of strict cost controls, the identification and elimination of unnecessary spending and improved supplier negotiations.</w:t>
      </w:r>
    </w:p>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 w:line="360" w:lineRule="auto"/>
        <w:ind w:left="0" w:right="334"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Strategies to increase revenue are also required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Mavlutova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order to deal with declining visitor numbers, it includes broadening revenue streams by launching alluring packages, improving client experiences with personalised amenities and exploring new markets. The resort can increase its visibility and encourage reservations by utilising digital marketing campaigns and working with travel agencies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Bhandari and Sin, 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 w:line="360" w:lineRule="auto"/>
        <w:ind w:left="0" w:right="334"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investment strategy must be reevaluated in order to address the capital inefficiency indicated by the negative ROCE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Beltrame and Sclip, 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order to maximise returns on investments, it is crucial to evaluate inefficient assets in detail, reallocate resources to high-return projects and optimise capital allocation strategies.</w:t>
      </w:r>
    </w:p>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 w:line="360" w:lineRule="auto"/>
        <w:ind w:left="0" w:right="334"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resort should decrease its reliance on debt finance. According to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Biersteker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refinancing, renegotiating terms and consciously reducing debt levels are all part of a sensible debt management plan that can reduce interest costs and recover liquidity while also alleviating the financial burden.</w:t>
      </w:r>
      <w:r w:rsidDel="00000000" w:rsidR="00000000" w:rsidRPr="00000000">
        <w:rPr>
          <w:rtl w:val="0"/>
        </w:rPr>
      </w:r>
    </w:p>
    <w:p w:rsidR="00000000" w:rsidDel="00000000" w:rsidP="00000000" w:rsidRDefault="00000000" w:rsidRPr="00000000" w14:paraId="00000055">
      <w:pPr>
        <w:pStyle w:val="Heading1"/>
        <w:widowControl w:val="0"/>
        <w:rPr>
          <w:color w:val="000000"/>
        </w:rPr>
      </w:pPr>
      <w:bookmarkStart w:colFirst="0" w:colLast="0" w:name="_lnxbz9" w:id="13"/>
      <w:bookmarkEnd w:id="13"/>
      <w:r w:rsidDel="00000000" w:rsidR="00000000" w:rsidRPr="00000000">
        <w:rPr>
          <w:color w:val="000000"/>
          <w:rtl w:val="0"/>
        </w:rPr>
        <w:t xml:space="preserve">4. Conclusion </w:t>
      </w:r>
    </w:p>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Seaview Resort is facing a critical financial situation, with declining profitability, negative net profit margins, and a high debt-to-equity ratio. This is exacerbated by increased competition, changing customer preferences, and a lack of effective market strategies. A comprehensive turnaround strategy is needed to revitalise the resort’s financial health and ensure its long-term viability. Market analysis using Porter’s Five Forces model reveals intense competitive rivalry in the seaside resort sector. To counteract this, the resort must focus on differentiation through unique offerings, exceptional service quality, and a commitment to sustainability. Strategic alliances with environmentally friendly suppliers can help mitigate supplier bargaining power. Customer preferences play a crucial role in the resort’s competitiveness. To address concerns about service quality and outdated facilities, the resort needs to invest in employee training, modernise amenities, and emphasise its commitment to eco-friendly practices. The financial analysis reveals a concerning trend in declining net profit margins and a negative return on capital employed. The resort’s financial condition is precarious, with a high debt burden and insufficient cash flow to cover debt payments. The proposed comprehensive turnaround strategy involves strict cost controls, exploring new revenue streams, optimising investment strategies, and reducing reliance on debt finance.</w:t>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58">
      <w:pPr>
        <w:pStyle w:val="Heading1"/>
        <w:widowControl w:val="0"/>
        <w:rPr/>
      </w:pPr>
      <w:bookmarkStart w:colFirst="0" w:colLast="0" w:name="_35nkun2" w:id="14"/>
      <w:bookmarkEnd w:id="14"/>
      <w:r w:rsidDel="00000000" w:rsidR="00000000" w:rsidRPr="00000000">
        <w:rPr>
          <w:rtl w:val="0"/>
        </w:rPr>
        <w:t xml:space="preserve">5. References </w:t>
      </w:r>
    </w:p>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Alonso, A.D., Bressan, A., Kok, S.K., Sakellarios, N., Vu, O.T.K., O’Shea, M., Koresis, A., Solis, M.A.B. and Santoni, L.J., (2022). Overcoming the unprecedented: Micro, small and medium hospitality enterprises under COVID-19.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International Journal of Hospitality Management</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103</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p.103201.</w:t>
      </w:r>
    </w:p>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Beltrame, F. and Sclip, A. (2023).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Analysing, Planning and Valuing Private Firms: New Approaches to Corporate Finance</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Springer Nature.</w:t>
      </w:r>
    </w:p>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Bhandari, R. and Sin, M.V.A. (2023). Optimizing digital marketing in hospitality industries.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Startupreneur Bisnis Digital (SABDA Journal)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2</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w:t>
      </w:r>
    </w:p>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Biersteker, T.J. ed. (2019).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Dealing with Debt: International Financial Negotiations and Adjustment Bargaining</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Routledge.</w:t>
      </w:r>
    </w:p>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Birru, A.C., Sudarmiatin, S. and Hermawan, A., (2022). Competitive strategies in the lodging service sector: Five porter analyses and case study SWOT analysis.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Journal of Business and Management Review</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3</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pp.001-017.</w:t>
      </w:r>
    </w:p>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213" w:line="360" w:lineRule="auto"/>
        <w:ind w:left="0" w:right="102"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Drury C (2021) (11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tl w:val="0"/>
        </w:rPr>
        <w:t xml:space="preserve">th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Ed) Management and Cost Accounting,  London, Prentice Hall</w:t>
      </w:r>
    </w:p>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Göral, R., (2021). Competitive Analysis of the Hotel Industry in Konya by Using Porter’s Five Forces Model.</w:t>
      </w:r>
      <w:r w:rsidDel="00000000" w:rsidR="00000000" w:rsidRPr="00000000">
        <w:rPr>
          <w:rtl w:val="0"/>
        </w:rPr>
      </w:r>
    </w:p>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Hertina, D. and Saudi, M.H.M. (2019). Stock return: Impact of return on asset, return on equity, debt to equity ratio and earning per share.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International Journal of Innovation, Creativity and Change</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6</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(12), pp.93-104.</w:t>
      </w:r>
    </w:p>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Liakh, O. and Spigarelli, F. (2020). Managing corporate sustainability and responsibility efficiently: A review of existing literature on business groups and networks.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Sustainability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12</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(18), p.7722.</w:t>
      </w:r>
    </w:p>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Lu, L. and Tabari, S., (2019). Impact of Airbnb on customers’ behavior in the UK hotel industry.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Tourism Analysis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24</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pp.13-26.</w:t>
      </w:r>
    </w:p>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Makuthu, V.N., (2021).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Strategic Planning and Competitive Advantage of Five Star Hotels in Kenya</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(Doctoral dissertation, University of Nairobi).</w:t>
      </w:r>
    </w:p>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Malmström, S., (2020).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Competition and competitive actions in the hotel industry in Finland</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(Master’s thesis).</w:t>
      </w:r>
    </w:p>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Mavlutova, I., Babenko, V., Dykan, V., Prokopenko, N., Kalinichenko, S. and Tokmakova, I., (2021). Business restructuring as a method of strengtening company’s financial position.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Journal of Optimization in Industrial Engineering</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14</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(Special Issue), pp.105-115.</w:t>
      </w:r>
    </w:p>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Nariswari, T.N. and Nugraha, N.M. (2020). Profit growth: impact of net profit margin, gross profit margin and total assests turnover.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International Journal of Finance &amp; Banking Studies (2147-4486)</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9</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(4), pp.87-96.</w:t>
      </w:r>
    </w:p>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Olorunsola, V.O., (2020).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Green Practices: The Experiences of Guests in EcoCentric Hotels in the UK</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(Master’s thesis, Eastern Mediterranean University (EMU)-Doğu Akdeniz Üniversitesi (DAÜ)).</w:t>
      </w:r>
    </w:p>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Pei, X.L., Guo, J.N., Wu, T.J., Zhou, W.X. and Yeh, S.P., (2020). Does the effect of customer experience on customer satisfaction create a sustainable competitive advantage? A comparative study of different shopping situations.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Sustainability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12</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(18), p.7436.</w:t>
      </w:r>
    </w:p>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Tarkom, A. and Ujah, N.U. (2023). Inflation, interest rate, and firm efficiency: The impact of policy uncertainty.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Journal of International Money and Finance</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131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p.102799.</w:t>
      </w:r>
    </w:p>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Walker J (2021) Introduction to Hospitality, Harlow, Pearson</w:t>
      </w:r>
    </w:p>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Yenni, Y., Arifin, A., Gunawan, E., Pakpahan, L. and Siregar, H. (2021). The Impact of Solvency and Working Capital on Profitability.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Journal of Industrial Engineering &amp; Management Research</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2</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(4), pp.15-38.</w:t>
      </w:r>
    </w:p>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Zuhroh, I. (2019). The effects of liquidity, firm size, and profitability on the firm value with mediating leverage.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KnE Social Sciences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pp.203-230.</w:t>
      </w:r>
    </w:p>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tl w:val="0"/>
        </w:rPr>
      </w:r>
    </w:p>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tl w:val="0"/>
        </w:rPr>
      </w:r>
    </w:p>
    <w:sectPr>
      <w:footerReference r:id="rId6"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I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200" w:before="213" w:line="360" w:lineRule="auto"/>
      <w:ind w:left="0" w:right="102"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200" w:before="213" w:line="360" w:lineRule="auto"/>
      <w:ind w:left="0" w:right="102"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