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B757B2" w14:textId="4D08DC12" w:rsidR="00906813" w:rsidRDefault="00C5794D">
      <w:pPr>
        <w:rPr>
          <w:sz w:val="28"/>
          <w:szCs w:val="28"/>
        </w:rPr>
      </w:pPr>
      <w:r w:rsidRPr="00C5794D">
        <w:rPr>
          <w:sz w:val="28"/>
          <w:szCs w:val="28"/>
        </w:rPr>
        <w:t>Critically discuss why a number of Nero’s cultural and athletic pursuits were so controversial for some members of the Roman elite.</w:t>
      </w:r>
    </w:p>
    <w:p w14:paraId="67EF8470" w14:textId="6AB8BE16" w:rsidR="000815FC" w:rsidRDefault="000815FC">
      <w:pPr>
        <w:rPr>
          <w:sz w:val="28"/>
          <w:szCs w:val="28"/>
        </w:rPr>
      </w:pPr>
    </w:p>
    <w:p w14:paraId="4C61466E" w14:textId="763CF14B" w:rsidR="000815FC" w:rsidRDefault="00A86C6D">
      <w:pPr>
        <w:rPr>
          <w:szCs w:val="28"/>
        </w:rPr>
      </w:pPr>
      <w:r>
        <w:rPr>
          <w:szCs w:val="28"/>
        </w:rPr>
        <w:t xml:space="preserve">The emperor </w:t>
      </w:r>
      <w:r w:rsidR="00330F0E">
        <w:rPr>
          <w:szCs w:val="28"/>
        </w:rPr>
        <w:t xml:space="preserve">Nero reigned from the AD 54 to 68 and during </w:t>
      </w:r>
      <w:r w:rsidR="00304CE7">
        <w:rPr>
          <w:szCs w:val="28"/>
        </w:rPr>
        <w:t>this time</w:t>
      </w:r>
      <w:r w:rsidR="00330F0E">
        <w:rPr>
          <w:szCs w:val="28"/>
        </w:rPr>
        <w:t xml:space="preserve"> he was involved in many controversies both political and social.</w:t>
      </w:r>
      <w:r w:rsidR="00A22C8F">
        <w:rPr>
          <w:szCs w:val="28"/>
        </w:rPr>
        <w:t xml:space="preserve"> </w:t>
      </w:r>
      <w:r w:rsidR="0014527D">
        <w:rPr>
          <w:szCs w:val="28"/>
        </w:rPr>
        <w:t>I</w:t>
      </w:r>
      <w:r w:rsidR="00A22C8F">
        <w:rPr>
          <w:szCs w:val="28"/>
        </w:rPr>
        <w:t xml:space="preserve">n the opinion of the Roman elite, some of the most significant of these was the emperor’s athletic and theatrical pursuits. </w:t>
      </w:r>
      <w:r w:rsidR="00950331">
        <w:rPr>
          <w:szCs w:val="28"/>
        </w:rPr>
        <w:t xml:space="preserve">Analysing some of Nero’s actions pertaining to athletics and theatre will be used to argue possible reasons why they were viewed as controversial and </w:t>
      </w:r>
      <w:r w:rsidR="00357DC1">
        <w:rPr>
          <w:szCs w:val="28"/>
        </w:rPr>
        <w:t>how opinions changed towards Nero</w:t>
      </w:r>
      <w:r w:rsidR="0014527D">
        <w:rPr>
          <w:szCs w:val="28"/>
        </w:rPr>
        <w:t xml:space="preserve"> </w:t>
      </w:r>
      <w:r w:rsidR="006B0599">
        <w:rPr>
          <w:szCs w:val="28"/>
        </w:rPr>
        <w:t>because of</w:t>
      </w:r>
      <w:r w:rsidR="0014527D">
        <w:rPr>
          <w:szCs w:val="28"/>
        </w:rPr>
        <w:t xml:space="preserve"> this</w:t>
      </w:r>
      <w:r w:rsidR="00357DC1">
        <w:rPr>
          <w:szCs w:val="28"/>
        </w:rPr>
        <w:t>.</w:t>
      </w:r>
    </w:p>
    <w:p w14:paraId="68C474A5" w14:textId="6384F404" w:rsidR="00357DC1" w:rsidRDefault="00937F70">
      <w:r>
        <w:rPr>
          <w:szCs w:val="28"/>
        </w:rPr>
        <w:t xml:space="preserve">To start with what was probably viewed as the least controversial pursuit, chariot racing. </w:t>
      </w:r>
      <w:r w:rsidR="00EE3B52">
        <w:rPr>
          <w:szCs w:val="28"/>
        </w:rPr>
        <w:t xml:space="preserve">Particularly during his younger years, Nero had a clear interest in the sport and desired to be a champion charioteer. This was not viewed as necessarily controversial to begin with, because of the clear link between charioteering and war </w:t>
      </w:r>
      <w:r w:rsidR="00E05DE4">
        <w:rPr>
          <w:szCs w:val="28"/>
        </w:rPr>
        <w:t xml:space="preserve">and </w:t>
      </w:r>
      <w:r w:rsidR="004C1640">
        <w:rPr>
          <w:szCs w:val="28"/>
        </w:rPr>
        <w:t>charioteers were not legally disqualified like actors and singers</w:t>
      </w:r>
      <w:r w:rsidR="004C1640">
        <w:rPr>
          <w:rStyle w:val="FootnoteReference"/>
          <w:szCs w:val="28"/>
        </w:rPr>
        <w:footnoteReference w:id="1"/>
      </w:r>
      <w:r w:rsidR="004C1640">
        <w:rPr>
          <w:szCs w:val="28"/>
        </w:rPr>
        <w:t xml:space="preserve">. This alone shows that chariot racing was not controversial in general rather than it being debatable for the emperor to be a charioteer. </w:t>
      </w:r>
      <w:r w:rsidR="004B05FF">
        <w:rPr>
          <w:szCs w:val="28"/>
        </w:rPr>
        <w:t xml:space="preserve">However, it could be argued that it wasn’t the chariot racing it self that the elite romans disliked, but the way in which Nero went about it. It is known that Nero took part in official racing in Greece and tried to </w:t>
      </w:r>
      <w:r w:rsidR="000E1B50">
        <w:rPr>
          <w:szCs w:val="28"/>
        </w:rPr>
        <w:t>self-represent</w:t>
      </w:r>
      <w:r w:rsidR="004B05FF">
        <w:rPr>
          <w:szCs w:val="28"/>
        </w:rPr>
        <w:t xml:space="preserve"> himself as the “sun charioteer”</w:t>
      </w:r>
      <w:r w:rsidR="004B05FF">
        <w:rPr>
          <w:rStyle w:val="FootnoteReference"/>
          <w:szCs w:val="28"/>
        </w:rPr>
        <w:footnoteReference w:id="2"/>
      </w:r>
      <w:r w:rsidR="000E1B50">
        <w:rPr>
          <w:szCs w:val="28"/>
        </w:rPr>
        <w:t xml:space="preserve">. </w:t>
      </w:r>
      <w:r w:rsidR="00D12212">
        <w:rPr>
          <w:szCs w:val="28"/>
        </w:rPr>
        <w:t xml:space="preserve"> This</w:t>
      </w:r>
      <w:r w:rsidR="003A7D0C">
        <w:rPr>
          <w:szCs w:val="28"/>
        </w:rPr>
        <w:t xml:space="preserve"> would</w:t>
      </w:r>
      <w:r w:rsidR="00D12212">
        <w:rPr>
          <w:szCs w:val="28"/>
        </w:rPr>
        <w:t xml:space="preserve"> have been somewhat unacceptable because Nero being emperor meant that he had more important duties to attend to rather than taking part in charioteering. Also, the term ‘sun charioteer’ means that Nero was trying to present himself as a god-like figure by linking himself to both Apollo and Augustus in this way. </w:t>
      </w:r>
      <w:r w:rsidR="003F5BAD">
        <w:rPr>
          <w:szCs w:val="28"/>
        </w:rPr>
        <w:t>T</w:t>
      </w:r>
      <w:r w:rsidR="00D12212">
        <w:rPr>
          <w:szCs w:val="28"/>
        </w:rPr>
        <w:t xml:space="preserve">his may have been viewed negatively </w:t>
      </w:r>
      <w:r w:rsidR="003F5BAD">
        <w:rPr>
          <w:szCs w:val="28"/>
        </w:rPr>
        <w:t>because it was a sign that Nero was putting himself in a position of power that would make the senate unnecessary.</w:t>
      </w:r>
      <w:r w:rsidR="003A7D0C">
        <w:rPr>
          <w:szCs w:val="28"/>
        </w:rPr>
        <w:t xml:space="preserve"> This fear was, in many ways, founded because of past events like the dictatorship of Julius Caesar and it is understandable that the Roman elite and even the plebeians would have been afraid of what this could mean.</w:t>
      </w:r>
      <w:r w:rsidR="00311995">
        <w:rPr>
          <w:szCs w:val="28"/>
        </w:rPr>
        <w:t xml:space="preserve"> </w:t>
      </w:r>
      <w:r w:rsidR="003A7D0C">
        <w:rPr>
          <w:szCs w:val="28"/>
        </w:rPr>
        <w:t xml:space="preserve"> </w:t>
      </w:r>
      <w:r w:rsidR="00092A82">
        <w:rPr>
          <w:szCs w:val="28"/>
        </w:rPr>
        <w:t>As well as this</w:t>
      </w:r>
      <w:r w:rsidR="00FD5D1D">
        <w:rPr>
          <w:szCs w:val="28"/>
        </w:rPr>
        <w:t xml:space="preserve">, Nero’s chariot racing was later used against him when his actions began to spiral and public opinion deteriorated. </w:t>
      </w:r>
      <w:r w:rsidR="00531820">
        <w:rPr>
          <w:szCs w:val="28"/>
        </w:rPr>
        <w:t xml:space="preserve">Tacitus stated in his accounts </w:t>
      </w:r>
      <w:r w:rsidR="00FE3BB2">
        <w:rPr>
          <w:szCs w:val="28"/>
        </w:rPr>
        <w:t xml:space="preserve">that the soldier Subrius Flavus </w:t>
      </w:r>
      <w:r w:rsidR="00634C70">
        <w:rPr>
          <w:szCs w:val="28"/>
        </w:rPr>
        <w:t>said “</w:t>
      </w:r>
      <w:r w:rsidR="00634C70">
        <w:t>I began to hate you when you turned into the murderer of your mother and wife- a chariot- driver, an actor, a fire raiser.”</w:t>
      </w:r>
      <w:r w:rsidR="00634C70">
        <w:rPr>
          <w:rStyle w:val="FootnoteReference"/>
        </w:rPr>
        <w:footnoteReference w:id="3"/>
      </w:r>
      <w:r w:rsidR="00531820">
        <w:t xml:space="preserve"> The inclusion of chariot</w:t>
      </w:r>
      <w:r w:rsidR="00A2388D">
        <w:t xml:space="preserve">eering shows that though it may not have been viewed as a bad thing on the whole to begin with, it was still controversial enough to be included as some of his ‘terrible acts’ as emperor when Nero </w:t>
      </w:r>
      <w:r w:rsidR="00C25AF5">
        <w:t>was</w:t>
      </w:r>
      <w:r w:rsidR="00A2388D">
        <w:t xml:space="preserve"> being written about negatively</w:t>
      </w:r>
      <w:r w:rsidR="00C25AF5">
        <w:t xml:space="preserve"> in historical accounts</w:t>
      </w:r>
      <w:r w:rsidR="00A2388D">
        <w:t>.</w:t>
      </w:r>
    </w:p>
    <w:p w14:paraId="53C5D392" w14:textId="37296A97" w:rsidR="00B90F90" w:rsidRDefault="00311995" w:rsidP="00086448">
      <w:r>
        <w:t>In the case of Nero’s great love of acting and singing, this was viewed as controversial both in general and in Nero’s case specifically.</w:t>
      </w:r>
      <w:r w:rsidR="00893DF2">
        <w:t xml:space="preserve"> The arts like acting and singing w</w:t>
      </w:r>
      <w:r w:rsidR="002E3825">
        <w:t>ere</w:t>
      </w:r>
      <w:r w:rsidR="00FB41D4">
        <w:t xml:space="preserve"> viewed as unimportant or even hated by </w:t>
      </w:r>
      <w:r w:rsidR="00AC7CE3">
        <w:t>J</w:t>
      </w:r>
      <w:r w:rsidR="00FB41D4">
        <w:t>ulio-</w:t>
      </w:r>
      <w:r w:rsidR="00AC7CE3">
        <w:t>C</w:t>
      </w:r>
      <w:r w:rsidR="00FB41D4">
        <w:t xml:space="preserve">laudian emperors that came before </w:t>
      </w:r>
      <w:r w:rsidR="00DB293E">
        <w:t>N</w:t>
      </w:r>
      <w:r w:rsidR="00FB41D4">
        <w:t>ero. It is known that Tiberius</w:t>
      </w:r>
      <w:r w:rsidR="00DB293E">
        <w:t xml:space="preserve"> expelled pantomime dancers</w:t>
      </w:r>
      <w:r w:rsidR="002E3825">
        <w:t xml:space="preserve"> and that </w:t>
      </w:r>
      <w:r w:rsidR="00DB293E">
        <w:t>Nero later recalled them.</w:t>
      </w:r>
      <w:r w:rsidR="00DB293E">
        <w:rPr>
          <w:rStyle w:val="FootnoteReference"/>
        </w:rPr>
        <w:footnoteReference w:id="4"/>
      </w:r>
      <w:r w:rsidR="00F20E5C">
        <w:t xml:space="preserve"> </w:t>
      </w:r>
      <w:r w:rsidR="00AD176B">
        <w:t>This action</w:t>
      </w:r>
      <w:r w:rsidR="0025305C">
        <w:t xml:space="preserve"> would have been viewed as controversial by the elite because the roman identity was primarily made up of military </w:t>
      </w:r>
      <w:r w:rsidR="009A3744">
        <w:t>and political prowess. This would have meant that Nero being interested enough in the arts to bring back public performances would have gone against the Roman ideals.</w:t>
      </w:r>
      <w:r w:rsidR="00B8750D">
        <w:t xml:space="preserve"> However, the recalling of pantomime dancers was not the </w:t>
      </w:r>
      <w:r w:rsidR="00EC29BD">
        <w:t xml:space="preserve">extent of Nero’s interests in the arts. </w:t>
      </w:r>
      <w:r w:rsidR="00B056E0">
        <w:t>It is clear in all ancient sources that Nero was a performer and competitor within the arts himself and took the activities seriously.</w:t>
      </w:r>
      <w:r w:rsidR="00B056E0">
        <w:rPr>
          <w:rStyle w:val="FootnoteReference"/>
        </w:rPr>
        <w:footnoteReference w:id="5"/>
      </w:r>
      <w:r w:rsidR="00B4320E">
        <w:t xml:space="preserve"> It is noted </w:t>
      </w:r>
      <w:r w:rsidR="00B4320E">
        <w:lastRenderedPageBreak/>
        <w:t>by Suetonius that Nero “for many successive days until late at night, he little by little began to practice himself, neglecting none of the exercises which artists of that kind are in the habit of following”</w:t>
      </w:r>
      <w:r w:rsidR="00B4320E">
        <w:rPr>
          <w:rStyle w:val="FootnoteReference"/>
        </w:rPr>
        <w:footnoteReference w:id="6"/>
      </w:r>
      <w:r w:rsidR="00B4320E">
        <w:t xml:space="preserve"> </w:t>
      </w:r>
      <w:r w:rsidR="008D0A3E">
        <w:t>these exercises would have included using a lead weight to press down on his chest and avoiding foods that may choke him.</w:t>
      </w:r>
      <w:r w:rsidR="008D0A3E">
        <w:rPr>
          <w:rStyle w:val="FootnoteReference"/>
        </w:rPr>
        <w:footnoteReference w:id="7"/>
      </w:r>
      <w:r w:rsidR="00C13E17">
        <w:t xml:space="preserve"> These exercises would have taken </w:t>
      </w:r>
      <w:r w:rsidR="00FE368A">
        <w:t xml:space="preserve">up quite a lot of time in the emperors day which would have meant that he was not doing what </w:t>
      </w:r>
      <w:r w:rsidR="007873EC">
        <w:t>others viewed an emperor should be doing. Along with the training, Nero took part in multiple competitions in music and acting</w:t>
      </w:r>
      <w:r w:rsidR="00B90F90">
        <w:t xml:space="preserve">, “being announced under his own name” </w:t>
      </w:r>
      <w:r w:rsidR="00B90F90">
        <w:rPr>
          <w:rStyle w:val="FootnoteReference"/>
        </w:rPr>
        <w:footnoteReference w:id="8"/>
      </w:r>
      <w:r w:rsidR="007873EC">
        <w:t xml:space="preserve">. While also taking up a lot of time, it also put pressure on the Roman elite to keep </w:t>
      </w:r>
      <w:r w:rsidR="00FF52A4">
        <w:t xml:space="preserve">Nero happy and keeping his image positive towards the Roman empire and the countries outside of the empire. </w:t>
      </w:r>
      <w:r w:rsidR="00DD0082">
        <w:t xml:space="preserve">It is recorded </w:t>
      </w:r>
      <w:r w:rsidR="00D55750">
        <w:t>multiple times by ancient authors that “contests in music had adopted the rule of sending all of the lyric prizes to him”</w:t>
      </w:r>
      <w:r w:rsidR="00D55750">
        <w:rPr>
          <w:rStyle w:val="FootnoteReference"/>
        </w:rPr>
        <w:footnoteReference w:id="9"/>
      </w:r>
      <w:r w:rsidR="00AA532F">
        <w:t xml:space="preserve">, this means that a considerable effort was </w:t>
      </w:r>
      <w:r w:rsidR="0080492F">
        <w:t xml:space="preserve">made to keep in the </w:t>
      </w:r>
      <w:r w:rsidR="00307B1D">
        <w:t>emperor’s</w:t>
      </w:r>
      <w:r w:rsidR="0080492F">
        <w:t xml:space="preserve"> favour and show that he is successful in what he does, whether the senate and the other Roman elite viewed it negatively or not. There was an incident at the quinquennial </w:t>
      </w:r>
      <w:r w:rsidR="00307B1D">
        <w:t>contest where</w:t>
      </w:r>
      <w:r w:rsidR="0080492F">
        <w:t xml:space="preserve"> “the senate attempted to avert scandal by offering the emperor the victory in song, adding a ‘crown of eloquence’ to cover the stigma inseparable from the stage.”</w:t>
      </w:r>
      <w:r w:rsidR="0080492F">
        <w:rPr>
          <w:rStyle w:val="FootnoteReference"/>
        </w:rPr>
        <w:footnoteReference w:id="10"/>
      </w:r>
      <w:r w:rsidR="001462AF">
        <w:t xml:space="preserve"> This clearly shows the senate attempting to use </w:t>
      </w:r>
      <w:r w:rsidR="00632F57">
        <w:t>Nero’s</w:t>
      </w:r>
      <w:r w:rsidR="001462AF">
        <w:t xml:space="preserve"> interests in their own manner.</w:t>
      </w:r>
      <w:r w:rsidR="00632F57">
        <w:t xml:space="preserve"> This means that the senate were </w:t>
      </w:r>
      <w:r w:rsidR="00E22E15">
        <w:t xml:space="preserve">getting involved in the arts </w:t>
      </w:r>
      <w:r w:rsidR="0029025D">
        <w:t>to</w:t>
      </w:r>
      <w:r w:rsidR="00E22E15">
        <w:t xml:space="preserve"> keep some measure of control.</w:t>
      </w:r>
      <w:r w:rsidR="009C6CA5">
        <w:t xml:space="preserve"> </w:t>
      </w:r>
      <w:r w:rsidR="00616A97">
        <w:t xml:space="preserve">Despite the </w:t>
      </w:r>
      <w:r w:rsidR="0029025D">
        <w:t xml:space="preserve">involvement </w:t>
      </w:r>
      <w:r w:rsidR="00021EAA">
        <w:t>of the senate, the opinions are obvious, if the ancient accounts are accurate. For example,</w:t>
      </w:r>
      <w:r w:rsidR="00293973">
        <w:t xml:space="preserve"> </w:t>
      </w:r>
      <w:r w:rsidR="004F2469">
        <w:t>in Tacitus’ account of</w:t>
      </w:r>
      <w:r w:rsidR="00293973">
        <w:t xml:space="preserve"> Nero’s performances getting applause, it is said that, “you might have supposed them to be rejoicing; and possibly they were, without a care for the national dishonour”</w:t>
      </w:r>
      <w:r w:rsidR="00293973">
        <w:rPr>
          <w:rStyle w:val="FootnoteReference"/>
        </w:rPr>
        <w:footnoteReference w:id="11"/>
      </w:r>
      <w:r w:rsidR="00293973">
        <w:t xml:space="preserve"> </w:t>
      </w:r>
      <w:r w:rsidR="00175617">
        <w:t xml:space="preserve">.  this means that it is likely that many of the Roman elite would have felt a similar way, </w:t>
      </w:r>
      <w:r w:rsidR="00271834">
        <w:t xml:space="preserve">the reasoning behind this may have been </w:t>
      </w:r>
      <w:r w:rsidR="00031375">
        <w:t xml:space="preserve">because of the general dislike of actors and singers or the force in which Nero was bringing forward his cultural changes. </w:t>
      </w:r>
      <w:r w:rsidR="00086448">
        <w:t>This is shown in that “while he was singing, no one was allowed to leave the theatre even for the most urgent reasons”</w:t>
      </w:r>
      <w:r w:rsidR="00086448">
        <w:rPr>
          <w:rStyle w:val="FootnoteReference"/>
        </w:rPr>
        <w:footnoteReference w:id="12"/>
      </w:r>
      <w:r w:rsidR="00086448">
        <w:t xml:space="preserve"> which meant that not only was Nero focusing on the arts but was also forcing the other Romans to do so as well.</w:t>
      </w:r>
    </w:p>
    <w:p w14:paraId="5240F5C2" w14:textId="33713F7A" w:rsidR="00CE060B" w:rsidRDefault="0058157A" w:rsidP="00086448">
      <w:r>
        <w:t xml:space="preserve">Nero’s focus on the arts would also have been viewed as controversial because Nero’s seeming obsession with them meant that the Roman empire would have suffered because of </w:t>
      </w:r>
      <w:r w:rsidR="00812469">
        <w:t xml:space="preserve">his </w:t>
      </w:r>
      <w:r>
        <w:t xml:space="preserve">unwavering focus on his own performance. For example, </w:t>
      </w:r>
      <w:r w:rsidR="00DF3DC3">
        <w:t>it is recorded that during the fire of Rome where the emperor would have been expected to focus on stopping and reducing the damage, Nero is said to have “ascended to the roof of the palace, from which there was the best general view of the greater part of the conflagration, and assuming the lyre player’s garb, he sang the ‘capture of Troy’”</w:t>
      </w:r>
      <w:r w:rsidR="00DF3DC3">
        <w:rPr>
          <w:rStyle w:val="FootnoteReference"/>
        </w:rPr>
        <w:footnoteReference w:id="13"/>
      </w:r>
      <w:r w:rsidR="00DF3DC3">
        <w:t>.</w:t>
      </w:r>
      <w:r w:rsidR="00401633">
        <w:t xml:space="preserve"> If this is to be </w:t>
      </w:r>
      <w:r w:rsidR="00A8031C">
        <w:t xml:space="preserve">taken as accurate then it would mean that both the elite Romans and the plebeians would have viewed Nero negatively because of </w:t>
      </w:r>
      <w:r w:rsidR="00B04695">
        <w:t>the level suffering that could have been prevented</w:t>
      </w:r>
      <w:r w:rsidR="00A8031C">
        <w:t xml:space="preserve"> </w:t>
      </w:r>
      <w:r w:rsidR="00B04695">
        <w:t>if Nero had acted as he was supposed to as a ruler.</w:t>
      </w:r>
      <w:r w:rsidR="000E0C7B">
        <w:t xml:space="preserve"> Along with Nero’s actions during the fire of Rome, the apparent use of theatrical masks also would have been viewed badly. </w:t>
      </w:r>
      <w:r w:rsidR="00BC223B">
        <w:t xml:space="preserve"> These masks were said to have been modelled on</w:t>
      </w:r>
      <w:r w:rsidR="008D2E4A">
        <w:t xml:space="preserve"> either Nero’s current love interest or even on his </w:t>
      </w:r>
      <w:r w:rsidR="001F02FC">
        <w:t xml:space="preserve">deceased </w:t>
      </w:r>
      <w:r w:rsidR="008D2E4A">
        <w:t>wife, though it is debated in ancient accounts.</w:t>
      </w:r>
      <w:r w:rsidR="008D2E4A">
        <w:rPr>
          <w:rStyle w:val="FootnoteReference"/>
        </w:rPr>
        <w:footnoteReference w:id="14"/>
      </w:r>
      <w:r w:rsidR="008D2E4A">
        <w:t xml:space="preserve"> According to Cassius </w:t>
      </w:r>
      <w:r w:rsidR="001F02FC">
        <w:t>D</w:t>
      </w:r>
      <w:r w:rsidR="008D2E4A">
        <w:t xml:space="preserve">io, it is </w:t>
      </w:r>
      <w:r w:rsidR="001F02FC">
        <w:t xml:space="preserve">Nero’s wife Poppea that is depicted in masks and they are used to </w:t>
      </w:r>
      <w:r w:rsidR="004F5758">
        <w:t>‘reanimate’ her in the performances.</w:t>
      </w:r>
      <w:r w:rsidR="004F5758">
        <w:rPr>
          <w:rStyle w:val="FootnoteReference"/>
        </w:rPr>
        <w:footnoteReference w:id="15"/>
      </w:r>
      <w:r w:rsidR="001B083E">
        <w:t xml:space="preserve"> It would be seen controversial in the modern day for a person in a position of power to act in such a way but in a ancient society like </w:t>
      </w:r>
      <w:r w:rsidR="001B083E">
        <w:lastRenderedPageBreak/>
        <w:t xml:space="preserve">Rome, where </w:t>
      </w:r>
      <w:r w:rsidR="00DF695B">
        <w:t xml:space="preserve">religion would have meant that people viewed death with more fear, people would have viewed this action as </w:t>
      </w:r>
      <w:r w:rsidR="00BE6326">
        <w:t>a direct insult to the deities and dead family members.</w:t>
      </w:r>
      <w:r w:rsidR="004524E2">
        <w:t xml:space="preserve"> The use of the emperors deceased wife as would have also bothered </w:t>
      </w:r>
      <w:r w:rsidR="00CF11AF">
        <w:t xml:space="preserve">the elite Romans because </w:t>
      </w:r>
      <w:r w:rsidR="00D029D0">
        <w:t xml:space="preserve">it was dangerous for people to mock </w:t>
      </w:r>
      <w:r w:rsidR="003F3D39">
        <w:t xml:space="preserve">the emperor and his family. </w:t>
      </w:r>
      <w:r w:rsidR="00807613">
        <w:t xml:space="preserve">The theatrical masks also have a link to a funerary tradition of the parading of </w:t>
      </w:r>
      <w:r w:rsidR="00691F3D">
        <w:t>images of dead family members, sometimes masks.</w:t>
      </w:r>
      <w:r w:rsidR="00691F3D">
        <w:rPr>
          <w:rStyle w:val="FootnoteReference"/>
        </w:rPr>
        <w:footnoteReference w:id="16"/>
      </w:r>
      <w:r w:rsidR="00641BEF">
        <w:t xml:space="preserve"> This would have made the reaction towards the mask of </w:t>
      </w:r>
      <w:r w:rsidR="00530551">
        <w:t>Poppea</w:t>
      </w:r>
      <w:r w:rsidR="00641BEF">
        <w:t xml:space="preserve"> </w:t>
      </w:r>
      <w:r w:rsidR="00530551">
        <w:t>even more extreme, especially it being Nero on stage at the same time.</w:t>
      </w:r>
      <w:r w:rsidR="00FA42EA">
        <w:t xml:space="preserve"> </w:t>
      </w:r>
      <w:r w:rsidR="00812469">
        <w:t>D</w:t>
      </w:r>
      <w:r w:rsidR="00FA42EA">
        <w:t xml:space="preserve">espite this, </w:t>
      </w:r>
      <w:r w:rsidR="00713E27">
        <w:t>the validity of the sources, because the existence of the masks is only mentioned briefly in Cassius Dio and Suetonius.</w:t>
      </w:r>
      <w:r w:rsidR="00992D6A">
        <w:rPr>
          <w:rStyle w:val="FootnoteReference"/>
        </w:rPr>
        <w:footnoteReference w:id="17"/>
      </w:r>
      <w:r w:rsidR="00713E27">
        <w:t xml:space="preserve"> Which is not </w:t>
      </w:r>
      <w:r w:rsidR="00F00359">
        <w:t>enough evidence to show for certain if theatrical mask</w:t>
      </w:r>
      <w:r w:rsidR="00992D6A">
        <w:t xml:space="preserve">s were </w:t>
      </w:r>
      <w:r w:rsidR="00120BFD">
        <w:t>used</w:t>
      </w:r>
      <w:r w:rsidR="007548EE">
        <w:t xml:space="preserve"> and even if they were, it is also possible that the masks of Poppea and Nero were used to further prove Nero was a bad ruler and person</w:t>
      </w:r>
      <w:r w:rsidR="00992D6A">
        <w:t>.</w:t>
      </w:r>
    </w:p>
    <w:p w14:paraId="1A94CA9C" w14:textId="1F68A50F" w:rsidR="00481F34" w:rsidRDefault="00481F34" w:rsidP="00086448">
      <w:r>
        <w:t xml:space="preserve">There is a theory that </w:t>
      </w:r>
      <w:r w:rsidR="00CF06E7">
        <w:t xml:space="preserve">Nero pushed forward the </w:t>
      </w:r>
      <w:r w:rsidR="00225B3A">
        <w:t>development of performance and music as the “cultivation of the plebs”</w:t>
      </w:r>
      <w:r w:rsidR="00225B3A">
        <w:rPr>
          <w:rStyle w:val="FootnoteReference"/>
        </w:rPr>
        <w:footnoteReference w:id="18"/>
      </w:r>
      <w:r w:rsidR="00225B3A">
        <w:t xml:space="preserve"> which would have meant that Nero was involving himself in singing and acting </w:t>
      </w:r>
      <w:r w:rsidR="001301B1">
        <w:t>to</w:t>
      </w:r>
      <w:r w:rsidR="00225B3A">
        <w:t xml:space="preserve"> bring himself closer to the public as a ruler and therefore increase his popularity.</w:t>
      </w:r>
      <w:r w:rsidR="00C9051E">
        <w:rPr>
          <w:rStyle w:val="FootnoteReference"/>
        </w:rPr>
        <w:footnoteReference w:id="19"/>
      </w:r>
      <w:r w:rsidR="001301B1">
        <w:t xml:space="preserve"> This would have made sense because the Julio-Claudian emperors did vary massively in popularity and Nero getting the support of more than just the elite may have made him more secure in his position as emperor. Nero being involved in performances </w:t>
      </w:r>
      <w:r w:rsidR="00D26564">
        <w:t>being</w:t>
      </w:r>
      <w:r w:rsidR="001301B1">
        <w:t xml:space="preserve"> applauded by the lower classes</w:t>
      </w:r>
      <w:r w:rsidR="001301B1">
        <w:rPr>
          <w:rStyle w:val="FootnoteReference"/>
        </w:rPr>
        <w:footnoteReference w:id="20"/>
      </w:r>
      <w:r w:rsidR="00D26564">
        <w:t xml:space="preserve"> would have made the elite classes even less likely to support Nero in his pursuits in theatre because they didn’t want to be linked to the lower classes in their interests.</w:t>
      </w:r>
      <w:r w:rsidR="00440FB7">
        <w:t xml:space="preserve"> </w:t>
      </w:r>
      <w:r w:rsidR="00743370">
        <w:t>This would have meant that if the lower classes enjoyed the emperor being involved in the arts, the upper classes would have disliked it on principle as well as any political reasoning.</w:t>
      </w:r>
    </w:p>
    <w:p w14:paraId="76B5F65F" w14:textId="77777777" w:rsidR="00107A63" w:rsidRDefault="00C7038B" w:rsidP="00086448">
      <w:r>
        <w:t xml:space="preserve">In conclusion, the Roman elite would have seen </w:t>
      </w:r>
      <w:r w:rsidR="0093476B">
        <w:t xml:space="preserve">Nero’s pursuits in theatre and sports as a neglect towards his more important duties as emperor. For example, military conquests, which Nero was never talented in the practices and Nero was only taught the theory of military practices. this would likely to have been part of the </w:t>
      </w:r>
      <w:r w:rsidR="00EF7D6E">
        <w:t>reason</w:t>
      </w:r>
      <w:r w:rsidR="0093476B">
        <w:t xml:space="preserve"> Nero and the </w:t>
      </w:r>
      <w:r w:rsidR="00EF7D6E">
        <w:t>army did not have a strong alliance.</w:t>
      </w:r>
      <w:r w:rsidR="0093476B">
        <w:rPr>
          <w:rStyle w:val="FootnoteReference"/>
        </w:rPr>
        <w:footnoteReference w:id="21"/>
      </w:r>
      <w:r w:rsidR="00EF7D6E">
        <w:t xml:space="preserve"> </w:t>
      </w:r>
      <w:r w:rsidR="00D06171">
        <w:t xml:space="preserve">However, it also must be said that the senate did desire more power and the emperor focusing on the arts like Nero did would have meant the senate had more control. </w:t>
      </w:r>
      <w:r w:rsidR="003A2836">
        <w:t>As well as this, it would have been thought by the Roman elite that Nero was ‘</w:t>
      </w:r>
      <w:r w:rsidR="00242183">
        <w:t>degrading’ himself by being involved in previously banned practices.</w:t>
      </w:r>
      <w:r w:rsidR="00242183">
        <w:rPr>
          <w:rStyle w:val="FootnoteReference"/>
        </w:rPr>
        <w:footnoteReference w:id="22"/>
      </w:r>
      <w:r w:rsidR="004008B4">
        <w:t xml:space="preserve"> </w:t>
      </w:r>
      <w:r w:rsidR="005F429E">
        <w:t xml:space="preserve">Another </w:t>
      </w:r>
      <w:r w:rsidR="00972DE8">
        <w:t>reason</w:t>
      </w:r>
      <w:r w:rsidR="005F429E">
        <w:t xml:space="preserve"> the elite </w:t>
      </w:r>
      <w:r w:rsidR="00D06171">
        <w:t xml:space="preserve">disliked Nero’s pursuits is because some of the ways in which Nero </w:t>
      </w:r>
      <w:r w:rsidR="00972DE8">
        <w:t>performed, like the use of theatrical masks and performing in public. Which may have meant that Nero was exposed to not only the upper classes in the society but the plebeians as well</w:t>
      </w:r>
      <w:r w:rsidR="00E705B5">
        <w:t xml:space="preserve">. </w:t>
      </w:r>
      <w:r w:rsidR="00277ABC">
        <w:t xml:space="preserve">This </w:t>
      </w:r>
      <w:r w:rsidR="006D38F2">
        <w:t xml:space="preserve">would mean that the emperor would be close to the regular public than the senate would have liked. </w:t>
      </w:r>
      <w:r w:rsidR="00D4234D">
        <w:t>Also, the general dislike of the arts and athletics like chariot racing would have meant that an emperor attempting to bring back into focus would have taken some time to be accepted, even without Nero’s other scandals like killing his mother and wives. So, his involvement in the arts would have been used by ancient authors and elite members of the empire to further evidence Nero being a bad and mad emperor</w:t>
      </w:r>
      <w:r w:rsidR="000E5F92">
        <w:t>, although the validity and accuracy of the authors should be questioned.</w:t>
      </w:r>
      <w:r w:rsidR="00C80F46">
        <w:t xml:space="preserve"> </w:t>
      </w:r>
      <w:r w:rsidR="00E627D4">
        <w:t>The negative opinions towards Nero and his acting and singing may also have been because they were against Nero himself because negative opinions were often passed on in families.</w:t>
      </w:r>
      <w:r w:rsidR="00E627D4">
        <w:rPr>
          <w:rStyle w:val="FootnoteReference"/>
        </w:rPr>
        <w:footnoteReference w:id="23"/>
      </w:r>
    </w:p>
    <w:p w14:paraId="56B606A1" w14:textId="43B7A15B" w:rsidR="00855D19" w:rsidRPr="00107A63" w:rsidRDefault="00855D19" w:rsidP="00086448">
      <w:bookmarkStart w:id="0" w:name="_GoBack"/>
      <w:bookmarkEnd w:id="0"/>
      <w:r w:rsidRPr="00855D19">
        <w:rPr>
          <w:sz w:val="24"/>
        </w:rPr>
        <w:lastRenderedPageBreak/>
        <w:t>Bibliography:</w:t>
      </w:r>
    </w:p>
    <w:p w14:paraId="7E7A5CE6" w14:textId="77777777" w:rsidR="00855D19" w:rsidRDefault="00855D19" w:rsidP="00855D19">
      <w:pPr>
        <w:tabs>
          <w:tab w:val="left" w:pos="2205"/>
        </w:tabs>
      </w:pPr>
      <w:r>
        <w:t>Ancient sources:</w:t>
      </w:r>
    </w:p>
    <w:p w14:paraId="374ADFF0" w14:textId="390BDC38" w:rsidR="00855D19" w:rsidRDefault="00855D19" w:rsidP="00855D19">
      <w:r>
        <w:t xml:space="preserve">Tacitus, Annals. J, Jackson (trans.). </w:t>
      </w:r>
      <w:r w:rsidR="00B71FD3">
        <w:t>1931</w:t>
      </w:r>
      <w:r>
        <w:t>. Loeb classical library</w:t>
      </w:r>
      <w:r w:rsidR="00A85078">
        <w:t>.</w:t>
      </w:r>
      <w:r>
        <w:t xml:space="preserve"> </w:t>
      </w:r>
      <w:hyperlink r:id="rId8" w:history="1">
        <w:r w:rsidRPr="00B3076A">
          <w:rPr>
            <w:rStyle w:val="Hyperlink"/>
          </w:rPr>
          <w:t>https://www-loebclassics-com.ezproxy.uwtsd.ac.uk/search?q=Tacitus&amp;pageSize=10&amp;sort=relevance&amp;q1=Nero&amp;searchWithin=Search&amp;t1</w:t>
        </w:r>
      </w:hyperlink>
      <w:r w:rsidR="00A85078">
        <w:t>.</w:t>
      </w:r>
      <w:r w:rsidR="00EC718C">
        <w:t xml:space="preserve"> [Accessed on 20/04/2018]</w:t>
      </w:r>
    </w:p>
    <w:p w14:paraId="4E7DC1BE" w14:textId="4C9D83D0" w:rsidR="00855D19" w:rsidRDefault="00855D19" w:rsidP="00855D19">
      <w:r>
        <w:t xml:space="preserve">Suetonius, Nero. J C, Rolfe (trans.). </w:t>
      </w:r>
      <w:r w:rsidR="00B71FD3">
        <w:t>1914</w:t>
      </w:r>
      <w:r>
        <w:t>. Loeb classical library</w:t>
      </w:r>
      <w:r w:rsidR="00A85078">
        <w:t>.</w:t>
      </w:r>
      <w:r>
        <w:t xml:space="preserve"> </w:t>
      </w:r>
      <w:hyperlink r:id="rId9" w:history="1">
        <w:r w:rsidRPr="00B02E35">
          <w:rPr>
            <w:rStyle w:val="Hyperlink"/>
          </w:rPr>
          <w:t>https://www-loebclassics-com.ezproxy.uwtsd.ac.uk/search?pageSize=10&amp;sort=authorsort&amp;source=%2Fsuetonius-lives_caesars_book_vi_nero%2F1914%2Fwork.xml&amp;sourceType=teipage&amp;q1=singing&amp;searchWithin=Search&amp;t1</w:t>
        </w:r>
      </w:hyperlink>
      <w:r w:rsidR="00A85078">
        <w:t xml:space="preserve">. </w:t>
      </w:r>
      <w:r w:rsidR="00EC718C">
        <w:t>[Accessed on 20/04/2018]</w:t>
      </w:r>
    </w:p>
    <w:p w14:paraId="497E81C5" w14:textId="74942C23" w:rsidR="00855D19" w:rsidRDefault="00855D19" w:rsidP="00855D19">
      <w:r>
        <w:t xml:space="preserve">Cassius Dio. Roman histories. E, Cary and H, </w:t>
      </w:r>
      <w:r w:rsidR="00A47227">
        <w:t>F</w:t>
      </w:r>
      <w:r>
        <w:t xml:space="preserve">orster (trans.). </w:t>
      </w:r>
      <w:r w:rsidR="00B71FD3">
        <w:t>1914</w:t>
      </w:r>
      <w:r>
        <w:t>. Loeb classical library</w:t>
      </w:r>
      <w:r w:rsidR="00A85078">
        <w:t>.</w:t>
      </w:r>
      <w:r>
        <w:t xml:space="preserve"> </w:t>
      </w:r>
      <w:hyperlink r:id="rId10" w:history="1">
        <w:r w:rsidRPr="00B3076A">
          <w:rPr>
            <w:rStyle w:val="Hyperlink"/>
          </w:rPr>
          <w:t>https://www-loebclassics.com.ezproxy.uwtsd.ac.uk/search?pageSize=10&amp;q=Nero&amp;sort=relevance&amp;source=%2Fdio_cassius-roman_history%2F1914%2Fwork.xml&amp;sourceType=teipage</w:t>
        </w:r>
      </w:hyperlink>
      <w:r w:rsidR="00A85078">
        <w:t>.</w:t>
      </w:r>
      <w:r w:rsidR="00EC718C">
        <w:t xml:space="preserve"> [Accessed on 20/04/2018]</w:t>
      </w:r>
    </w:p>
    <w:p w14:paraId="291A8AFC" w14:textId="7A65E59F" w:rsidR="00A85078" w:rsidRDefault="00A85078" w:rsidP="00855D19"/>
    <w:p w14:paraId="3226FA53" w14:textId="2E2C4775" w:rsidR="00A85078" w:rsidRDefault="00A85078" w:rsidP="00855D19">
      <w:r>
        <w:t>Modern sources:</w:t>
      </w:r>
    </w:p>
    <w:p w14:paraId="73BE2B51" w14:textId="693B0D5E" w:rsidR="00A85078" w:rsidRDefault="00A85078" w:rsidP="00855D19">
      <w:r>
        <w:t>E-books:</w:t>
      </w:r>
    </w:p>
    <w:p w14:paraId="197CABEA" w14:textId="4A3FFFF1" w:rsidR="00A85078" w:rsidRDefault="003D2160" w:rsidP="00855D19">
      <w:r>
        <w:t>Fantham, E. 2013. The Performing Prince, in E. Buckleys and M T. Binter (ed.)</w:t>
      </w:r>
      <w:r w:rsidR="00A47227">
        <w:t>, A Companion to the Neronian age. Oxford: Blackwell publishing Ltd</w:t>
      </w:r>
      <w:r w:rsidR="00D80B3A">
        <w:t>,</w:t>
      </w:r>
      <w:r w:rsidR="00ED79FF">
        <w:t>15-63.</w:t>
      </w:r>
      <w:r w:rsidR="00D80B3A">
        <w:t xml:space="preserve"> </w:t>
      </w:r>
      <w:hyperlink r:id="rId11" w:history="1">
        <w:r w:rsidR="00D80B3A" w:rsidRPr="00FE28AD">
          <w:rPr>
            <w:rStyle w:val="Hyperlink"/>
          </w:rPr>
          <w:t>https://www-dawsonera-com.ezproxy.uwtsd.ac.uk/readonline/9781118316597</w:t>
        </w:r>
      </w:hyperlink>
      <w:r w:rsidR="00D80B3A">
        <w:t>. [Accessed on 15/04/2018]</w:t>
      </w:r>
    </w:p>
    <w:p w14:paraId="6499C805" w14:textId="6FEC6FB7" w:rsidR="00D80B3A" w:rsidRDefault="00D80B3A" w:rsidP="00855D19">
      <w:r>
        <w:t>E-Journals:</w:t>
      </w:r>
    </w:p>
    <w:p w14:paraId="3F25DE3E" w14:textId="5E147BF5" w:rsidR="00C9051E" w:rsidRDefault="005C42D3" w:rsidP="00C9051E">
      <w:pPr>
        <w:spacing w:after="0" w:line="240" w:lineRule="auto"/>
      </w:pPr>
      <w:r>
        <w:t xml:space="preserve">Manning, C E. 1975. </w:t>
      </w:r>
      <w:r w:rsidR="00235269">
        <w:t xml:space="preserve">‘Acting and Nero’s Conception of the Principate’, </w:t>
      </w:r>
      <w:r w:rsidR="00235269">
        <w:rPr>
          <w:i/>
        </w:rPr>
        <w:t>Greece and Rome</w:t>
      </w:r>
      <w:r w:rsidR="00235269">
        <w:t>, Vol.22. 164-175</w:t>
      </w:r>
    </w:p>
    <w:p w14:paraId="348B30B4" w14:textId="74E32D4E" w:rsidR="00C9051E" w:rsidRDefault="004D5654" w:rsidP="00C9051E">
      <w:pPr>
        <w:spacing w:after="0" w:line="240" w:lineRule="auto"/>
        <w:rPr>
          <w:rFonts w:eastAsia="Times New Roman" w:cs="Arial"/>
          <w:sz w:val="24"/>
          <w:szCs w:val="24"/>
          <w:u w:val="single"/>
          <w:lang w:eastAsia="en-GB"/>
        </w:rPr>
      </w:pPr>
      <w:hyperlink r:id="rId12" w:history="1">
        <w:r w:rsidR="00C9051E" w:rsidRPr="00FE28AD">
          <w:rPr>
            <w:rStyle w:val="Hyperlink"/>
            <w:rFonts w:eastAsia="Times New Roman" w:cs="Arial"/>
            <w:sz w:val="24"/>
            <w:szCs w:val="24"/>
            <w:lang w:eastAsia="en-GB"/>
          </w:rPr>
          <w:t>http://www.jstor.org/stable/642717</w:t>
        </w:r>
      </w:hyperlink>
      <w:r w:rsidR="00C9051E">
        <w:rPr>
          <w:rFonts w:eastAsia="Times New Roman" w:cs="Arial"/>
          <w:sz w:val="24"/>
          <w:szCs w:val="24"/>
          <w:u w:val="single"/>
          <w:lang w:eastAsia="en-GB"/>
        </w:rPr>
        <w:t xml:space="preserve">. </w:t>
      </w:r>
      <w:r w:rsidR="00C9051E" w:rsidRPr="00C9051E">
        <w:rPr>
          <w:rFonts w:eastAsia="Times New Roman" w:cs="Arial"/>
          <w:sz w:val="24"/>
          <w:szCs w:val="24"/>
          <w:lang w:eastAsia="en-GB"/>
        </w:rPr>
        <w:t>[Accessed o</w:t>
      </w:r>
      <w:r w:rsidR="00C9051E">
        <w:rPr>
          <w:rFonts w:eastAsia="Times New Roman" w:cs="Arial"/>
          <w:sz w:val="24"/>
          <w:szCs w:val="24"/>
          <w:lang w:eastAsia="en-GB"/>
        </w:rPr>
        <w:t>n 17/03/2018]</w:t>
      </w:r>
    </w:p>
    <w:p w14:paraId="04DF189C" w14:textId="77777777" w:rsidR="001E3903" w:rsidRDefault="001E3903" w:rsidP="00855D19"/>
    <w:p w14:paraId="178665E0" w14:textId="5DD6649F" w:rsidR="00235269" w:rsidRDefault="00235269" w:rsidP="00855D19">
      <w:r>
        <w:t>Slater, N W. 1996. ‘Nero’s Masks</w:t>
      </w:r>
      <w:r w:rsidR="00C9051E">
        <w:t xml:space="preserve">’, </w:t>
      </w:r>
      <w:r w:rsidR="00C9051E">
        <w:rPr>
          <w:i/>
        </w:rPr>
        <w:t>The Classical World</w:t>
      </w:r>
      <w:r w:rsidR="00C9051E" w:rsidRPr="00C9051E">
        <w:t>, Vol. 90</w:t>
      </w:r>
      <w:r w:rsidR="00C9051E">
        <w:t xml:space="preserve">. 33-40 </w:t>
      </w:r>
      <w:hyperlink r:id="rId13" w:history="1">
        <w:r w:rsidR="00C9051E">
          <w:rPr>
            <w:rStyle w:val="Hyperlink"/>
            <w:rFonts w:eastAsia="Times New Roman" w:cs="Arial"/>
            <w:sz w:val="24"/>
            <w:szCs w:val="24"/>
            <w:lang w:eastAsia="en-GB"/>
          </w:rPr>
          <w:t>http://www.jstor.org/stable/4351898</w:t>
        </w:r>
      </w:hyperlink>
      <w:r w:rsidR="00C9051E">
        <w:t>. [Accessed on 17/03/2018]</w:t>
      </w:r>
    </w:p>
    <w:p w14:paraId="049B791A" w14:textId="77777777" w:rsidR="00A60C12" w:rsidRDefault="00410572" w:rsidP="00A60C12">
      <w:pPr>
        <w:spacing w:after="0" w:line="240" w:lineRule="auto"/>
      </w:pPr>
      <w:r>
        <w:t xml:space="preserve">McAlindon, D. 1956. ‘Senatorial opposition to Claudius and Nero’, </w:t>
      </w:r>
      <w:r>
        <w:rPr>
          <w:i/>
        </w:rPr>
        <w:t xml:space="preserve">The American Journal of Philology, </w:t>
      </w:r>
      <w:r>
        <w:t>Vol.77. 113-132</w:t>
      </w:r>
      <w:r w:rsidR="00A60C12">
        <w:t xml:space="preserve"> </w:t>
      </w:r>
    </w:p>
    <w:p w14:paraId="3291DE10" w14:textId="1D3D8C5D" w:rsidR="00A60C12" w:rsidRDefault="004D5654" w:rsidP="00A60C12">
      <w:pPr>
        <w:spacing w:after="0" w:line="240" w:lineRule="auto"/>
        <w:rPr>
          <w:rFonts w:eastAsia="Times New Roman" w:cs="Arial"/>
          <w:sz w:val="24"/>
          <w:szCs w:val="24"/>
          <w:lang w:eastAsia="en-GB"/>
        </w:rPr>
      </w:pPr>
      <w:hyperlink r:id="rId14" w:history="1">
        <w:r w:rsidR="00A60C12" w:rsidRPr="00FE28AD">
          <w:rPr>
            <w:rStyle w:val="Hyperlink"/>
            <w:rFonts w:eastAsia="Times New Roman" w:cs="Arial"/>
            <w:sz w:val="24"/>
            <w:szCs w:val="24"/>
            <w:lang w:eastAsia="en-GB"/>
          </w:rPr>
          <w:t>http://www.jstor.org/stable/292474</w:t>
        </w:r>
      </w:hyperlink>
      <w:r w:rsidR="00A60C12" w:rsidRPr="00A60C12">
        <w:rPr>
          <w:rFonts w:eastAsia="Times New Roman" w:cs="Arial"/>
          <w:sz w:val="24"/>
          <w:szCs w:val="24"/>
          <w:lang w:eastAsia="en-GB"/>
        </w:rPr>
        <w:t>. [Accessed on 17/03/2018]</w:t>
      </w:r>
    </w:p>
    <w:p w14:paraId="5D3E8661" w14:textId="28849E28" w:rsidR="001E3903" w:rsidRDefault="001E3903" w:rsidP="00A60C12">
      <w:pPr>
        <w:spacing w:after="0" w:line="240" w:lineRule="auto"/>
        <w:rPr>
          <w:rFonts w:eastAsia="Times New Roman" w:cs="Arial"/>
          <w:sz w:val="24"/>
          <w:szCs w:val="24"/>
          <w:u w:val="single"/>
          <w:lang w:eastAsia="en-GB"/>
        </w:rPr>
      </w:pPr>
    </w:p>
    <w:p w14:paraId="02B42E6A" w14:textId="77777777" w:rsidR="001E3903" w:rsidRDefault="001E3903" w:rsidP="00A60C12">
      <w:pPr>
        <w:spacing w:after="0" w:line="240" w:lineRule="auto"/>
        <w:rPr>
          <w:rFonts w:eastAsia="Times New Roman" w:cs="Arial"/>
          <w:sz w:val="24"/>
          <w:szCs w:val="24"/>
          <w:u w:val="single"/>
          <w:lang w:eastAsia="en-GB"/>
        </w:rPr>
      </w:pPr>
    </w:p>
    <w:p w14:paraId="51348C9F" w14:textId="3E617478" w:rsidR="00A60C12" w:rsidRPr="00410572" w:rsidRDefault="00A60C12" w:rsidP="00855D19"/>
    <w:p w14:paraId="6F3AE194" w14:textId="77777777" w:rsidR="00C9051E" w:rsidRDefault="00C9051E" w:rsidP="00855D19"/>
    <w:p w14:paraId="3E616217" w14:textId="77777777" w:rsidR="00C9051E" w:rsidRPr="00C9051E" w:rsidRDefault="00C9051E" w:rsidP="00855D19"/>
    <w:p w14:paraId="117B789D" w14:textId="4B65D330" w:rsidR="00D80B3A" w:rsidRDefault="00D80B3A" w:rsidP="00855D19"/>
    <w:p w14:paraId="7F18FE32" w14:textId="77777777" w:rsidR="00D80B3A" w:rsidRDefault="00D80B3A" w:rsidP="00855D19"/>
    <w:p w14:paraId="1545440D" w14:textId="77777777" w:rsidR="00855D19" w:rsidRDefault="00855D19" w:rsidP="00855D19"/>
    <w:p w14:paraId="4A19895C" w14:textId="77777777" w:rsidR="00855D19" w:rsidRDefault="00855D19" w:rsidP="00086448"/>
    <w:p w14:paraId="44F21DF3" w14:textId="521F3E2D" w:rsidR="00CD676A" w:rsidRDefault="00D4234D" w:rsidP="00086448">
      <w:r>
        <w:lastRenderedPageBreak/>
        <w:t xml:space="preserve"> </w:t>
      </w:r>
    </w:p>
    <w:p w14:paraId="0837C8F7" w14:textId="77777777" w:rsidR="004D2731" w:rsidRDefault="004D2731" w:rsidP="00086448"/>
    <w:p w14:paraId="7BAAA585" w14:textId="342A3F29" w:rsidR="00086448" w:rsidRDefault="00086448" w:rsidP="00086448">
      <w:r>
        <w:t xml:space="preserve"> </w:t>
      </w:r>
    </w:p>
    <w:p w14:paraId="5E07B6B7" w14:textId="3D803CD6" w:rsidR="00293973" w:rsidRDefault="00293973" w:rsidP="00293973"/>
    <w:p w14:paraId="100AC8B3" w14:textId="2FDDA136" w:rsidR="0080492F" w:rsidRDefault="0080492F" w:rsidP="00632F57"/>
    <w:p w14:paraId="6C0AD106" w14:textId="3648740A" w:rsidR="00311995" w:rsidRDefault="00311995"/>
    <w:p w14:paraId="3CE9F9E7" w14:textId="77777777" w:rsidR="00EF5B2C" w:rsidRPr="000815FC" w:rsidRDefault="00EF5B2C">
      <w:pPr>
        <w:rPr>
          <w:szCs w:val="28"/>
        </w:rPr>
      </w:pPr>
    </w:p>
    <w:p w14:paraId="63E199B3" w14:textId="60D2568B" w:rsidR="00C5794D" w:rsidRDefault="00C5794D">
      <w:pPr>
        <w:rPr>
          <w:sz w:val="28"/>
          <w:szCs w:val="28"/>
        </w:rPr>
      </w:pPr>
    </w:p>
    <w:p w14:paraId="004F0FA1" w14:textId="77777777" w:rsidR="00C5794D" w:rsidRPr="00C5794D" w:rsidRDefault="00C5794D"/>
    <w:p w14:paraId="41F3769B" w14:textId="77777777" w:rsidR="00C5794D" w:rsidRDefault="00C5794D">
      <w:pPr>
        <w:rPr>
          <w:sz w:val="27"/>
          <w:szCs w:val="27"/>
        </w:rPr>
      </w:pPr>
    </w:p>
    <w:p w14:paraId="3E0A62EA" w14:textId="2F8181C7" w:rsidR="00C5794D" w:rsidRDefault="00C5794D"/>
    <w:p w14:paraId="165C6FCF" w14:textId="77777777" w:rsidR="00C5794D" w:rsidRDefault="00C5794D"/>
    <w:sectPr w:rsidR="00C5794D">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8342D8" w14:textId="77777777" w:rsidR="004D5654" w:rsidRDefault="004D5654" w:rsidP="004C1640">
      <w:pPr>
        <w:spacing w:after="0" w:line="240" w:lineRule="auto"/>
      </w:pPr>
      <w:r>
        <w:separator/>
      </w:r>
    </w:p>
  </w:endnote>
  <w:endnote w:type="continuationSeparator" w:id="0">
    <w:p w14:paraId="7D122FAE" w14:textId="77777777" w:rsidR="004D5654" w:rsidRDefault="004D5654" w:rsidP="004C16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433E09" w14:textId="77777777" w:rsidR="004D5654" w:rsidRDefault="004D5654" w:rsidP="004C1640">
      <w:pPr>
        <w:spacing w:after="0" w:line="240" w:lineRule="auto"/>
      </w:pPr>
      <w:r>
        <w:separator/>
      </w:r>
    </w:p>
  </w:footnote>
  <w:footnote w:type="continuationSeparator" w:id="0">
    <w:p w14:paraId="0F210713" w14:textId="77777777" w:rsidR="004D5654" w:rsidRDefault="004D5654" w:rsidP="004C1640">
      <w:pPr>
        <w:spacing w:after="0" w:line="240" w:lineRule="auto"/>
      </w:pPr>
      <w:r>
        <w:continuationSeparator/>
      </w:r>
    </w:p>
  </w:footnote>
  <w:footnote w:id="1">
    <w:p w14:paraId="617D5203" w14:textId="5E20C37B" w:rsidR="00855D19" w:rsidRDefault="00855D19">
      <w:pPr>
        <w:pStyle w:val="FootnoteText"/>
      </w:pPr>
      <w:r>
        <w:rPr>
          <w:rStyle w:val="FootnoteReference"/>
        </w:rPr>
        <w:footnoteRef/>
      </w:r>
      <w:r>
        <w:t xml:space="preserve"> Fantham 2013:19</w:t>
      </w:r>
    </w:p>
  </w:footnote>
  <w:footnote w:id="2">
    <w:p w14:paraId="3BA08E6E" w14:textId="1FAA2A2D" w:rsidR="00855D19" w:rsidRDefault="00855D19">
      <w:pPr>
        <w:pStyle w:val="FootnoteText"/>
      </w:pPr>
      <w:r>
        <w:rPr>
          <w:rStyle w:val="FootnoteReference"/>
        </w:rPr>
        <w:footnoteRef/>
      </w:r>
      <w:r>
        <w:t xml:space="preserve"> Fantham 2013:22</w:t>
      </w:r>
    </w:p>
  </w:footnote>
  <w:footnote w:id="3">
    <w:p w14:paraId="5E2ADB08" w14:textId="30890378" w:rsidR="00855D19" w:rsidRDefault="00855D19">
      <w:pPr>
        <w:pStyle w:val="FootnoteText"/>
      </w:pPr>
      <w:r>
        <w:rPr>
          <w:rStyle w:val="FootnoteReference"/>
        </w:rPr>
        <w:footnoteRef/>
      </w:r>
      <w:r>
        <w:t xml:space="preserve"> Tac. Ann. XV. LXVI</w:t>
      </w:r>
    </w:p>
  </w:footnote>
  <w:footnote w:id="4">
    <w:p w14:paraId="4CF4E22E" w14:textId="6B149C1A" w:rsidR="00855D19" w:rsidRDefault="00855D19">
      <w:pPr>
        <w:pStyle w:val="FootnoteText"/>
      </w:pPr>
      <w:r>
        <w:rPr>
          <w:rStyle w:val="FootnoteReference"/>
        </w:rPr>
        <w:footnoteRef/>
      </w:r>
      <w:r>
        <w:t xml:space="preserve"> Fantham 2015.</w:t>
      </w:r>
    </w:p>
  </w:footnote>
  <w:footnote w:id="5">
    <w:p w14:paraId="08569E72" w14:textId="389945B9" w:rsidR="00855D19" w:rsidRDefault="00855D19">
      <w:pPr>
        <w:pStyle w:val="FootnoteText"/>
      </w:pPr>
      <w:r>
        <w:rPr>
          <w:rStyle w:val="FootnoteReference"/>
        </w:rPr>
        <w:footnoteRef/>
      </w:r>
      <w:r>
        <w:t xml:space="preserve"> Manning 1975.</w:t>
      </w:r>
    </w:p>
  </w:footnote>
  <w:footnote w:id="6">
    <w:p w14:paraId="4332F762" w14:textId="7167A745" w:rsidR="00855D19" w:rsidRDefault="00855D19">
      <w:pPr>
        <w:pStyle w:val="FootnoteText"/>
      </w:pPr>
      <w:r>
        <w:rPr>
          <w:rStyle w:val="FootnoteReference"/>
        </w:rPr>
        <w:footnoteRef/>
      </w:r>
      <w:r>
        <w:t xml:space="preserve"> Suet. Nero. XX</w:t>
      </w:r>
    </w:p>
  </w:footnote>
  <w:footnote w:id="7">
    <w:p w14:paraId="217A8423" w14:textId="660B571C" w:rsidR="00855D19" w:rsidRDefault="00855D19">
      <w:pPr>
        <w:pStyle w:val="FootnoteText"/>
      </w:pPr>
      <w:r>
        <w:rPr>
          <w:rStyle w:val="FootnoteReference"/>
        </w:rPr>
        <w:footnoteRef/>
      </w:r>
      <w:r>
        <w:t xml:space="preserve"> Fantham 2013.</w:t>
      </w:r>
    </w:p>
  </w:footnote>
  <w:footnote w:id="8">
    <w:p w14:paraId="5258D880" w14:textId="78F5310D" w:rsidR="00855D19" w:rsidRDefault="00855D19">
      <w:pPr>
        <w:pStyle w:val="FootnoteText"/>
      </w:pPr>
      <w:r>
        <w:rPr>
          <w:rStyle w:val="FootnoteReference"/>
        </w:rPr>
        <w:footnoteRef/>
      </w:r>
      <w:r>
        <w:t xml:space="preserve"> Cass Dio. Roman history. LXII</w:t>
      </w:r>
    </w:p>
  </w:footnote>
  <w:footnote w:id="9">
    <w:p w14:paraId="29C1B430" w14:textId="36F1E544" w:rsidR="00855D19" w:rsidRDefault="00855D19">
      <w:pPr>
        <w:pStyle w:val="FootnoteText"/>
      </w:pPr>
      <w:r>
        <w:rPr>
          <w:rStyle w:val="FootnoteReference"/>
        </w:rPr>
        <w:footnoteRef/>
      </w:r>
      <w:r>
        <w:t xml:space="preserve"> Suet. Nero. XXII</w:t>
      </w:r>
    </w:p>
  </w:footnote>
  <w:footnote w:id="10">
    <w:p w14:paraId="1EE8E0BB" w14:textId="0CC9DB62" w:rsidR="00855D19" w:rsidRDefault="00855D19">
      <w:pPr>
        <w:pStyle w:val="FootnoteText"/>
      </w:pPr>
      <w:r>
        <w:rPr>
          <w:rStyle w:val="FootnoteReference"/>
        </w:rPr>
        <w:footnoteRef/>
      </w:r>
      <w:r>
        <w:t xml:space="preserve"> Tac. Ann. XIV. IV</w:t>
      </w:r>
    </w:p>
  </w:footnote>
  <w:footnote w:id="11">
    <w:p w14:paraId="5F273CEF" w14:textId="18584132" w:rsidR="00855D19" w:rsidRDefault="00855D19">
      <w:pPr>
        <w:pStyle w:val="FootnoteText"/>
      </w:pPr>
      <w:r>
        <w:rPr>
          <w:rStyle w:val="FootnoteReference"/>
        </w:rPr>
        <w:footnoteRef/>
      </w:r>
      <w:r>
        <w:t xml:space="preserve"> Tac. Ann. XIV. IV</w:t>
      </w:r>
    </w:p>
  </w:footnote>
  <w:footnote w:id="12">
    <w:p w14:paraId="0949024A" w14:textId="75DFB5E0" w:rsidR="00855D19" w:rsidRDefault="00855D19">
      <w:pPr>
        <w:pStyle w:val="FootnoteText"/>
      </w:pPr>
      <w:r>
        <w:rPr>
          <w:rStyle w:val="FootnoteReference"/>
        </w:rPr>
        <w:footnoteRef/>
      </w:r>
      <w:r>
        <w:t xml:space="preserve"> Suet. Nero. XXIII</w:t>
      </w:r>
    </w:p>
  </w:footnote>
  <w:footnote w:id="13">
    <w:p w14:paraId="11BD7317" w14:textId="58322F95" w:rsidR="00855D19" w:rsidRDefault="00855D19">
      <w:pPr>
        <w:pStyle w:val="FootnoteText"/>
      </w:pPr>
      <w:r>
        <w:rPr>
          <w:rStyle w:val="FootnoteReference"/>
        </w:rPr>
        <w:footnoteRef/>
      </w:r>
      <w:r>
        <w:t xml:space="preserve"> Cass, Dio. Roman History. LXII</w:t>
      </w:r>
    </w:p>
  </w:footnote>
  <w:footnote w:id="14">
    <w:p w14:paraId="5B62DDC5" w14:textId="664E5477" w:rsidR="00855D19" w:rsidRDefault="00855D19">
      <w:pPr>
        <w:pStyle w:val="FootnoteText"/>
      </w:pPr>
      <w:r>
        <w:rPr>
          <w:rStyle w:val="FootnoteReference"/>
        </w:rPr>
        <w:footnoteRef/>
      </w:r>
      <w:r>
        <w:t xml:space="preserve"> Slater 1996.</w:t>
      </w:r>
    </w:p>
  </w:footnote>
  <w:footnote w:id="15">
    <w:p w14:paraId="7B20C4CD" w14:textId="3DCFC1E5" w:rsidR="00855D19" w:rsidRDefault="00855D19">
      <w:pPr>
        <w:pStyle w:val="FootnoteText"/>
      </w:pPr>
      <w:r>
        <w:rPr>
          <w:rStyle w:val="FootnoteReference"/>
        </w:rPr>
        <w:footnoteRef/>
      </w:r>
      <w:r>
        <w:t xml:space="preserve"> Slater 1996. and Cass. Dio. Roman history.</w:t>
      </w:r>
    </w:p>
  </w:footnote>
  <w:footnote w:id="16">
    <w:p w14:paraId="7EDB21DE" w14:textId="4DF6BEA2" w:rsidR="00855D19" w:rsidRDefault="00855D19">
      <w:pPr>
        <w:pStyle w:val="FootnoteText"/>
      </w:pPr>
      <w:r>
        <w:rPr>
          <w:rStyle w:val="FootnoteReference"/>
        </w:rPr>
        <w:footnoteRef/>
      </w:r>
      <w:r>
        <w:t xml:space="preserve"> Slater 1996.</w:t>
      </w:r>
    </w:p>
  </w:footnote>
  <w:footnote w:id="17">
    <w:p w14:paraId="100E59C8" w14:textId="6F91F87D" w:rsidR="00855D19" w:rsidRDefault="00855D19">
      <w:pPr>
        <w:pStyle w:val="FootnoteText"/>
      </w:pPr>
      <w:r>
        <w:rPr>
          <w:rStyle w:val="FootnoteReference"/>
        </w:rPr>
        <w:footnoteRef/>
      </w:r>
      <w:r>
        <w:t xml:space="preserve"> Slater 1996.</w:t>
      </w:r>
    </w:p>
  </w:footnote>
  <w:footnote w:id="18">
    <w:p w14:paraId="5784C801" w14:textId="17E2C28E" w:rsidR="00855D19" w:rsidRDefault="00855D19">
      <w:pPr>
        <w:pStyle w:val="FootnoteText"/>
      </w:pPr>
      <w:r>
        <w:rPr>
          <w:rStyle w:val="FootnoteReference"/>
        </w:rPr>
        <w:footnoteRef/>
      </w:r>
      <w:r>
        <w:t xml:space="preserve"> Manning. 1975.</w:t>
      </w:r>
    </w:p>
  </w:footnote>
  <w:footnote w:id="19">
    <w:p w14:paraId="0C90FDC7" w14:textId="7B929025" w:rsidR="00C9051E" w:rsidRDefault="00C9051E">
      <w:pPr>
        <w:pStyle w:val="FootnoteText"/>
      </w:pPr>
      <w:r>
        <w:rPr>
          <w:rStyle w:val="FootnoteReference"/>
        </w:rPr>
        <w:footnoteRef/>
      </w:r>
      <w:r>
        <w:t xml:space="preserve"> McAlindon 1956.</w:t>
      </w:r>
    </w:p>
  </w:footnote>
  <w:footnote w:id="20">
    <w:p w14:paraId="05BCBCC8" w14:textId="0B225A3D" w:rsidR="00855D19" w:rsidRDefault="00855D19">
      <w:pPr>
        <w:pStyle w:val="FootnoteText"/>
      </w:pPr>
      <w:r>
        <w:rPr>
          <w:rStyle w:val="FootnoteReference"/>
        </w:rPr>
        <w:footnoteRef/>
      </w:r>
      <w:r>
        <w:t xml:space="preserve"> Manning 1975.</w:t>
      </w:r>
    </w:p>
  </w:footnote>
  <w:footnote w:id="21">
    <w:p w14:paraId="38C1B78E" w14:textId="45A89010" w:rsidR="00855D19" w:rsidRDefault="00855D19">
      <w:pPr>
        <w:pStyle w:val="FootnoteText"/>
      </w:pPr>
      <w:r>
        <w:rPr>
          <w:rStyle w:val="FootnoteReference"/>
        </w:rPr>
        <w:footnoteRef/>
      </w:r>
      <w:r>
        <w:t xml:space="preserve"> Fantham 2013.</w:t>
      </w:r>
    </w:p>
  </w:footnote>
  <w:footnote w:id="22">
    <w:p w14:paraId="564B04DF" w14:textId="18D71473" w:rsidR="00855D19" w:rsidRDefault="00855D19">
      <w:pPr>
        <w:pStyle w:val="FootnoteText"/>
      </w:pPr>
      <w:r>
        <w:rPr>
          <w:rStyle w:val="FootnoteReference"/>
        </w:rPr>
        <w:footnoteRef/>
      </w:r>
      <w:r>
        <w:t xml:space="preserve"> Manning 1975.</w:t>
      </w:r>
    </w:p>
  </w:footnote>
  <w:footnote w:id="23">
    <w:p w14:paraId="0AF4E0CB" w14:textId="24371E95" w:rsidR="00E627D4" w:rsidRDefault="00E627D4">
      <w:pPr>
        <w:pStyle w:val="FootnoteText"/>
      </w:pPr>
      <w:r>
        <w:rPr>
          <w:rStyle w:val="FootnoteReference"/>
        </w:rPr>
        <w:footnoteRef/>
      </w:r>
      <w:r>
        <w:t xml:space="preserve"> McAlindon 1956.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6471864"/>
      <w:docPartObj>
        <w:docPartGallery w:val="Page Numbers (Top of Page)"/>
        <w:docPartUnique/>
      </w:docPartObj>
    </w:sdtPr>
    <w:sdtEndPr>
      <w:rPr>
        <w:noProof/>
      </w:rPr>
    </w:sdtEndPr>
    <w:sdtContent>
      <w:p w14:paraId="3D5A52E4" w14:textId="74F0890F" w:rsidR="00855D19" w:rsidRDefault="00855D19">
        <w:pPr>
          <w:pStyle w:val="Header"/>
          <w:jc w:val="center"/>
        </w:pPr>
        <w:r>
          <w:fldChar w:fldCharType="begin"/>
        </w:r>
        <w:r>
          <w:instrText xml:space="preserve"> PAGE   \* MERGEFORMAT </w:instrText>
        </w:r>
        <w:r>
          <w:fldChar w:fldCharType="separate"/>
        </w:r>
        <w:r w:rsidR="00107A63">
          <w:rPr>
            <w:noProof/>
          </w:rPr>
          <w:t>5</w:t>
        </w:r>
        <w:r>
          <w:rPr>
            <w:noProof/>
          </w:rPr>
          <w:fldChar w:fldCharType="end"/>
        </w:r>
      </w:p>
    </w:sdtContent>
  </w:sdt>
  <w:p w14:paraId="1C621901" w14:textId="77777777" w:rsidR="00855D19" w:rsidRDefault="00855D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E474C6"/>
    <w:multiLevelType w:val="hybridMultilevel"/>
    <w:tmpl w:val="599AD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0C5C46"/>
    <w:multiLevelType w:val="hybridMultilevel"/>
    <w:tmpl w:val="941C9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2C4A0C"/>
    <w:multiLevelType w:val="hybridMultilevel"/>
    <w:tmpl w:val="8B060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94D"/>
    <w:rsid w:val="00021EAA"/>
    <w:rsid w:val="00022F7D"/>
    <w:rsid w:val="00031375"/>
    <w:rsid w:val="00052FC6"/>
    <w:rsid w:val="000815FC"/>
    <w:rsid w:val="00082061"/>
    <w:rsid w:val="00086448"/>
    <w:rsid w:val="00092A82"/>
    <w:rsid w:val="000E0C7B"/>
    <w:rsid w:val="000E1B50"/>
    <w:rsid w:val="000E5F92"/>
    <w:rsid w:val="00107A63"/>
    <w:rsid w:val="00120BFD"/>
    <w:rsid w:val="001301B1"/>
    <w:rsid w:val="00131817"/>
    <w:rsid w:val="0014527D"/>
    <w:rsid w:val="001462AF"/>
    <w:rsid w:val="00175617"/>
    <w:rsid w:val="001B083E"/>
    <w:rsid w:val="001B3AF6"/>
    <w:rsid w:val="001E3903"/>
    <w:rsid w:val="001F02FC"/>
    <w:rsid w:val="00225B3A"/>
    <w:rsid w:val="00235269"/>
    <w:rsid w:val="00236220"/>
    <w:rsid w:val="00242183"/>
    <w:rsid w:val="0025305C"/>
    <w:rsid w:val="00270DA8"/>
    <w:rsid w:val="00271834"/>
    <w:rsid w:val="00277ABC"/>
    <w:rsid w:val="0029025D"/>
    <w:rsid w:val="00293973"/>
    <w:rsid w:val="002E3825"/>
    <w:rsid w:val="00304CE7"/>
    <w:rsid w:val="00307B1D"/>
    <w:rsid w:val="00311995"/>
    <w:rsid w:val="00330F0E"/>
    <w:rsid w:val="00357DC1"/>
    <w:rsid w:val="003A2836"/>
    <w:rsid w:val="003A7D0C"/>
    <w:rsid w:val="003D2160"/>
    <w:rsid w:val="003F3D39"/>
    <w:rsid w:val="003F5BAD"/>
    <w:rsid w:val="004008B4"/>
    <w:rsid w:val="00401633"/>
    <w:rsid w:val="00410572"/>
    <w:rsid w:val="00440FB7"/>
    <w:rsid w:val="004524E2"/>
    <w:rsid w:val="00481F34"/>
    <w:rsid w:val="004B05FF"/>
    <w:rsid w:val="004C1640"/>
    <w:rsid w:val="004D2731"/>
    <w:rsid w:val="004D5654"/>
    <w:rsid w:val="004F2469"/>
    <w:rsid w:val="004F5758"/>
    <w:rsid w:val="00530551"/>
    <w:rsid w:val="00531820"/>
    <w:rsid w:val="0058157A"/>
    <w:rsid w:val="00584155"/>
    <w:rsid w:val="005C42D3"/>
    <w:rsid w:val="005F429E"/>
    <w:rsid w:val="00613566"/>
    <w:rsid w:val="00616A97"/>
    <w:rsid w:val="00632F57"/>
    <w:rsid w:val="00634C70"/>
    <w:rsid w:val="00641BEF"/>
    <w:rsid w:val="00691F3D"/>
    <w:rsid w:val="006B0599"/>
    <w:rsid w:val="006D38F2"/>
    <w:rsid w:val="00713E27"/>
    <w:rsid w:val="00713F9A"/>
    <w:rsid w:val="00743370"/>
    <w:rsid w:val="007548EE"/>
    <w:rsid w:val="007873EC"/>
    <w:rsid w:val="0080492F"/>
    <w:rsid w:val="00807613"/>
    <w:rsid w:val="00812469"/>
    <w:rsid w:val="00826307"/>
    <w:rsid w:val="008300F9"/>
    <w:rsid w:val="00855D19"/>
    <w:rsid w:val="00893DF2"/>
    <w:rsid w:val="008D0A3E"/>
    <w:rsid w:val="008D2E4A"/>
    <w:rsid w:val="00906813"/>
    <w:rsid w:val="0093476B"/>
    <w:rsid w:val="00937F70"/>
    <w:rsid w:val="00950331"/>
    <w:rsid w:val="00972DE8"/>
    <w:rsid w:val="00992D6A"/>
    <w:rsid w:val="009A3744"/>
    <w:rsid w:val="009C6CA5"/>
    <w:rsid w:val="009D4D7C"/>
    <w:rsid w:val="00A04ABA"/>
    <w:rsid w:val="00A22C8F"/>
    <w:rsid w:val="00A2388D"/>
    <w:rsid w:val="00A47227"/>
    <w:rsid w:val="00A60C12"/>
    <w:rsid w:val="00A76E55"/>
    <w:rsid w:val="00A8031C"/>
    <w:rsid w:val="00A85078"/>
    <w:rsid w:val="00A86C6D"/>
    <w:rsid w:val="00AA532F"/>
    <w:rsid w:val="00AC7CE3"/>
    <w:rsid w:val="00AD176B"/>
    <w:rsid w:val="00B04695"/>
    <w:rsid w:val="00B056E0"/>
    <w:rsid w:val="00B4320E"/>
    <w:rsid w:val="00B71FD3"/>
    <w:rsid w:val="00B8750D"/>
    <w:rsid w:val="00B90F90"/>
    <w:rsid w:val="00BC223B"/>
    <w:rsid w:val="00BE6326"/>
    <w:rsid w:val="00C13E17"/>
    <w:rsid w:val="00C25AF5"/>
    <w:rsid w:val="00C26D3C"/>
    <w:rsid w:val="00C5794D"/>
    <w:rsid w:val="00C62E7F"/>
    <w:rsid w:val="00C7038B"/>
    <w:rsid w:val="00C80F46"/>
    <w:rsid w:val="00C9051E"/>
    <w:rsid w:val="00CD676A"/>
    <w:rsid w:val="00CE060B"/>
    <w:rsid w:val="00CF06E7"/>
    <w:rsid w:val="00CF11AF"/>
    <w:rsid w:val="00D029D0"/>
    <w:rsid w:val="00D06171"/>
    <w:rsid w:val="00D12212"/>
    <w:rsid w:val="00D26564"/>
    <w:rsid w:val="00D4234D"/>
    <w:rsid w:val="00D55750"/>
    <w:rsid w:val="00D80B3A"/>
    <w:rsid w:val="00DB293E"/>
    <w:rsid w:val="00DC4D02"/>
    <w:rsid w:val="00DD0082"/>
    <w:rsid w:val="00DF3DC3"/>
    <w:rsid w:val="00DF4276"/>
    <w:rsid w:val="00DF695B"/>
    <w:rsid w:val="00E05DE4"/>
    <w:rsid w:val="00E22E15"/>
    <w:rsid w:val="00E627D4"/>
    <w:rsid w:val="00E705B5"/>
    <w:rsid w:val="00EC29BD"/>
    <w:rsid w:val="00EC718C"/>
    <w:rsid w:val="00ED79FF"/>
    <w:rsid w:val="00EE3B52"/>
    <w:rsid w:val="00EF5B2C"/>
    <w:rsid w:val="00EF7D6E"/>
    <w:rsid w:val="00F00359"/>
    <w:rsid w:val="00F20E5C"/>
    <w:rsid w:val="00F24B37"/>
    <w:rsid w:val="00FA42EA"/>
    <w:rsid w:val="00FB41D4"/>
    <w:rsid w:val="00FD5D1D"/>
    <w:rsid w:val="00FE368A"/>
    <w:rsid w:val="00FE3BB2"/>
    <w:rsid w:val="00FF52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8AA43"/>
  <w15:chartTrackingRefBased/>
  <w15:docId w15:val="{0EF5F23B-E92B-46E0-AC97-D05487F33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C164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C1640"/>
    <w:rPr>
      <w:sz w:val="20"/>
      <w:szCs w:val="20"/>
    </w:rPr>
  </w:style>
  <w:style w:type="character" w:styleId="FootnoteReference">
    <w:name w:val="footnote reference"/>
    <w:basedOn w:val="DefaultParagraphFont"/>
    <w:uiPriority w:val="99"/>
    <w:semiHidden/>
    <w:unhideWhenUsed/>
    <w:rsid w:val="004C1640"/>
    <w:rPr>
      <w:vertAlign w:val="superscript"/>
    </w:rPr>
  </w:style>
  <w:style w:type="paragraph" w:styleId="ListParagraph">
    <w:name w:val="List Paragraph"/>
    <w:basedOn w:val="Normal"/>
    <w:uiPriority w:val="34"/>
    <w:qFormat/>
    <w:rsid w:val="0080492F"/>
    <w:pPr>
      <w:ind w:left="720"/>
      <w:contextualSpacing/>
    </w:pPr>
  </w:style>
  <w:style w:type="paragraph" w:styleId="Header">
    <w:name w:val="header"/>
    <w:basedOn w:val="Normal"/>
    <w:link w:val="HeaderChar"/>
    <w:uiPriority w:val="99"/>
    <w:unhideWhenUsed/>
    <w:rsid w:val="006135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3566"/>
  </w:style>
  <w:style w:type="paragraph" w:styleId="Footer">
    <w:name w:val="footer"/>
    <w:basedOn w:val="Normal"/>
    <w:link w:val="FooterChar"/>
    <w:uiPriority w:val="99"/>
    <w:unhideWhenUsed/>
    <w:rsid w:val="006135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3566"/>
  </w:style>
  <w:style w:type="character" w:styleId="Hyperlink">
    <w:name w:val="Hyperlink"/>
    <w:basedOn w:val="DefaultParagraphFont"/>
    <w:uiPriority w:val="99"/>
    <w:unhideWhenUsed/>
    <w:rsid w:val="00855D19"/>
    <w:rPr>
      <w:color w:val="0563C1" w:themeColor="hyperlink"/>
      <w:u w:val="single"/>
    </w:rPr>
  </w:style>
  <w:style w:type="character" w:styleId="UnresolvedMention">
    <w:name w:val="Unresolved Mention"/>
    <w:basedOn w:val="DefaultParagraphFont"/>
    <w:uiPriority w:val="99"/>
    <w:semiHidden/>
    <w:unhideWhenUsed/>
    <w:rsid w:val="00D80B3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0324636">
      <w:bodyDiv w:val="1"/>
      <w:marLeft w:val="0"/>
      <w:marRight w:val="0"/>
      <w:marTop w:val="0"/>
      <w:marBottom w:val="0"/>
      <w:divBdr>
        <w:top w:val="none" w:sz="0" w:space="0" w:color="auto"/>
        <w:left w:val="none" w:sz="0" w:space="0" w:color="auto"/>
        <w:bottom w:val="none" w:sz="0" w:space="0" w:color="auto"/>
        <w:right w:val="none" w:sz="0" w:space="0" w:color="auto"/>
      </w:divBdr>
    </w:div>
    <w:div w:id="1857885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oebclassics-com.ezproxy.uwtsd.ac.uk/search?q=Tacitus&amp;pageSize=10&amp;sort=relevance&amp;q1=Nero&amp;searchWithin=Search&amp;t1" TargetMode="External"/><Relationship Id="rId13" Type="http://schemas.openxmlformats.org/officeDocument/2006/relationships/hyperlink" Target="http://www.jstor.org/stable/435189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jstor.org/stable/642717"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awsonera-com.ezproxy.uwtsd.ac.uk/readonline/9781118316597"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loebclassics.com.ezproxy.uwtsd.ac.uk/search?pageSize=10&amp;q=Nero&amp;sort=relevance&amp;source=%2Fdio_cassius-roman_history%2F1914%2Fwork.xml&amp;sourceType=teipage" TargetMode="External"/><Relationship Id="rId4" Type="http://schemas.openxmlformats.org/officeDocument/2006/relationships/settings" Target="settings.xml"/><Relationship Id="rId9" Type="http://schemas.openxmlformats.org/officeDocument/2006/relationships/hyperlink" Target="https://www-loebclassics-com.ezproxy.uwtsd.ac.uk/search?pageSize=10&amp;sort=authorsort&amp;source=%2Fsuetonius-lives_caesars_book_vi_nero%2F1914%2Fwork.xml&amp;sourceType=teipage&amp;q1=singing&amp;searchWithin=Search&amp;t1" TargetMode="External"/><Relationship Id="rId14" Type="http://schemas.openxmlformats.org/officeDocument/2006/relationships/hyperlink" Target="http://www.jstor.org/stable/29247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CD89A2-34D2-4519-8F88-BFE502394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1294</TotalTime>
  <Pages>5</Pages>
  <Words>1988</Words>
  <Characters>11332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Sofie Keddie</dc:creator>
  <cp:keywords/>
  <dc:description/>
  <cp:lastModifiedBy>Sofie Keddie</cp:lastModifiedBy>
  <cp:revision>127</cp:revision>
  <dcterms:created xsi:type="dcterms:W3CDTF">2018-04-22T14:23:00Z</dcterms:created>
  <dcterms:modified xsi:type="dcterms:W3CDTF">2018-04-24T18:48:00Z</dcterms:modified>
</cp:coreProperties>
</file>