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A6406" w14:textId="096ED968" w:rsidR="009568BF" w:rsidRDefault="009568BF" w:rsidP="00326518">
      <w:pPr>
        <w:spacing w:line="360" w:lineRule="auto"/>
        <w:jc w:val="center"/>
        <w:rPr>
          <w:rFonts w:ascii="Arial" w:hAnsi="Arial" w:cs="Arial"/>
          <w:noProof/>
        </w:rPr>
      </w:pPr>
    </w:p>
    <w:p w14:paraId="49FD02D5" w14:textId="77777777" w:rsidR="00554769" w:rsidRPr="00326518" w:rsidRDefault="00554769" w:rsidP="00554769">
      <w:pPr>
        <w:spacing w:line="360" w:lineRule="auto"/>
        <w:rPr>
          <w:rFonts w:ascii="Arial" w:hAnsi="Arial" w:cs="Arial"/>
        </w:rPr>
      </w:pPr>
    </w:p>
    <w:p w14:paraId="57EAF288" w14:textId="77777777" w:rsidR="009568BF" w:rsidRPr="00326518" w:rsidRDefault="009568BF" w:rsidP="00326518">
      <w:pPr>
        <w:spacing w:line="360" w:lineRule="auto"/>
        <w:jc w:val="center"/>
        <w:rPr>
          <w:rFonts w:ascii="Arial" w:hAnsi="Arial" w:cs="Arial"/>
        </w:rPr>
      </w:pPr>
    </w:p>
    <w:p w14:paraId="4911F4FD" w14:textId="0A6290AE" w:rsidR="009568BF" w:rsidRPr="00326518" w:rsidRDefault="009568BF" w:rsidP="00554769">
      <w:pPr>
        <w:spacing w:line="360" w:lineRule="auto"/>
        <w:jc w:val="center"/>
        <w:rPr>
          <w:rFonts w:ascii="Arial" w:hAnsi="Arial" w:cs="Arial"/>
          <w:sz w:val="22"/>
          <w:szCs w:val="22"/>
        </w:rPr>
      </w:pPr>
      <w:r w:rsidRPr="00326518">
        <w:rPr>
          <w:rFonts w:ascii="Arial" w:hAnsi="Arial" w:cs="Arial"/>
          <w:sz w:val="22"/>
          <w:szCs w:val="22"/>
        </w:rPr>
        <w:t>Student Name: Maria Nawaz</w:t>
      </w:r>
    </w:p>
    <w:p w14:paraId="71B30D58" w14:textId="02551AE3" w:rsidR="009568BF" w:rsidRPr="00326518" w:rsidRDefault="009568BF" w:rsidP="00554769">
      <w:pPr>
        <w:spacing w:line="360" w:lineRule="auto"/>
        <w:jc w:val="center"/>
        <w:rPr>
          <w:rFonts w:ascii="Arial" w:hAnsi="Arial" w:cs="Arial"/>
          <w:sz w:val="22"/>
          <w:szCs w:val="22"/>
        </w:rPr>
      </w:pPr>
      <w:r w:rsidRPr="00326518">
        <w:rPr>
          <w:rFonts w:ascii="Arial" w:hAnsi="Arial" w:cs="Arial"/>
          <w:sz w:val="22"/>
          <w:szCs w:val="22"/>
        </w:rPr>
        <w:t>Student number: 2521133</w:t>
      </w:r>
    </w:p>
    <w:p w14:paraId="6AE6093D" w14:textId="15F5285F" w:rsidR="009568BF" w:rsidRPr="00326518" w:rsidRDefault="009568BF" w:rsidP="00554769">
      <w:pPr>
        <w:spacing w:line="360" w:lineRule="auto"/>
        <w:jc w:val="center"/>
        <w:rPr>
          <w:rFonts w:ascii="Arial" w:hAnsi="Arial" w:cs="Arial"/>
          <w:sz w:val="22"/>
          <w:szCs w:val="22"/>
        </w:rPr>
      </w:pPr>
      <w:r w:rsidRPr="00326518">
        <w:rPr>
          <w:rFonts w:ascii="Arial" w:hAnsi="Arial" w:cs="Arial"/>
          <w:sz w:val="22"/>
          <w:szCs w:val="22"/>
        </w:rPr>
        <w:t>Module code: LCSH4008</w:t>
      </w:r>
    </w:p>
    <w:p w14:paraId="07058D5D" w14:textId="791A76F0" w:rsidR="009568BF" w:rsidRPr="00326518" w:rsidRDefault="009568BF" w:rsidP="00554769">
      <w:pPr>
        <w:spacing w:line="360" w:lineRule="auto"/>
        <w:jc w:val="center"/>
        <w:rPr>
          <w:rFonts w:ascii="Arial" w:hAnsi="Arial" w:cs="Arial"/>
          <w:sz w:val="22"/>
          <w:szCs w:val="22"/>
        </w:rPr>
      </w:pPr>
      <w:r w:rsidRPr="00326518">
        <w:rPr>
          <w:rFonts w:ascii="Arial" w:hAnsi="Arial" w:cs="Arial"/>
          <w:sz w:val="22"/>
          <w:szCs w:val="22"/>
        </w:rPr>
        <w:t>Module Title: Introduction to Public Health</w:t>
      </w:r>
    </w:p>
    <w:p w14:paraId="024921FA" w14:textId="74B319BF" w:rsidR="009568BF" w:rsidRPr="00326518" w:rsidRDefault="009568BF" w:rsidP="00554769">
      <w:pPr>
        <w:spacing w:line="360" w:lineRule="auto"/>
        <w:jc w:val="center"/>
        <w:rPr>
          <w:rFonts w:ascii="Arial" w:hAnsi="Arial" w:cs="Arial"/>
          <w:sz w:val="22"/>
          <w:szCs w:val="22"/>
        </w:rPr>
      </w:pPr>
      <w:r w:rsidRPr="00326518">
        <w:rPr>
          <w:rFonts w:ascii="Arial" w:hAnsi="Arial" w:cs="Arial"/>
          <w:sz w:val="22"/>
          <w:szCs w:val="22"/>
        </w:rPr>
        <w:t>Lecturer name: Gillian Weaver</w:t>
      </w:r>
    </w:p>
    <w:p w14:paraId="2D469368" w14:textId="0751CF66" w:rsidR="009568BF" w:rsidRPr="00326518" w:rsidRDefault="009568BF" w:rsidP="00554769">
      <w:pPr>
        <w:spacing w:line="360" w:lineRule="auto"/>
        <w:jc w:val="center"/>
        <w:rPr>
          <w:rFonts w:ascii="Arial" w:hAnsi="Arial" w:cs="Arial"/>
          <w:sz w:val="22"/>
          <w:szCs w:val="22"/>
        </w:rPr>
      </w:pPr>
      <w:r w:rsidRPr="00326518">
        <w:rPr>
          <w:rFonts w:ascii="Arial" w:hAnsi="Arial" w:cs="Arial"/>
          <w:sz w:val="22"/>
          <w:szCs w:val="22"/>
        </w:rPr>
        <w:t>Assignment Title: Depression</w:t>
      </w:r>
    </w:p>
    <w:p w14:paraId="73AA18F0" w14:textId="77777777" w:rsidR="009568BF" w:rsidRPr="00326518" w:rsidRDefault="009568BF" w:rsidP="00326518">
      <w:pPr>
        <w:spacing w:line="360" w:lineRule="auto"/>
        <w:rPr>
          <w:rFonts w:ascii="Arial" w:hAnsi="Arial" w:cs="Arial"/>
          <w:sz w:val="22"/>
          <w:szCs w:val="22"/>
        </w:rPr>
      </w:pPr>
    </w:p>
    <w:p w14:paraId="2C9D02C7" w14:textId="77777777" w:rsidR="00326518" w:rsidRDefault="00326518" w:rsidP="00326518">
      <w:pPr>
        <w:spacing w:line="360" w:lineRule="auto"/>
        <w:rPr>
          <w:rFonts w:ascii="Arial" w:hAnsi="Arial" w:cs="Arial"/>
          <w:b/>
          <w:bCs/>
          <w:sz w:val="22"/>
          <w:szCs w:val="22"/>
        </w:rPr>
      </w:pPr>
    </w:p>
    <w:p w14:paraId="39DBD193" w14:textId="77777777" w:rsidR="00326518" w:rsidRDefault="00326518" w:rsidP="00326518">
      <w:pPr>
        <w:spacing w:line="360" w:lineRule="auto"/>
        <w:rPr>
          <w:rFonts w:ascii="Arial" w:hAnsi="Arial" w:cs="Arial"/>
          <w:b/>
          <w:bCs/>
          <w:sz w:val="22"/>
          <w:szCs w:val="22"/>
        </w:rPr>
      </w:pPr>
    </w:p>
    <w:p w14:paraId="48D86008" w14:textId="77777777" w:rsidR="00326518" w:rsidRDefault="00326518" w:rsidP="00326518">
      <w:pPr>
        <w:spacing w:line="360" w:lineRule="auto"/>
        <w:rPr>
          <w:rFonts w:ascii="Arial" w:hAnsi="Arial" w:cs="Arial"/>
          <w:b/>
          <w:bCs/>
          <w:sz w:val="22"/>
          <w:szCs w:val="22"/>
        </w:rPr>
      </w:pPr>
    </w:p>
    <w:p w14:paraId="18952D1E" w14:textId="77777777" w:rsidR="00326518" w:rsidRDefault="00326518" w:rsidP="00326518">
      <w:pPr>
        <w:spacing w:line="360" w:lineRule="auto"/>
        <w:rPr>
          <w:rFonts w:ascii="Arial" w:hAnsi="Arial" w:cs="Arial"/>
          <w:b/>
          <w:bCs/>
          <w:sz w:val="22"/>
          <w:szCs w:val="22"/>
        </w:rPr>
      </w:pPr>
    </w:p>
    <w:p w14:paraId="02BD756B" w14:textId="77777777" w:rsidR="00326518" w:rsidRDefault="00326518" w:rsidP="00326518">
      <w:pPr>
        <w:spacing w:line="360" w:lineRule="auto"/>
        <w:rPr>
          <w:rFonts w:ascii="Arial" w:hAnsi="Arial" w:cs="Arial"/>
          <w:b/>
          <w:bCs/>
          <w:sz w:val="22"/>
          <w:szCs w:val="22"/>
        </w:rPr>
      </w:pPr>
    </w:p>
    <w:p w14:paraId="0957F3BA" w14:textId="77777777" w:rsidR="00326518" w:rsidRDefault="00326518" w:rsidP="00326518">
      <w:pPr>
        <w:spacing w:line="360" w:lineRule="auto"/>
        <w:rPr>
          <w:rFonts w:ascii="Arial" w:hAnsi="Arial" w:cs="Arial"/>
          <w:b/>
          <w:bCs/>
          <w:sz w:val="22"/>
          <w:szCs w:val="22"/>
        </w:rPr>
      </w:pPr>
    </w:p>
    <w:p w14:paraId="0F2CDA61" w14:textId="77777777" w:rsidR="00326518" w:rsidRDefault="00326518" w:rsidP="00326518">
      <w:pPr>
        <w:spacing w:line="360" w:lineRule="auto"/>
        <w:rPr>
          <w:rFonts w:ascii="Arial" w:hAnsi="Arial" w:cs="Arial"/>
          <w:b/>
          <w:bCs/>
          <w:sz w:val="22"/>
          <w:szCs w:val="22"/>
        </w:rPr>
      </w:pPr>
    </w:p>
    <w:p w14:paraId="2F76CD9D" w14:textId="77777777" w:rsidR="00326518" w:rsidRDefault="00326518" w:rsidP="00326518">
      <w:pPr>
        <w:spacing w:line="360" w:lineRule="auto"/>
        <w:rPr>
          <w:rFonts w:ascii="Arial" w:hAnsi="Arial" w:cs="Arial"/>
          <w:b/>
          <w:bCs/>
          <w:sz w:val="22"/>
          <w:szCs w:val="22"/>
        </w:rPr>
      </w:pPr>
    </w:p>
    <w:p w14:paraId="4A22B999" w14:textId="77777777" w:rsidR="00326518" w:rsidRDefault="00326518" w:rsidP="00326518">
      <w:pPr>
        <w:spacing w:line="360" w:lineRule="auto"/>
        <w:rPr>
          <w:rFonts w:ascii="Arial" w:hAnsi="Arial" w:cs="Arial"/>
          <w:b/>
          <w:bCs/>
          <w:sz w:val="22"/>
          <w:szCs w:val="22"/>
        </w:rPr>
      </w:pPr>
    </w:p>
    <w:p w14:paraId="271C7A49" w14:textId="77777777" w:rsidR="00326518" w:rsidRDefault="00326518" w:rsidP="00326518">
      <w:pPr>
        <w:spacing w:line="360" w:lineRule="auto"/>
        <w:rPr>
          <w:rFonts w:ascii="Arial" w:hAnsi="Arial" w:cs="Arial"/>
          <w:b/>
          <w:bCs/>
          <w:sz w:val="22"/>
          <w:szCs w:val="22"/>
        </w:rPr>
      </w:pPr>
    </w:p>
    <w:p w14:paraId="0BF62E69" w14:textId="77777777" w:rsidR="00554769" w:rsidRDefault="00554769" w:rsidP="00326518">
      <w:pPr>
        <w:spacing w:line="360" w:lineRule="auto"/>
        <w:rPr>
          <w:rFonts w:ascii="Arial" w:hAnsi="Arial" w:cs="Arial"/>
          <w:b/>
          <w:bCs/>
          <w:sz w:val="22"/>
          <w:szCs w:val="22"/>
        </w:rPr>
      </w:pPr>
    </w:p>
    <w:p w14:paraId="24134C59" w14:textId="77777777" w:rsidR="00554769" w:rsidRDefault="00554769" w:rsidP="00326518">
      <w:pPr>
        <w:spacing w:line="360" w:lineRule="auto"/>
        <w:rPr>
          <w:rFonts w:ascii="Arial" w:hAnsi="Arial" w:cs="Arial"/>
          <w:b/>
          <w:bCs/>
          <w:sz w:val="22"/>
          <w:szCs w:val="22"/>
        </w:rPr>
      </w:pPr>
    </w:p>
    <w:p w14:paraId="1ABA9F86" w14:textId="77777777" w:rsidR="00554769" w:rsidRDefault="00554769" w:rsidP="00326518">
      <w:pPr>
        <w:spacing w:line="360" w:lineRule="auto"/>
        <w:rPr>
          <w:rFonts w:ascii="Arial" w:hAnsi="Arial" w:cs="Arial"/>
          <w:b/>
          <w:bCs/>
          <w:sz w:val="22"/>
          <w:szCs w:val="22"/>
        </w:rPr>
      </w:pPr>
    </w:p>
    <w:p w14:paraId="3B4CEFE8" w14:textId="77777777" w:rsidR="00554769" w:rsidRDefault="00554769" w:rsidP="00326518">
      <w:pPr>
        <w:spacing w:line="360" w:lineRule="auto"/>
        <w:rPr>
          <w:rFonts w:ascii="Arial" w:hAnsi="Arial" w:cs="Arial"/>
          <w:b/>
          <w:bCs/>
          <w:sz w:val="22"/>
          <w:szCs w:val="22"/>
        </w:rPr>
      </w:pPr>
    </w:p>
    <w:p w14:paraId="39A10474" w14:textId="77777777" w:rsidR="00554769" w:rsidRDefault="00554769" w:rsidP="00326518">
      <w:pPr>
        <w:spacing w:line="360" w:lineRule="auto"/>
        <w:rPr>
          <w:rFonts w:ascii="Arial" w:hAnsi="Arial" w:cs="Arial"/>
          <w:b/>
          <w:bCs/>
          <w:sz w:val="22"/>
          <w:szCs w:val="22"/>
        </w:rPr>
      </w:pPr>
    </w:p>
    <w:p w14:paraId="09F76866" w14:textId="77777777" w:rsidR="00554769" w:rsidRDefault="00554769" w:rsidP="00326518">
      <w:pPr>
        <w:spacing w:line="360" w:lineRule="auto"/>
        <w:rPr>
          <w:rFonts w:ascii="Arial" w:hAnsi="Arial" w:cs="Arial"/>
          <w:b/>
          <w:bCs/>
          <w:sz w:val="22"/>
          <w:szCs w:val="22"/>
        </w:rPr>
      </w:pPr>
    </w:p>
    <w:p w14:paraId="3965A6E9" w14:textId="50F04498" w:rsidR="00326518" w:rsidRDefault="00326518" w:rsidP="00326518">
      <w:pPr>
        <w:spacing w:line="360" w:lineRule="auto"/>
        <w:rPr>
          <w:rFonts w:ascii="Arial" w:hAnsi="Arial" w:cs="Arial"/>
          <w:b/>
          <w:bCs/>
          <w:sz w:val="22"/>
          <w:szCs w:val="22"/>
        </w:rPr>
      </w:pPr>
      <w:r>
        <w:rPr>
          <w:rFonts w:ascii="Arial" w:hAnsi="Arial" w:cs="Arial"/>
          <w:b/>
          <w:bCs/>
          <w:sz w:val="22"/>
          <w:szCs w:val="22"/>
        </w:rPr>
        <w:lastRenderedPageBreak/>
        <w:t>Content Page</w:t>
      </w:r>
    </w:p>
    <w:p w14:paraId="7927B939" w14:textId="5E015E2B" w:rsidR="00F15147" w:rsidRDefault="0070399D" w:rsidP="00326518">
      <w:pPr>
        <w:spacing w:line="360" w:lineRule="auto"/>
        <w:rPr>
          <w:rFonts w:ascii="Arial" w:hAnsi="Arial" w:cs="Arial"/>
          <w:sz w:val="22"/>
          <w:szCs w:val="22"/>
        </w:rPr>
      </w:pPr>
      <w:r>
        <w:rPr>
          <w:rFonts w:ascii="Arial" w:hAnsi="Arial" w:cs="Arial"/>
          <w:sz w:val="22"/>
          <w:szCs w:val="22"/>
        </w:rPr>
        <w:t>I</w:t>
      </w:r>
      <w:r w:rsidR="00F15147">
        <w:rPr>
          <w:rFonts w:ascii="Arial" w:hAnsi="Arial" w:cs="Arial"/>
          <w:sz w:val="22"/>
          <w:szCs w:val="22"/>
        </w:rPr>
        <w:t>ntr</w:t>
      </w:r>
      <w:r>
        <w:rPr>
          <w:rFonts w:ascii="Arial" w:hAnsi="Arial" w:cs="Arial"/>
          <w:sz w:val="22"/>
          <w:szCs w:val="22"/>
        </w:rPr>
        <w:t>oduction…………………………………………………………………………</w:t>
      </w:r>
      <w:proofErr w:type="gramStart"/>
      <w:r w:rsidR="00314786">
        <w:rPr>
          <w:rFonts w:ascii="Arial" w:hAnsi="Arial" w:cs="Arial"/>
          <w:sz w:val="22"/>
          <w:szCs w:val="22"/>
        </w:rPr>
        <w:t>,,</w:t>
      </w:r>
      <w:r>
        <w:rPr>
          <w:rFonts w:ascii="Arial" w:hAnsi="Arial" w:cs="Arial"/>
          <w:sz w:val="22"/>
          <w:szCs w:val="22"/>
        </w:rPr>
        <w:t>…</w:t>
      </w:r>
      <w:proofErr w:type="gramEnd"/>
      <w:r>
        <w:rPr>
          <w:rFonts w:ascii="Arial" w:hAnsi="Arial" w:cs="Arial"/>
          <w:sz w:val="22"/>
          <w:szCs w:val="22"/>
        </w:rPr>
        <w:t>. 3</w:t>
      </w:r>
    </w:p>
    <w:p w14:paraId="2E0C9501" w14:textId="77E85E8E" w:rsidR="00F3205C" w:rsidRDefault="00F3205C" w:rsidP="00F3205C">
      <w:pPr>
        <w:rPr>
          <w:rFonts w:ascii="Arial" w:hAnsi="Arial" w:cs="Arial"/>
          <w:sz w:val="22"/>
          <w:szCs w:val="22"/>
        </w:rPr>
      </w:pPr>
      <w:r w:rsidRPr="00F3205C">
        <w:rPr>
          <w:rFonts w:ascii="Arial" w:hAnsi="Arial" w:cs="Arial"/>
          <w:sz w:val="22"/>
          <w:szCs w:val="22"/>
        </w:rPr>
        <w:t>Signs, Symptoms and Risk Factors of Depression</w:t>
      </w:r>
      <w:r>
        <w:rPr>
          <w:rFonts w:ascii="Arial" w:hAnsi="Arial" w:cs="Arial"/>
          <w:sz w:val="22"/>
          <w:szCs w:val="22"/>
        </w:rPr>
        <w:t>……………………………….</w:t>
      </w:r>
      <w:r w:rsidR="00314786">
        <w:rPr>
          <w:rFonts w:ascii="Arial" w:hAnsi="Arial" w:cs="Arial"/>
          <w:sz w:val="22"/>
          <w:szCs w:val="22"/>
        </w:rPr>
        <w:t>.</w:t>
      </w:r>
      <w:r w:rsidR="00E97129">
        <w:rPr>
          <w:rFonts w:ascii="Arial" w:hAnsi="Arial" w:cs="Arial"/>
          <w:sz w:val="22"/>
          <w:szCs w:val="22"/>
        </w:rPr>
        <w:t xml:space="preserve">.. </w:t>
      </w:r>
      <w:r>
        <w:rPr>
          <w:rFonts w:ascii="Arial" w:hAnsi="Arial" w:cs="Arial"/>
          <w:sz w:val="22"/>
          <w:szCs w:val="22"/>
        </w:rPr>
        <w:t>3</w:t>
      </w:r>
    </w:p>
    <w:p w14:paraId="702157DB" w14:textId="7197E735" w:rsidR="00F3205C" w:rsidRDefault="00F3205C" w:rsidP="00F3205C">
      <w:pPr>
        <w:rPr>
          <w:rFonts w:ascii="Arial" w:hAnsi="Arial" w:cs="Arial"/>
          <w:sz w:val="22"/>
          <w:szCs w:val="22"/>
        </w:rPr>
      </w:pPr>
      <w:r w:rsidRPr="00F3205C">
        <w:rPr>
          <w:rFonts w:ascii="Arial" w:hAnsi="Arial" w:cs="Arial"/>
          <w:sz w:val="22"/>
          <w:szCs w:val="22"/>
        </w:rPr>
        <w:t>Measuring and Monitoring Depression</w:t>
      </w:r>
      <w:r>
        <w:rPr>
          <w:rFonts w:ascii="Arial" w:hAnsi="Arial" w:cs="Arial"/>
          <w:sz w:val="22"/>
          <w:szCs w:val="22"/>
        </w:rPr>
        <w:t>……………………………………………</w:t>
      </w:r>
      <w:r w:rsidR="0092707A">
        <w:rPr>
          <w:rFonts w:ascii="Arial" w:hAnsi="Arial" w:cs="Arial"/>
          <w:sz w:val="22"/>
          <w:szCs w:val="22"/>
        </w:rPr>
        <w:t>…. 4</w:t>
      </w:r>
    </w:p>
    <w:p w14:paraId="32A6B02D" w14:textId="6B8DC24E" w:rsidR="00F3205C" w:rsidRDefault="00F3205C" w:rsidP="00F3205C">
      <w:pPr>
        <w:rPr>
          <w:rFonts w:ascii="Arial" w:hAnsi="Arial" w:cs="Arial"/>
          <w:sz w:val="22"/>
          <w:szCs w:val="22"/>
        </w:rPr>
      </w:pPr>
      <w:r w:rsidRPr="00F3205C">
        <w:rPr>
          <w:rFonts w:ascii="Arial" w:hAnsi="Arial" w:cs="Arial"/>
          <w:sz w:val="22"/>
          <w:szCs w:val="22"/>
        </w:rPr>
        <w:t>Controlling Depression</w:t>
      </w:r>
      <w:r>
        <w:rPr>
          <w:rFonts w:ascii="Arial" w:hAnsi="Arial" w:cs="Arial"/>
          <w:sz w:val="22"/>
          <w:szCs w:val="22"/>
        </w:rPr>
        <w:t>…………………………………………………………………</w:t>
      </w:r>
      <w:r w:rsidR="0092707A">
        <w:rPr>
          <w:rFonts w:ascii="Arial" w:hAnsi="Arial" w:cs="Arial"/>
          <w:sz w:val="22"/>
          <w:szCs w:val="22"/>
        </w:rPr>
        <w:t>.</w:t>
      </w:r>
      <w:r>
        <w:rPr>
          <w:rFonts w:ascii="Arial" w:hAnsi="Arial" w:cs="Arial"/>
          <w:sz w:val="22"/>
          <w:szCs w:val="22"/>
        </w:rPr>
        <w:t xml:space="preserve"> 4</w:t>
      </w:r>
    </w:p>
    <w:p w14:paraId="04521CED" w14:textId="3FE96584" w:rsidR="00F3205C" w:rsidRDefault="00F3205C" w:rsidP="00F3205C">
      <w:pPr>
        <w:rPr>
          <w:rFonts w:ascii="Arial" w:hAnsi="Arial" w:cs="Arial"/>
          <w:sz w:val="22"/>
          <w:szCs w:val="22"/>
        </w:rPr>
      </w:pPr>
      <w:r w:rsidRPr="00F3205C">
        <w:rPr>
          <w:rFonts w:ascii="Arial" w:hAnsi="Arial" w:cs="Arial"/>
          <w:sz w:val="22"/>
          <w:szCs w:val="22"/>
        </w:rPr>
        <w:t>Consequences of Depression for the Community</w:t>
      </w:r>
      <w:r>
        <w:rPr>
          <w:rFonts w:ascii="Arial" w:hAnsi="Arial" w:cs="Arial"/>
          <w:sz w:val="22"/>
          <w:szCs w:val="22"/>
        </w:rPr>
        <w:t>…………………………………</w:t>
      </w:r>
      <w:r w:rsidR="00314786">
        <w:rPr>
          <w:rFonts w:ascii="Arial" w:hAnsi="Arial" w:cs="Arial"/>
          <w:sz w:val="22"/>
          <w:szCs w:val="22"/>
        </w:rPr>
        <w:t>…</w:t>
      </w:r>
      <w:r w:rsidR="0092707A">
        <w:rPr>
          <w:rFonts w:ascii="Arial" w:hAnsi="Arial" w:cs="Arial"/>
          <w:sz w:val="22"/>
          <w:szCs w:val="22"/>
        </w:rPr>
        <w:t xml:space="preserve"> 5</w:t>
      </w:r>
    </w:p>
    <w:p w14:paraId="00345361" w14:textId="5D7B47F6" w:rsidR="00F3205C" w:rsidRDefault="00E97129" w:rsidP="00F3205C">
      <w:pPr>
        <w:rPr>
          <w:rFonts w:ascii="Arial" w:hAnsi="Arial" w:cs="Arial"/>
          <w:sz w:val="22"/>
          <w:szCs w:val="22"/>
        </w:rPr>
      </w:pPr>
      <w:r w:rsidRPr="00E97129">
        <w:rPr>
          <w:rFonts w:ascii="Arial" w:hAnsi="Arial" w:cs="Arial"/>
          <w:sz w:val="22"/>
          <w:szCs w:val="22"/>
        </w:rPr>
        <w:t>Health and Social Care Support Services</w:t>
      </w:r>
      <w:r>
        <w:rPr>
          <w:rFonts w:ascii="Arial" w:hAnsi="Arial" w:cs="Arial"/>
          <w:sz w:val="22"/>
          <w:szCs w:val="22"/>
        </w:rPr>
        <w:t>…………………………………………</w:t>
      </w:r>
      <w:r w:rsidR="00314786">
        <w:rPr>
          <w:rFonts w:ascii="Arial" w:hAnsi="Arial" w:cs="Arial"/>
          <w:sz w:val="22"/>
          <w:szCs w:val="22"/>
        </w:rPr>
        <w:t>…. 5</w:t>
      </w:r>
    </w:p>
    <w:p w14:paraId="441A1240" w14:textId="7058EBC1" w:rsidR="00314786" w:rsidRDefault="00314786" w:rsidP="00F3205C">
      <w:pPr>
        <w:rPr>
          <w:rFonts w:ascii="Arial" w:hAnsi="Arial" w:cs="Arial"/>
          <w:sz w:val="22"/>
          <w:szCs w:val="22"/>
        </w:rPr>
      </w:pPr>
      <w:r>
        <w:rPr>
          <w:rFonts w:ascii="Arial" w:hAnsi="Arial" w:cs="Arial"/>
          <w:sz w:val="22"/>
          <w:szCs w:val="22"/>
        </w:rPr>
        <w:t>Concl</w:t>
      </w:r>
      <w:r w:rsidR="00AD7160">
        <w:rPr>
          <w:rFonts w:ascii="Arial" w:hAnsi="Arial" w:cs="Arial"/>
          <w:sz w:val="22"/>
          <w:szCs w:val="22"/>
        </w:rPr>
        <w:t>usion……………………………………………………………………………</w:t>
      </w:r>
      <w:proofErr w:type="gramStart"/>
      <w:r w:rsidR="00AD7160">
        <w:rPr>
          <w:rFonts w:ascii="Arial" w:hAnsi="Arial" w:cs="Arial"/>
          <w:sz w:val="22"/>
          <w:szCs w:val="22"/>
        </w:rPr>
        <w:t>….</w:t>
      </w:r>
      <w:r w:rsidR="00AB109F">
        <w:rPr>
          <w:rFonts w:ascii="Arial" w:hAnsi="Arial" w:cs="Arial"/>
          <w:sz w:val="22"/>
          <w:szCs w:val="22"/>
        </w:rPr>
        <w:t>.</w:t>
      </w:r>
      <w:proofErr w:type="gramEnd"/>
      <w:r w:rsidR="00AB109F">
        <w:rPr>
          <w:rFonts w:ascii="Arial" w:hAnsi="Arial" w:cs="Arial"/>
          <w:sz w:val="22"/>
          <w:szCs w:val="22"/>
        </w:rPr>
        <w:t xml:space="preserve"> 6</w:t>
      </w:r>
    </w:p>
    <w:p w14:paraId="60DC6911" w14:textId="33DD7D61" w:rsidR="00AB109F" w:rsidRPr="00F3205C" w:rsidRDefault="00AB109F" w:rsidP="00F3205C">
      <w:pPr>
        <w:rPr>
          <w:rFonts w:ascii="Arial" w:hAnsi="Arial" w:cs="Arial"/>
          <w:sz w:val="22"/>
          <w:szCs w:val="22"/>
        </w:rPr>
      </w:pPr>
      <w:r>
        <w:rPr>
          <w:rFonts w:ascii="Arial" w:hAnsi="Arial" w:cs="Arial"/>
          <w:sz w:val="22"/>
          <w:szCs w:val="22"/>
        </w:rPr>
        <w:t xml:space="preserve">References </w:t>
      </w:r>
      <w:r w:rsidR="007036A3">
        <w:rPr>
          <w:rFonts w:ascii="Arial" w:hAnsi="Arial" w:cs="Arial"/>
          <w:sz w:val="22"/>
          <w:szCs w:val="22"/>
        </w:rPr>
        <w:t>list…………………………………………………………………………… 7</w:t>
      </w:r>
    </w:p>
    <w:p w14:paraId="3B902614" w14:textId="77777777" w:rsidR="00F3205C" w:rsidRDefault="00F3205C" w:rsidP="00326518">
      <w:pPr>
        <w:spacing w:line="360" w:lineRule="auto"/>
        <w:rPr>
          <w:rFonts w:ascii="Arial" w:hAnsi="Arial" w:cs="Arial"/>
          <w:sz w:val="22"/>
          <w:szCs w:val="22"/>
        </w:rPr>
      </w:pPr>
    </w:p>
    <w:p w14:paraId="5D62239C" w14:textId="77777777" w:rsidR="0070399D" w:rsidRPr="00F15147" w:rsidRDefault="0070399D" w:rsidP="00326518">
      <w:pPr>
        <w:spacing w:line="360" w:lineRule="auto"/>
        <w:rPr>
          <w:rFonts w:ascii="Arial" w:hAnsi="Arial" w:cs="Arial"/>
          <w:sz w:val="22"/>
          <w:szCs w:val="22"/>
        </w:rPr>
      </w:pPr>
    </w:p>
    <w:p w14:paraId="05909785" w14:textId="77777777" w:rsidR="00326518" w:rsidRDefault="00326518" w:rsidP="00326518">
      <w:pPr>
        <w:spacing w:line="360" w:lineRule="auto"/>
        <w:rPr>
          <w:rFonts w:ascii="Arial" w:hAnsi="Arial" w:cs="Arial"/>
          <w:b/>
          <w:bCs/>
          <w:sz w:val="22"/>
          <w:szCs w:val="22"/>
        </w:rPr>
      </w:pPr>
    </w:p>
    <w:p w14:paraId="16297B32" w14:textId="77777777" w:rsidR="00326518" w:rsidRDefault="00326518" w:rsidP="00326518">
      <w:pPr>
        <w:spacing w:line="360" w:lineRule="auto"/>
        <w:rPr>
          <w:rFonts w:ascii="Arial" w:hAnsi="Arial" w:cs="Arial"/>
          <w:b/>
          <w:bCs/>
          <w:sz w:val="22"/>
          <w:szCs w:val="22"/>
        </w:rPr>
      </w:pPr>
    </w:p>
    <w:p w14:paraId="3D1EB9DF" w14:textId="77777777" w:rsidR="00326518" w:rsidRDefault="00326518" w:rsidP="00326518">
      <w:pPr>
        <w:spacing w:line="360" w:lineRule="auto"/>
        <w:rPr>
          <w:rFonts w:ascii="Arial" w:hAnsi="Arial" w:cs="Arial"/>
          <w:b/>
          <w:bCs/>
          <w:sz w:val="22"/>
          <w:szCs w:val="22"/>
        </w:rPr>
      </w:pPr>
    </w:p>
    <w:p w14:paraId="091C50A6" w14:textId="77777777" w:rsidR="00326518" w:rsidRDefault="00326518" w:rsidP="00326518">
      <w:pPr>
        <w:spacing w:line="360" w:lineRule="auto"/>
        <w:rPr>
          <w:rFonts w:ascii="Arial" w:hAnsi="Arial" w:cs="Arial"/>
          <w:b/>
          <w:bCs/>
          <w:sz w:val="22"/>
          <w:szCs w:val="22"/>
        </w:rPr>
      </w:pPr>
    </w:p>
    <w:p w14:paraId="4D1E5C99" w14:textId="77777777" w:rsidR="00326518" w:rsidRDefault="00326518" w:rsidP="00326518">
      <w:pPr>
        <w:spacing w:line="360" w:lineRule="auto"/>
        <w:rPr>
          <w:rFonts w:ascii="Arial" w:hAnsi="Arial" w:cs="Arial"/>
          <w:b/>
          <w:bCs/>
          <w:sz w:val="22"/>
          <w:szCs w:val="22"/>
        </w:rPr>
      </w:pPr>
    </w:p>
    <w:p w14:paraId="642BA817" w14:textId="77777777" w:rsidR="00326518" w:rsidRDefault="00326518" w:rsidP="00326518">
      <w:pPr>
        <w:spacing w:line="360" w:lineRule="auto"/>
        <w:rPr>
          <w:rFonts w:ascii="Arial" w:hAnsi="Arial" w:cs="Arial"/>
          <w:b/>
          <w:bCs/>
          <w:sz w:val="22"/>
          <w:szCs w:val="22"/>
        </w:rPr>
      </w:pPr>
    </w:p>
    <w:p w14:paraId="17D2AE98" w14:textId="77777777" w:rsidR="00326518" w:rsidRDefault="00326518" w:rsidP="00326518">
      <w:pPr>
        <w:spacing w:line="360" w:lineRule="auto"/>
        <w:rPr>
          <w:rFonts w:ascii="Arial" w:hAnsi="Arial" w:cs="Arial"/>
          <w:b/>
          <w:bCs/>
          <w:sz w:val="22"/>
          <w:szCs w:val="22"/>
        </w:rPr>
      </w:pPr>
    </w:p>
    <w:p w14:paraId="4C57EAB7" w14:textId="77777777" w:rsidR="00326518" w:rsidRDefault="00326518" w:rsidP="00326518">
      <w:pPr>
        <w:spacing w:line="360" w:lineRule="auto"/>
        <w:rPr>
          <w:rFonts w:ascii="Arial" w:hAnsi="Arial" w:cs="Arial"/>
          <w:b/>
          <w:bCs/>
          <w:sz w:val="22"/>
          <w:szCs w:val="22"/>
        </w:rPr>
      </w:pPr>
    </w:p>
    <w:p w14:paraId="61CA84C1" w14:textId="77777777" w:rsidR="00326518" w:rsidRDefault="00326518" w:rsidP="00326518">
      <w:pPr>
        <w:spacing w:line="360" w:lineRule="auto"/>
        <w:rPr>
          <w:rFonts w:ascii="Arial" w:hAnsi="Arial" w:cs="Arial"/>
          <w:b/>
          <w:bCs/>
          <w:sz w:val="22"/>
          <w:szCs w:val="22"/>
        </w:rPr>
      </w:pPr>
    </w:p>
    <w:p w14:paraId="746D932C" w14:textId="77777777" w:rsidR="00326518" w:rsidRDefault="00326518" w:rsidP="00326518">
      <w:pPr>
        <w:spacing w:line="360" w:lineRule="auto"/>
        <w:rPr>
          <w:rFonts w:ascii="Arial" w:hAnsi="Arial" w:cs="Arial"/>
          <w:b/>
          <w:bCs/>
          <w:sz w:val="22"/>
          <w:szCs w:val="22"/>
        </w:rPr>
      </w:pPr>
    </w:p>
    <w:p w14:paraId="53BC83EE" w14:textId="77777777" w:rsidR="00326518" w:rsidRDefault="00326518" w:rsidP="00326518">
      <w:pPr>
        <w:spacing w:line="360" w:lineRule="auto"/>
        <w:rPr>
          <w:rFonts w:ascii="Arial" w:hAnsi="Arial" w:cs="Arial"/>
          <w:b/>
          <w:bCs/>
          <w:sz w:val="22"/>
          <w:szCs w:val="22"/>
        </w:rPr>
      </w:pPr>
    </w:p>
    <w:p w14:paraId="575512CA" w14:textId="77777777" w:rsidR="00326518" w:rsidRDefault="00326518" w:rsidP="00326518">
      <w:pPr>
        <w:spacing w:line="360" w:lineRule="auto"/>
        <w:rPr>
          <w:rFonts w:ascii="Arial" w:hAnsi="Arial" w:cs="Arial"/>
          <w:b/>
          <w:bCs/>
          <w:sz w:val="22"/>
          <w:szCs w:val="22"/>
        </w:rPr>
      </w:pPr>
    </w:p>
    <w:p w14:paraId="32C74655" w14:textId="77777777" w:rsidR="00326518" w:rsidRDefault="00326518" w:rsidP="00326518">
      <w:pPr>
        <w:spacing w:line="360" w:lineRule="auto"/>
        <w:rPr>
          <w:rFonts w:ascii="Arial" w:hAnsi="Arial" w:cs="Arial"/>
          <w:b/>
          <w:bCs/>
          <w:sz w:val="22"/>
          <w:szCs w:val="22"/>
        </w:rPr>
      </w:pPr>
    </w:p>
    <w:p w14:paraId="77E44C9D" w14:textId="77777777" w:rsidR="00326518" w:rsidRDefault="00326518" w:rsidP="00326518">
      <w:pPr>
        <w:spacing w:line="360" w:lineRule="auto"/>
        <w:rPr>
          <w:rFonts w:ascii="Arial" w:hAnsi="Arial" w:cs="Arial"/>
          <w:b/>
          <w:bCs/>
          <w:sz w:val="22"/>
          <w:szCs w:val="22"/>
        </w:rPr>
      </w:pPr>
    </w:p>
    <w:p w14:paraId="465BE5EC" w14:textId="77777777" w:rsidR="00326518" w:rsidRDefault="00326518" w:rsidP="00326518">
      <w:pPr>
        <w:spacing w:line="360" w:lineRule="auto"/>
        <w:rPr>
          <w:rFonts w:ascii="Arial" w:hAnsi="Arial" w:cs="Arial"/>
          <w:b/>
          <w:bCs/>
          <w:sz w:val="22"/>
          <w:szCs w:val="22"/>
        </w:rPr>
      </w:pPr>
    </w:p>
    <w:p w14:paraId="1727E8A2" w14:textId="77777777" w:rsidR="00326518" w:rsidRDefault="00326518" w:rsidP="00326518">
      <w:pPr>
        <w:spacing w:line="360" w:lineRule="auto"/>
        <w:rPr>
          <w:rFonts w:ascii="Arial" w:hAnsi="Arial" w:cs="Arial"/>
          <w:b/>
          <w:bCs/>
          <w:sz w:val="22"/>
          <w:szCs w:val="22"/>
        </w:rPr>
      </w:pPr>
    </w:p>
    <w:p w14:paraId="5FC46757" w14:textId="77777777" w:rsidR="00AB109F" w:rsidRDefault="00AB109F" w:rsidP="001268B1">
      <w:pPr>
        <w:shd w:val="clear" w:color="auto" w:fill="FFFFFF"/>
        <w:spacing w:after="0" w:line="240" w:lineRule="auto"/>
        <w:textAlignment w:val="baseline"/>
        <w:rPr>
          <w:rFonts w:ascii="Arial" w:hAnsi="Arial" w:cs="Arial"/>
          <w:b/>
          <w:bCs/>
          <w:sz w:val="22"/>
          <w:szCs w:val="22"/>
        </w:rPr>
      </w:pPr>
    </w:p>
    <w:p w14:paraId="36F66945" w14:textId="5AD60681" w:rsidR="001268B1" w:rsidRPr="00F3205C" w:rsidRDefault="001268B1" w:rsidP="001268B1">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sidRPr="00F3205C">
        <w:rPr>
          <w:rFonts w:ascii="Aptos" w:eastAsia="Times New Roman" w:hAnsi="Aptos" w:cs="Times New Roman"/>
          <w:b/>
          <w:bCs/>
          <w:color w:val="000000"/>
          <w:kern w:val="0"/>
          <w:lang w:eastAsia="en-GB"/>
          <w14:ligatures w14:val="none"/>
        </w:rPr>
        <w:t xml:space="preserve">Introduction </w:t>
      </w:r>
    </w:p>
    <w:p w14:paraId="511B5B6E" w14:textId="08987327" w:rsidR="001268B1" w:rsidRDefault="001268B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1268B1">
        <w:rPr>
          <w:rFonts w:ascii="Aptos" w:eastAsia="Times New Roman" w:hAnsi="Aptos" w:cs="Times New Roman"/>
          <w:color w:val="000000"/>
          <w:kern w:val="0"/>
          <w:lang w:eastAsia="en-GB"/>
          <w14:ligatures w14:val="none"/>
        </w:rPr>
        <w:t>Depression, clinically known as Major Depressive Disorder, is a common but serious mental health condition that causes persistent low mood, loss of interest in activities once enjoyed, and a range of physical and emotional difficulties, interfering with a person’s ability to function at home, work, or socially (NHS, 2024). Key signs and symptoms include feeling sad or empty most days, losing interest in hobbies, changes in appetite or sleep patterns, fatigue, difficulty concentrating, feelings of worthlessness or guilt, and recurrent thoughts of death or suicide (NICE, 2022). Globally, over 280 million people live with depression—around 3.8% of the world’s population—with rates rising since the COVID-19 pandemic (WHO, 2023). In the UK, approximately 1 in 6 adults experience depressive symptoms in any given week, and around 7.8% meet the criteria for a formal diagnosis, making it one of the nation’s leading public health priorities (Mental Health Foundation, 2024).</w:t>
      </w:r>
    </w:p>
    <w:p w14:paraId="2EDD1496" w14:textId="77777777" w:rsidR="00FA3929" w:rsidRDefault="00FA3929"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7F15DEDA"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sidRPr="00FA3929">
        <w:rPr>
          <w:rFonts w:ascii="Aptos" w:eastAsia="Times New Roman" w:hAnsi="Aptos" w:cs="Times New Roman"/>
          <w:b/>
          <w:bCs/>
          <w:color w:val="000000"/>
          <w:kern w:val="0"/>
          <w:lang w:eastAsia="en-GB"/>
          <w14:ligatures w14:val="none"/>
        </w:rPr>
        <w:t>Signs, Symptoms and Risk Factors of Depression</w:t>
      </w:r>
    </w:p>
    <w:p w14:paraId="0513438A"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Depression is a complex mental health condition that varies widely between individuals, yet certain core symptoms must be present for at least two weeks and significantly interfere with daily functioning for a clinical diagnosis to be made (NICE, 2022). Emotional symptoms are often the most recognisable. People may experience persistent sadness, irritability, or a sense of hopelessness that does not improve even when circumstances change. Many describe feeling emotionally “numb” or empty, struggling to connect with others or enjoy activities they previously found meaningful. These emotional changes can also manifest as increased tearfulness, frustration, or a heightened sensitivity to stress.</w:t>
      </w:r>
    </w:p>
    <w:p w14:paraId="4F12BFCD"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1D54FDEE"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Physical symptoms are equally important and can be easily overlooked or misattributed to other health conditions. Individuals may experience unexplained aches and pains, headaches, digestive issues, or noticeable changes in appetite and weight. Sleep disturbances are common, ranging from insomnia to hypersomnia, and many people report constant tiredness or fatigue that makes everyday tasks feel overwhelming (NHS, 2024). These physical symptoms can contribute to a cycle where low energy reduces motivation, which in turn worsens emotional distress.</w:t>
      </w:r>
    </w:p>
    <w:p w14:paraId="609E60DC"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36F6CA1D"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Cognitive and behavioural symptoms further shape the experience of depression. People may struggle to concentrate, make decisions, or remember information. Tasks that once felt simple can become difficult, leading to frustration and withdrawal from responsibilities. Behaviourally, individuals may isolate themselves from friends, family, and social activities, lose interest in hobbies, or experience reduced motivation at work or school. In more severe cases, depression can lead to self-harm or suicidal thoughts, highlighting the importance of early identification and support (NHS, 2024).</w:t>
      </w:r>
    </w:p>
    <w:p w14:paraId="34B48D7B"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0DA48473"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 xml:space="preserve">Risk factors for depression arise from a combination of biological, psychological, and social influences. Biological factors include a family history of depression or other mental health conditions, suggesting a genetic component. Changes in brain chemistry, particularly involving neurotransmitters such as serotonin and dopamine, can also increase vulnerability. Chronic physical illnesses—such as diabetes, heart </w:t>
      </w:r>
      <w:r w:rsidRPr="00FA3929">
        <w:rPr>
          <w:rFonts w:ascii="Aptos" w:eastAsia="Times New Roman" w:hAnsi="Aptos" w:cs="Times New Roman"/>
          <w:color w:val="000000"/>
          <w:kern w:val="0"/>
          <w:lang w:eastAsia="en-GB"/>
          <w14:ligatures w14:val="none"/>
        </w:rPr>
        <w:lastRenderedPageBreak/>
        <w:t>disease, or chronic pain—are strongly associated with higher rates of depression due to both physiological and lifestyle impacts (WHO, 2023).</w:t>
      </w:r>
    </w:p>
    <w:p w14:paraId="7B79DE4E"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0D524ED3"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 xml:space="preserve">Psychological risk factors often relate to past or ongoing experiences. Trauma, abuse, or neglect in childhood or adulthood can significantly increase the likelihood of developing depression later in life. Long-term stress, low self-esteem, and difficulties managing emotions also contribute to psychological vulnerability. Social and environmental factors are particularly relevant in the UK context. Poverty, unemployment, insecure housing, discrimination, and social isolation all </w:t>
      </w:r>
      <w:proofErr w:type="gramStart"/>
      <w:r w:rsidRPr="00FA3929">
        <w:rPr>
          <w:rFonts w:ascii="Aptos" w:eastAsia="Times New Roman" w:hAnsi="Aptos" w:cs="Times New Roman"/>
          <w:color w:val="000000"/>
          <w:kern w:val="0"/>
          <w:lang w:eastAsia="en-GB"/>
          <w14:ligatures w14:val="none"/>
        </w:rPr>
        <w:t>increase</w:t>
      </w:r>
      <w:proofErr w:type="gramEnd"/>
      <w:r w:rsidRPr="00FA3929">
        <w:rPr>
          <w:rFonts w:ascii="Aptos" w:eastAsia="Times New Roman" w:hAnsi="Aptos" w:cs="Times New Roman"/>
          <w:color w:val="000000"/>
          <w:kern w:val="0"/>
          <w:lang w:eastAsia="en-GB"/>
          <w14:ligatures w14:val="none"/>
        </w:rPr>
        <w:t xml:space="preserve"> risk, as do major life events such as bereavement, relationship breakdown, or becoming a carer without adequate support (Mental Health Foundation, 2024). Certain groups face higher risk: women are nearly twice as likely as men to experience depression, and prevalence is significantly higher among people living in deprived communities, reflecting broader health inequalities.</w:t>
      </w:r>
    </w:p>
    <w:p w14:paraId="29A6AB20"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79FFC67C"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sidRPr="00FA3929">
        <w:rPr>
          <w:rFonts w:ascii="Aptos" w:eastAsia="Times New Roman" w:hAnsi="Aptos" w:cs="Times New Roman"/>
          <w:b/>
          <w:bCs/>
          <w:color w:val="000000"/>
          <w:kern w:val="0"/>
          <w:lang w:eastAsia="en-GB"/>
          <w14:ligatures w14:val="none"/>
        </w:rPr>
        <w:t>Measuring and Monitoring Depression</w:t>
      </w:r>
    </w:p>
    <w:p w14:paraId="646E7769"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Accurate measurement and monitoring of depression are essential for effective treatment and public health planning. In UK primary care, the Patient Health Questionnaire</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9 (PHQ</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9) is the most widely used screening tool. It assesses nine key symptoms over the previous two weeks, with scores indicating severity and guiding decisions about treatment or referral (NICE, 2022). The PHQ</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9 helps clinicians identify whether symptoms are mild, moderate, or severe, and supports consistent assessment across different services.</w:t>
      </w:r>
    </w:p>
    <w:p w14:paraId="64CD5F45"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Formal diagnosis typically follows criteria outlined in the International Classification of Diseases (ICD</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11) or the Diagnostic and Statistical Manual of Mental Disorders (DSM</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5). These frameworks ensure that depression is diagnosed consistently, based on symptom patterns, duration, and impact on functioning. They also help differentiate depression from other mental health conditions such as anxiety disorders, bipolar disorder, or adjustment disorders.</w:t>
      </w:r>
    </w:p>
    <w:p w14:paraId="096399DA"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At a population level, monitoring depression involves large-scale surveys and routine data collection. The NHS Adult Psychiatric Morbidity Survey provides detailed information on prevalence, trends, and inequalities across age groups, regions, and demographic backgrounds (NHS, 2024). This data helps identify which communities are most affected and where additional resources may be needed. Routine data from GP records, hospital admissions, and mental health service use also contribute to national monitoring. These datasets help track how many people are seeking support, what treatments they receive, and where gaps in provision exist.</w:t>
      </w:r>
    </w:p>
    <w:p w14:paraId="4D120368"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471983FF"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sidRPr="00FA3929">
        <w:rPr>
          <w:rFonts w:ascii="Aptos" w:eastAsia="Times New Roman" w:hAnsi="Aptos" w:cs="Times New Roman"/>
          <w:b/>
          <w:bCs/>
          <w:color w:val="000000"/>
          <w:kern w:val="0"/>
          <w:lang w:eastAsia="en-GB"/>
          <w14:ligatures w14:val="none"/>
        </w:rPr>
        <w:t>Controlling Depression</w:t>
      </w:r>
    </w:p>
    <w:p w14:paraId="38E9B7F6"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Controlling depression requires a tiered, multi</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level approach aligned with UK public health and clinical guidelines. Prevention focuses on reducing risk factors and promoting mental wellbeing across the population. Universal measures include public education campaigns, policies aimed at reducing poverty and improving housing, and initiatives to build resilience in schools, workplaces, and communities (Mental Health Foundation, 2024). These interventions aim to create environments that support mental health and reduce exposure to stressors.</w:t>
      </w:r>
    </w:p>
    <w:p w14:paraId="20771D9C"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lastRenderedPageBreak/>
        <w:t>Targeted prevention is directed at groups known to be at higher risk, such as new parents, people with chronic health conditions, survivors of trauma, or individuals living in deprived areas. Providing early support—such as parenting programmes, social prescribing, or community mental health outreach—can reduce the likelihood of depression developing or worsening.</w:t>
      </w:r>
    </w:p>
    <w:p w14:paraId="67F41459"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For individuals already experiencing depression, NICE (2022) recommends evidence</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based treatments tailored to severity. Mild depression may be managed through guided self</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help, exercise programmes, peer support groups, or digital interventions such as online CBT modules. Moderate to severe depression often requires structured talking therapies, particularly Cognitive Behavioural Therapy (CBT), interpersonal therapy, or counselling. Antidepressant medication may be offered alongside therapy when appropriate, especially for individuals with severe or persistent symptoms.</w:t>
      </w:r>
    </w:p>
    <w:p w14:paraId="163AF559"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Ongoing monitoring is crucial to prevent relapse. Regular follow</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up appointments, relapse prevention plans, and access to crisis support help individuals maintain progress. Anti</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stigma campaigns also play a vital role by encouraging people to seek help early and reducing barriers created by shame or misunderstanding.</w:t>
      </w:r>
    </w:p>
    <w:p w14:paraId="6EE302DD"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p>
    <w:p w14:paraId="15F1C695"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sidRPr="00FA3929">
        <w:rPr>
          <w:rFonts w:ascii="Aptos" w:eastAsia="Times New Roman" w:hAnsi="Aptos" w:cs="Times New Roman"/>
          <w:b/>
          <w:bCs/>
          <w:color w:val="000000"/>
          <w:kern w:val="0"/>
          <w:lang w:eastAsia="en-GB"/>
          <w14:ligatures w14:val="none"/>
        </w:rPr>
        <w:t>Consequences of Depression for the Community</w:t>
      </w:r>
    </w:p>
    <w:p w14:paraId="775C03FD"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Depression has wide</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ranging consequences that extend beyond the individual. Physically, untreated depression increases the risk of other health conditions, including heart disease, stroke, and chronic pain. People with severe depression also face a higher risk of suicide, making early intervention a public health priority (WHO, 2023).</w:t>
      </w:r>
    </w:p>
    <w:p w14:paraId="6BD03DBA"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Socially, depression can strain relationships, contribute to family conflict, and lead to social isolation. Difficulties maintaining employment or education can result in financial hardship, which may further worsen mental health. At a community level, depression contributes to cycles of disadvantage, particularly in areas already facing socioeconomic challenges.</w:t>
      </w:r>
    </w:p>
    <w:p w14:paraId="70478A04"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Economically, depression places a significant burden on the UK. The Mental Health Foundation (2024) estimates that depression costs around £100 billion annually through sickness absence, reduced productivity, and healthcare spending. This includes costs to employers, the NHS, and wider society.</w:t>
      </w:r>
    </w:p>
    <w:p w14:paraId="624194B5" w14:textId="36983ACB"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impact on children and families is also substantial. Children growing up with a parent experiencing untreated depression are more likely to face developmental, emotional, and behavioural difficulties. This intergenerational effect highlights the importance of accessible support for parents and families.</w:t>
      </w:r>
    </w:p>
    <w:p w14:paraId="63A25EEA"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Health inequalities are further widened by depression. People living in deprived areas experience higher rates of depression and often face barriers to accessing timely support. This places additional pressure on local services and contributes to unequal health outcomes across the UK.</w:t>
      </w:r>
    </w:p>
    <w:p w14:paraId="672024B3"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572CE43B" w14:textId="77777777" w:rsidR="00FA3929" w:rsidRPr="005B133D" w:rsidRDefault="00FA3929" w:rsidP="00FA3929">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sidRPr="005B133D">
        <w:rPr>
          <w:rFonts w:ascii="Aptos" w:eastAsia="Times New Roman" w:hAnsi="Aptos" w:cs="Times New Roman"/>
          <w:b/>
          <w:bCs/>
          <w:color w:val="000000"/>
          <w:kern w:val="0"/>
          <w:lang w:eastAsia="en-GB"/>
          <w14:ligatures w14:val="none"/>
        </w:rPr>
        <w:t>Health and Social Care Support Services</w:t>
      </w:r>
    </w:p>
    <w:p w14:paraId="703C9947"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 xml:space="preserve">A coordinated network of health and social care services is essential to meet the needs of people with depression. Primary care is usually the first point of contact, where GPs and practice nurses provide initial assessment, advice, and referrals to specialist services (NHS, 2024). Improving Access to Psychological Therapies (IAPT) services offer talking therapies such as CBT, counselling, and group interventions. Community </w:t>
      </w:r>
      <w:r w:rsidRPr="00FA3929">
        <w:rPr>
          <w:rFonts w:ascii="Aptos" w:eastAsia="Times New Roman" w:hAnsi="Aptos" w:cs="Times New Roman"/>
          <w:color w:val="000000"/>
          <w:kern w:val="0"/>
          <w:lang w:eastAsia="en-GB"/>
          <w14:ligatures w14:val="none"/>
        </w:rPr>
        <w:lastRenderedPageBreak/>
        <w:t>mental health teams support individuals with complex or long</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term needs, providing multidisciplinary care involving psychiatrists, psychologists, social workers, and occupational therapists.</w:t>
      </w:r>
    </w:p>
    <w:p w14:paraId="74684FB7" w14:textId="77777777" w:rsidR="00FA3929" w:rsidRPr="00FA3929"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Crisis services—including crisis resolution teams and helplines—offer urgent support for individuals at risk of harm. Social care services provide practical assistance with housing, benefits, employment support, and caring responsibilities. These services help address the social determinants of mental health, which are often central to recovery.</w:t>
      </w:r>
    </w:p>
    <w:p w14:paraId="4E5CA779" w14:textId="4F235042" w:rsidR="008677FB" w:rsidRPr="001268B1" w:rsidRDefault="00FA3929" w:rsidP="00FA3929">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FA3929">
        <w:rPr>
          <w:rFonts w:ascii="Aptos" w:eastAsia="Times New Roman" w:hAnsi="Aptos" w:cs="Times New Roman"/>
          <w:color w:val="000000"/>
          <w:kern w:val="0"/>
          <w:lang w:eastAsia="en-GB"/>
          <w14:ligatures w14:val="none"/>
        </w:rPr>
        <w:t>Voluntary organisations such as Mind, Rethink Mental Illness, and Samaritans play a vital role in filling gaps where statutory services are limited. They offer helplines, peer support groups, advocacy, and community</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based programmes. Effective support relies on collaboration across health, social care, and voluntary sectors to deliver person</w:t>
      </w:r>
      <w:r w:rsidRPr="00FA3929">
        <w:rPr>
          <w:rFonts w:ascii="Cambria Math" w:eastAsia="Times New Roman" w:hAnsi="Cambria Math" w:cs="Cambria Math"/>
          <w:color w:val="000000"/>
          <w:kern w:val="0"/>
          <w:lang w:eastAsia="en-GB"/>
          <w14:ligatures w14:val="none"/>
        </w:rPr>
        <w:t>‑</w:t>
      </w:r>
      <w:r w:rsidRPr="00FA3929">
        <w:rPr>
          <w:rFonts w:ascii="Aptos" w:eastAsia="Times New Roman" w:hAnsi="Aptos" w:cs="Times New Roman"/>
          <w:color w:val="000000"/>
          <w:kern w:val="0"/>
          <w:lang w:eastAsia="en-GB"/>
          <w14:ligatures w14:val="none"/>
        </w:rPr>
        <w:t>centred care that addresses both clinical needs and wider social factors.</w:t>
      </w:r>
    </w:p>
    <w:p w14:paraId="218F6B79" w14:textId="77777777" w:rsidR="001268B1" w:rsidRPr="001268B1" w:rsidRDefault="001268B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76E3FB34" w14:textId="77777777" w:rsidR="007D2B41" w:rsidRDefault="007D2B41" w:rsidP="001268B1">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Pr>
          <w:rFonts w:ascii="Aptos" w:eastAsia="Times New Roman" w:hAnsi="Aptos" w:cs="Times New Roman"/>
          <w:b/>
          <w:bCs/>
          <w:color w:val="000000"/>
          <w:kern w:val="0"/>
          <w:lang w:eastAsia="en-GB"/>
          <w14:ligatures w14:val="none"/>
        </w:rPr>
        <w:t xml:space="preserve">Conclusion </w:t>
      </w:r>
    </w:p>
    <w:p w14:paraId="73BF171B" w14:textId="5BCDC6C2"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r w:rsidRPr="007D2B41">
        <w:rPr>
          <w:rFonts w:ascii="Aptos" w:eastAsia="Times New Roman" w:hAnsi="Aptos" w:cs="Times New Roman"/>
          <w:color w:val="000000"/>
          <w:kern w:val="0"/>
          <w:lang w:eastAsia="en-GB"/>
          <w14:ligatures w14:val="none"/>
        </w:rPr>
        <w:t>Depression remains a significant public health issue that affects individuals, families, and communities across the UK. Its wide range of symptoms, combined with well</w:t>
      </w:r>
      <w:r w:rsidRPr="007D2B41">
        <w:rPr>
          <w:rFonts w:ascii="Cambria Math" w:eastAsia="Times New Roman" w:hAnsi="Cambria Math" w:cs="Cambria Math"/>
          <w:color w:val="000000"/>
          <w:kern w:val="0"/>
          <w:lang w:eastAsia="en-GB"/>
          <w14:ligatures w14:val="none"/>
        </w:rPr>
        <w:t>‑</w:t>
      </w:r>
      <w:r w:rsidRPr="007D2B41">
        <w:rPr>
          <w:rFonts w:ascii="Aptos" w:eastAsia="Times New Roman" w:hAnsi="Aptos" w:cs="Times New Roman"/>
          <w:color w:val="000000"/>
          <w:kern w:val="0"/>
          <w:lang w:eastAsia="en-GB"/>
          <w14:ligatures w14:val="none"/>
        </w:rPr>
        <w:t>established biological, psychological, and social risk factors, highlights the need for early identification and comprehensive support. Effective measurement and monitoring are essential to understand prevalence, track inequalities, and ensure resources are directed where they are most needed. Controlling depression requires a combination of prevention, accessible evidence</w:t>
      </w:r>
      <w:r w:rsidRPr="007D2B41">
        <w:rPr>
          <w:rFonts w:ascii="Cambria Math" w:eastAsia="Times New Roman" w:hAnsi="Cambria Math" w:cs="Cambria Math"/>
          <w:color w:val="000000"/>
          <w:kern w:val="0"/>
          <w:lang w:eastAsia="en-GB"/>
          <w14:ligatures w14:val="none"/>
        </w:rPr>
        <w:t>‑</w:t>
      </w:r>
      <w:r w:rsidRPr="007D2B41">
        <w:rPr>
          <w:rFonts w:ascii="Aptos" w:eastAsia="Times New Roman" w:hAnsi="Aptos" w:cs="Times New Roman"/>
          <w:color w:val="000000"/>
          <w:kern w:val="0"/>
          <w:lang w:eastAsia="en-GB"/>
          <w14:ligatures w14:val="none"/>
        </w:rPr>
        <w:t>based treatment, and sustained long</w:t>
      </w:r>
      <w:r w:rsidRPr="007D2B41">
        <w:rPr>
          <w:rFonts w:ascii="Cambria Math" w:eastAsia="Times New Roman" w:hAnsi="Cambria Math" w:cs="Cambria Math"/>
          <w:color w:val="000000"/>
          <w:kern w:val="0"/>
          <w:lang w:eastAsia="en-GB"/>
          <w14:ligatures w14:val="none"/>
        </w:rPr>
        <w:t>‑</w:t>
      </w:r>
      <w:r w:rsidRPr="007D2B41">
        <w:rPr>
          <w:rFonts w:ascii="Aptos" w:eastAsia="Times New Roman" w:hAnsi="Aptos" w:cs="Times New Roman"/>
          <w:color w:val="000000"/>
          <w:kern w:val="0"/>
          <w:lang w:eastAsia="en-GB"/>
          <w14:ligatures w14:val="none"/>
        </w:rPr>
        <w:t>term support. Social inequalities</w:t>
      </w:r>
      <w:r w:rsidRPr="007D2B41">
        <w:rPr>
          <w:rFonts w:ascii="Aptos" w:eastAsia="Times New Roman" w:hAnsi="Aptos" w:cs="Aptos"/>
          <w:color w:val="000000"/>
          <w:kern w:val="0"/>
          <w:lang w:eastAsia="en-GB"/>
          <w14:ligatures w14:val="none"/>
        </w:rPr>
        <w:t>—</w:t>
      </w:r>
      <w:r w:rsidRPr="007D2B41">
        <w:rPr>
          <w:rFonts w:ascii="Aptos" w:eastAsia="Times New Roman" w:hAnsi="Aptos" w:cs="Times New Roman"/>
          <w:color w:val="000000"/>
          <w:kern w:val="0"/>
          <w:lang w:eastAsia="en-GB"/>
          <w14:ligatures w14:val="none"/>
        </w:rPr>
        <w:t>such as poverty, housing instability, and discrimination</w:t>
      </w:r>
      <w:r w:rsidRPr="007D2B41">
        <w:rPr>
          <w:rFonts w:ascii="Aptos" w:eastAsia="Times New Roman" w:hAnsi="Aptos" w:cs="Aptos"/>
          <w:color w:val="000000"/>
          <w:kern w:val="0"/>
          <w:lang w:eastAsia="en-GB"/>
          <w14:ligatures w14:val="none"/>
        </w:rPr>
        <w:t>—</w:t>
      </w:r>
      <w:r w:rsidRPr="007D2B41">
        <w:rPr>
          <w:rFonts w:ascii="Aptos" w:eastAsia="Times New Roman" w:hAnsi="Aptos" w:cs="Times New Roman"/>
          <w:color w:val="000000"/>
          <w:kern w:val="0"/>
          <w:lang w:eastAsia="en-GB"/>
          <w14:ligatures w14:val="none"/>
        </w:rPr>
        <w:t>intensify the burden of depression, meaning interventions must address both the condition and the wider determinants of health. Coordinated, person</w:t>
      </w:r>
      <w:r w:rsidRPr="007D2B41">
        <w:rPr>
          <w:rFonts w:ascii="Cambria Math" w:eastAsia="Times New Roman" w:hAnsi="Cambria Math" w:cs="Cambria Math"/>
          <w:color w:val="000000"/>
          <w:kern w:val="0"/>
          <w:lang w:eastAsia="en-GB"/>
          <w14:ligatures w14:val="none"/>
        </w:rPr>
        <w:t>‑</w:t>
      </w:r>
      <w:r w:rsidRPr="007D2B41">
        <w:rPr>
          <w:rFonts w:ascii="Aptos" w:eastAsia="Times New Roman" w:hAnsi="Aptos" w:cs="Times New Roman"/>
          <w:color w:val="000000"/>
          <w:kern w:val="0"/>
          <w:lang w:eastAsia="en-GB"/>
          <w14:ligatures w14:val="none"/>
        </w:rPr>
        <w:t>centred care across health, social care, and voluntary services is vital to meeting diverse needs and improving outcomes. Prioritising investment in these areas is crucial to reducing suffering, promoting recovery, and supporting the development of healthier, fairer communities.</w:t>
      </w:r>
    </w:p>
    <w:p w14:paraId="08FA3B02"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2C9B46A4"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660BBC9C"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65441D1F"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7B59FA63"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602EB94E"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25DCE38F"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35AFF9C4"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15E93889"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0F70E8C9"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69C2350C"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1225DB83"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5B556084"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2F3DF31B"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0F8059F3"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1DC105A5"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21BEF6E7" w14:textId="77777777" w:rsid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3D968801" w14:textId="77777777" w:rsidR="007D2B41" w:rsidRPr="007D2B41" w:rsidRDefault="007D2B41" w:rsidP="001268B1">
      <w:pPr>
        <w:shd w:val="clear" w:color="auto" w:fill="FFFFFF"/>
        <w:spacing w:after="0" w:line="240" w:lineRule="auto"/>
        <w:textAlignment w:val="baseline"/>
        <w:rPr>
          <w:rFonts w:ascii="Aptos" w:eastAsia="Times New Roman" w:hAnsi="Aptos" w:cs="Times New Roman"/>
          <w:color w:val="000000"/>
          <w:kern w:val="0"/>
          <w:lang w:eastAsia="en-GB"/>
          <w14:ligatures w14:val="none"/>
        </w:rPr>
      </w:pPr>
    </w:p>
    <w:p w14:paraId="341DB334" w14:textId="73A1901E" w:rsidR="001268B1" w:rsidRPr="007D2B41" w:rsidRDefault="001268B1" w:rsidP="001268B1">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r w:rsidRPr="007D2B41">
        <w:rPr>
          <w:rFonts w:ascii="Aptos" w:eastAsia="Times New Roman" w:hAnsi="Aptos" w:cs="Times New Roman"/>
          <w:b/>
          <w:bCs/>
          <w:color w:val="000000"/>
          <w:kern w:val="0"/>
          <w:lang w:eastAsia="en-GB"/>
          <w14:ligatures w14:val="none"/>
        </w:rPr>
        <w:lastRenderedPageBreak/>
        <w:t xml:space="preserve">References </w:t>
      </w:r>
    </w:p>
    <w:p w14:paraId="727090D4" w14:textId="77777777" w:rsidR="001268B1" w:rsidRPr="007D2B41" w:rsidRDefault="001268B1" w:rsidP="001268B1">
      <w:pPr>
        <w:shd w:val="clear" w:color="auto" w:fill="FFFFFF"/>
        <w:spacing w:after="0" w:line="240" w:lineRule="auto"/>
        <w:textAlignment w:val="baseline"/>
        <w:rPr>
          <w:rFonts w:ascii="Aptos" w:eastAsia="Times New Roman" w:hAnsi="Aptos" w:cs="Times New Roman"/>
          <w:b/>
          <w:bCs/>
          <w:color w:val="000000"/>
          <w:kern w:val="0"/>
          <w:lang w:eastAsia="en-GB"/>
          <w14:ligatures w14:val="none"/>
        </w:rPr>
      </w:pPr>
    </w:p>
    <w:p w14:paraId="79A90BA1" w14:textId="77777777" w:rsidR="00B53C78" w:rsidRPr="00511567" w:rsidRDefault="00B53C78" w:rsidP="001E5BD3">
      <w:r w:rsidRPr="00511567">
        <w:t>Centre for Mental Health (2023) Mental Health and Economic Impact Report. London: Centre for Mental Health.</w:t>
      </w:r>
    </w:p>
    <w:p w14:paraId="01CC8005" w14:textId="77777777" w:rsidR="00B53C78" w:rsidRPr="00511567" w:rsidRDefault="00B53C78" w:rsidP="001E5BD3">
      <w:r w:rsidRPr="00511567">
        <w:t>Department of Health and Social Care (DHSC) (2023) Mental Health and Wellbeing Strategy for England. London: DHSC.</w:t>
      </w:r>
    </w:p>
    <w:p w14:paraId="0BF01935" w14:textId="77777777" w:rsidR="00B53C78" w:rsidRPr="00511567" w:rsidRDefault="00B53C78" w:rsidP="001E5BD3">
      <w:r w:rsidRPr="00511567">
        <w:t>Mental Health Foundation (2024) Depression Statistics: UK and Global. London: Mental Health Foundation.</w:t>
      </w:r>
    </w:p>
    <w:p w14:paraId="595B8ED0" w14:textId="3E603578" w:rsidR="00B53C78" w:rsidRPr="00B53C78" w:rsidRDefault="00B53C78" w:rsidP="001E5BD3">
      <w:r w:rsidRPr="00B53C78">
        <w:t>National Health Service (NHS) (2024) Depression: Symptoms, Diagnosis and Treatment. London: NHS.</w:t>
      </w:r>
    </w:p>
    <w:p w14:paraId="3750FBEA" w14:textId="77777777" w:rsidR="00B53C78" w:rsidRPr="00B53C78" w:rsidRDefault="00B53C78" w:rsidP="001E5BD3">
      <w:r w:rsidRPr="00B53C78">
        <w:t>National Institute for Health and Care Excellence (NICE) (2022) Depression in Adults: Treatment and Management (NG232). London: NICE.</w:t>
      </w:r>
    </w:p>
    <w:p w14:paraId="7C31FEA8" w14:textId="16889C3F" w:rsidR="005327AA" w:rsidRPr="00326518" w:rsidRDefault="00B53C78" w:rsidP="001E5BD3">
      <w:r w:rsidRPr="00B53C78">
        <w:t>World Health Organization (WHO) (2023) Depression and Other Common Mental Disorders: Global Health Estimates. Geneva: WHO.</w:t>
      </w:r>
    </w:p>
    <w:sectPr w:rsidR="005327AA" w:rsidRPr="0032651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10D52" w14:textId="77777777" w:rsidR="00A42524" w:rsidRDefault="00A42524" w:rsidP="009568BF">
      <w:pPr>
        <w:spacing w:after="0" w:line="240" w:lineRule="auto"/>
      </w:pPr>
      <w:r>
        <w:separator/>
      </w:r>
    </w:p>
  </w:endnote>
  <w:endnote w:type="continuationSeparator" w:id="0">
    <w:p w14:paraId="6C94F91D" w14:textId="77777777" w:rsidR="00A42524" w:rsidRDefault="00A42524" w:rsidP="00956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6379525"/>
      <w:docPartObj>
        <w:docPartGallery w:val="Page Numbers (Bottom of Page)"/>
        <w:docPartUnique/>
      </w:docPartObj>
    </w:sdtPr>
    <w:sdtEndPr/>
    <w:sdtContent>
      <w:p w14:paraId="0C6B5053" w14:textId="5BEF54F3" w:rsidR="007765D8" w:rsidRDefault="007765D8">
        <w:pPr>
          <w:pStyle w:val="Footer"/>
          <w:jc w:val="right"/>
        </w:pPr>
        <w:r>
          <w:fldChar w:fldCharType="begin"/>
        </w:r>
        <w:r>
          <w:instrText>PAGE   \* MERGEFORMAT</w:instrText>
        </w:r>
        <w:r>
          <w:fldChar w:fldCharType="separate"/>
        </w:r>
        <w:r>
          <w:t>2</w:t>
        </w:r>
        <w:r>
          <w:fldChar w:fldCharType="end"/>
        </w:r>
      </w:p>
    </w:sdtContent>
  </w:sdt>
  <w:p w14:paraId="15166FE6" w14:textId="77777777" w:rsidR="007765D8" w:rsidRDefault="00776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F3EF5" w14:textId="77777777" w:rsidR="00A42524" w:rsidRDefault="00A42524" w:rsidP="009568BF">
      <w:pPr>
        <w:spacing w:after="0" w:line="240" w:lineRule="auto"/>
      </w:pPr>
      <w:r>
        <w:separator/>
      </w:r>
    </w:p>
  </w:footnote>
  <w:footnote w:type="continuationSeparator" w:id="0">
    <w:p w14:paraId="39B7017C" w14:textId="77777777" w:rsidR="00A42524" w:rsidRDefault="00A42524" w:rsidP="00956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04E4B"/>
    <w:multiLevelType w:val="hybridMultilevel"/>
    <w:tmpl w:val="CED43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2874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8BF"/>
    <w:rsid w:val="000A7A17"/>
    <w:rsid w:val="000C1598"/>
    <w:rsid w:val="001268B1"/>
    <w:rsid w:val="00166CCA"/>
    <w:rsid w:val="001E5BD3"/>
    <w:rsid w:val="00314786"/>
    <w:rsid w:val="00326518"/>
    <w:rsid w:val="00382D88"/>
    <w:rsid w:val="00511567"/>
    <w:rsid w:val="005327AA"/>
    <w:rsid w:val="00554769"/>
    <w:rsid w:val="005B133D"/>
    <w:rsid w:val="00642681"/>
    <w:rsid w:val="006A291E"/>
    <w:rsid w:val="007036A3"/>
    <w:rsid w:val="0070399D"/>
    <w:rsid w:val="007765D8"/>
    <w:rsid w:val="007D2B41"/>
    <w:rsid w:val="008677FB"/>
    <w:rsid w:val="00883282"/>
    <w:rsid w:val="00893903"/>
    <w:rsid w:val="00917BA6"/>
    <w:rsid w:val="0092707A"/>
    <w:rsid w:val="009568BF"/>
    <w:rsid w:val="00A169DB"/>
    <w:rsid w:val="00A42524"/>
    <w:rsid w:val="00AB109F"/>
    <w:rsid w:val="00AD3913"/>
    <w:rsid w:val="00AD7160"/>
    <w:rsid w:val="00B53C78"/>
    <w:rsid w:val="00C559FA"/>
    <w:rsid w:val="00CD154E"/>
    <w:rsid w:val="00E97129"/>
    <w:rsid w:val="00F15147"/>
    <w:rsid w:val="00F3205C"/>
    <w:rsid w:val="00FA3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BA430"/>
  <w15:chartTrackingRefBased/>
  <w15:docId w15:val="{7E4137B3-C493-4887-AF5A-9CAA704E0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8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8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8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8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8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8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8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8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8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8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8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8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8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8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8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8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8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8BF"/>
    <w:rPr>
      <w:rFonts w:eastAsiaTheme="majorEastAsia" w:cstheme="majorBidi"/>
      <w:color w:val="272727" w:themeColor="text1" w:themeTint="D8"/>
    </w:rPr>
  </w:style>
  <w:style w:type="paragraph" w:styleId="Title">
    <w:name w:val="Title"/>
    <w:basedOn w:val="Normal"/>
    <w:next w:val="Normal"/>
    <w:link w:val="TitleChar"/>
    <w:uiPriority w:val="10"/>
    <w:qFormat/>
    <w:rsid w:val="009568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8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8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8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8BF"/>
    <w:pPr>
      <w:spacing w:before="160"/>
      <w:jc w:val="center"/>
    </w:pPr>
    <w:rPr>
      <w:i/>
      <w:iCs/>
      <w:color w:val="404040" w:themeColor="text1" w:themeTint="BF"/>
    </w:rPr>
  </w:style>
  <w:style w:type="character" w:customStyle="1" w:styleId="QuoteChar">
    <w:name w:val="Quote Char"/>
    <w:basedOn w:val="DefaultParagraphFont"/>
    <w:link w:val="Quote"/>
    <w:uiPriority w:val="29"/>
    <w:rsid w:val="009568BF"/>
    <w:rPr>
      <w:i/>
      <w:iCs/>
      <w:color w:val="404040" w:themeColor="text1" w:themeTint="BF"/>
    </w:rPr>
  </w:style>
  <w:style w:type="paragraph" w:styleId="ListParagraph">
    <w:name w:val="List Paragraph"/>
    <w:basedOn w:val="Normal"/>
    <w:uiPriority w:val="34"/>
    <w:qFormat/>
    <w:rsid w:val="009568BF"/>
    <w:pPr>
      <w:ind w:left="720"/>
      <w:contextualSpacing/>
    </w:pPr>
  </w:style>
  <w:style w:type="character" w:styleId="IntenseEmphasis">
    <w:name w:val="Intense Emphasis"/>
    <w:basedOn w:val="DefaultParagraphFont"/>
    <w:uiPriority w:val="21"/>
    <w:qFormat/>
    <w:rsid w:val="009568BF"/>
    <w:rPr>
      <w:i/>
      <w:iCs/>
      <w:color w:val="0F4761" w:themeColor="accent1" w:themeShade="BF"/>
    </w:rPr>
  </w:style>
  <w:style w:type="paragraph" w:styleId="IntenseQuote">
    <w:name w:val="Intense Quote"/>
    <w:basedOn w:val="Normal"/>
    <w:next w:val="Normal"/>
    <w:link w:val="IntenseQuoteChar"/>
    <w:uiPriority w:val="30"/>
    <w:qFormat/>
    <w:rsid w:val="009568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8BF"/>
    <w:rPr>
      <w:i/>
      <w:iCs/>
      <w:color w:val="0F4761" w:themeColor="accent1" w:themeShade="BF"/>
    </w:rPr>
  </w:style>
  <w:style w:type="character" w:styleId="IntenseReference">
    <w:name w:val="Intense Reference"/>
    <w:basedOn w:val="DefaultParagraphFont"/>
    <w:uiPriority w:val="32"/>
    <w:qFormat/>
    <w:rsid w:val="009568BF"/>
    <w:rPr>
      <w:b/>
      <w:bCs/>
      <w:smallCaps/>
      <w:color w:val="0F4761" w:themeColor="accent1" w:themeShade="BF"/>
      <w:spacing w:val="5"/>
    </w:rPr>
  </w:style>
  <w:style w:type="paragraph" w:styleId="Header">
    <w:name w:val="header"/>
    <w:basedOn w:val="Normal"/>
    <w:link w:val="HeaderChar"/>
    <w:uiPriority w:val="99"/>
    <w:unhideWhenUsed/>
    <w:rsid w:val="00956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8BF"/>
  </w:style>
  <w:style w:type="paragraph" w:styleId="Footer">
    <w:name w:val="footer"/>
    <w:basedOn w:val="Normal"/>
    <w:link w:val="FooterChar"/>
    <w:uiPriority w:val="99"/>
    <w:unhideWhenUsed/>
    <w:rsid w:val="00956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8BF"/>
  </w:style>
  <w:style w:type="character" w:styleId="Hyperlink">
    <w:name w:val="Hyperlink"/>
    <w:basedOn w:val="DefaultParagraphFont"/>
    <w:uiPriority w:val="99"/>
    <w:unhideWhenUsed/>
    <w:rsid w:val="007765D8"/>
    <w:rPr>
      <w:color w:val="467886" w:themeColor="hyperlink"/>
      <w:u w:val="single"/>
    </w:rPr>
  </w:style>
  <w:style w:type="character" w:styleId="UnresolvedMention">
    <w:name w:val="Unresolved Mention"/>
    <w:basedOn w:val="DefaultParagraphFont"/>
    <w:uiPriority w:val="99"/>
    <w:semiHidden/>
    <w:unhideWhenUsed/>
    <w:rsid w:val="007765D8"/>
    <w:rPr>
      <w:color w:val="605E5C"/>
      <w:shd w:val="clear" w:color="auto" w:fill="E1DFDD"/>
    </w:rPr>
  </w:style>
  <w:style w:type="paragraph" w:styleId="NoSpacing">
    <w:name w:val="No Spacing"/>
    <w:uiPriority w:val="1"/>
    <w:qFormat/>
    <w:rsid w:val="00B53C7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CE525B66-512C-48BF-891B-B23F07FB0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64FFBB-FFBA-4F0E-85CD-C20A74B9E849}">
  <ds:schemaRefs>
    <ds:schemaRef ds:uri="http://schemas.microsoft.com/sharepoint/v3/contenttype/forms"/>
  </ds:schemaRefs>
</ds:datastoreItem>
</file>

<file path=customXml/itemProps3.xml><?xml version="1.0" encoding="utf-8"?>
<ds:datastoreItem xmlns:ds="http://schemas.openxmlformats.org/officeDocument/2006/customXml" ds:itemID="{39E4C8EE-9277-48B7-88C2-D59997EDD553}">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1993</Words>
  <Characters>11362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Nawaz (2521133)</dc:creator>
  <cp:keywords/>
  <dc:description/>
  <cp:lastModifiedBy>Maria Nawaz (2521133)</cp:lastModifiedBy>
  <cp:revision>2</cp:revision>
  <dcterms:created xsi:type="dcterms:W3CDTF">2026-07-19T19:24:00Z</dcterms:created>
  <dcterms:modified xsi:type="dcterms:W3CDTF">2026-07-19T19:24:00Z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