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6C694F1B" wp14:textId="6820ED5C">
      <w:r w:rsidRPr="41B89AC4" w:rsidR="7712711A">
        <w:rPr>
          <w:rFonts w:ascii="Arial" w:hAnsi="Arial" w:eastAsia="Arial" w:cs="Arial"/>
          <w:b w:val="1"/>
          <w:bCs w:val="1"/>
          <w:i w:val="0"/>
          <w:iCs w:val="0"/>
          <w:strike w:val="0"/>
          <w:dstrike w:val="0"/>
          <w:noProof w:val="0"/>
          <w:color w:val="000000" w:themeColor="text1" w:themeTint="FF" w:themeShade="FF"/>
          <w:sz w:val="24"/>
          <w:szCs w:val="24"/>
          <w:u w:val="single"/>
          <w:lang w:val="en-US"/>
        </w:rPr>
        <w:t xml:space="preserve">A critical evaluation and the identification of next teaching and learning steps focusing on a case study of an individual learner or a group of learners, based on an observed critical incident. </w:t>
      </w:r>
    </w:p>
    <w:p xmlns:wp14="http://schemas.microsoft.com/office/word/2010/wordml" w:rsidP="41B89AC4" w14:paraId="21C8B237" wp14:textId="3EC1A94D">
      <w:pPr>
        <w:pStyle w:val="Normal"/>
        <w:rPr>
          <w:rFonts w:ascii="Arial" w:hAnsi="Arial" w:eastAsia="Arial" w:cs="Arial"/>
          <w:b w:val="1"/>
          <w:bCs w:val="1"/>
          <w:i w:val="0"/>
          <w:iCs w:val="0"/>
          <w:strike w:val="0"/>
          <w:dstrike w:val="0"/>
          <w:noProof w:val="0"/>
          <w:color w:val="000000" w:themeColor="text1" w:themeTint="FF" w:themeShade="FF"/>
          <w:sz w:val="24"/>
          <w:szCs w:val="24"/>
          <w:u w:val="single"/>
          <w:lang w:val="en-US"/>
        </w:rPr>
      </w:pPr>
    </w:p>
    <w:p xmlns:wp14="http://schemas.microsoft.com/office/word/2010/wordml" w14:paraId="1E56F038" wp14:textId="09F345A7">
      <w:r w:rsidRPr="41B89AC4" w:rsidR="7712711A">
        <w:rPr>
          <w:rFonts w:ascii="Arial" w:hAnsi="Arial" w:eastAsia="Arial" w:cs="Arial"/>
          <w:b w:val="0"/>
          <w:bCs w:val="0"/>
          <w:i w:val="0"/>
          <w:iCs w:val="0"/>
          <w:strike w:val="0"/>
          <w:dstrike w:val="0"/>
          <w:noProof w:val="0"/>
          <w:color w:val="000000" w:themeColor="text1" w:themeTint="FF" w:themeShade="FF"/>
          <w:sz w:val="24"/>
          <w:szCs w:val="24"/>
          <w:u w:val="single"/>
          <w:lang w:val="en-US"/>
        </w:rPr>
        <w:t>Introduction:</w:t>
      </w:r>
    </w:p>
    <w:p xmlns:wp14="http://schemas.microsoft.com/office/word/2010/wordml" w14:paraId="3B470928" wp14:textId="0F5416C5"/>
    <w:p xmlns:wp14="http://schemas.microsoft.com/office/word/2010/wordml" w14:paraId="203A3DCB" wp14:textId="7CA18B70">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Perhaps the</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principal reason for teachers’ existence is to inspire and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assist</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children in understanding the diverse, ever-changing world around them (de Méndez &amp;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Enseñanza</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1987). However, this view could be seen as outdated or one-dimensional, especially in the context of reflection’s purpose in education. Children may be as important to teachers as teachers are to children. Indeed, practitioners could learn from children’s responses to their practices in the classroom. Therefore, it could be said that the principal purpose of a teacher is </w:t>
      </w:r>
      <w:proofErr w:type="gram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actually to</w:t>
      </w:r>
      <w:proofErr w:type="gram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understand the diverse, ever-changing world of a child and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ultimately be</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inspired by </w:t>
      </w:r>
      <w:r w:rsidRPr="41B89AC4" w:rsidR="7712711A">
        <w:rPr>
          <w:rFonts w:ascii="Arial" w:hAnsi="Arial" w:eastAsia="Arial" w:cs="Arial"/>
          <w:b w:val="0"/>
          <w:bCs w:val="0"/>
          <w:i w:val="1"/>
          <w:iCs w:val="1"/>
          <w:strike w:val="0"/>
          <w:dstrike w:val="0"/>
          <w:noProof w:val="0"/>
          <w:color w:val="000000" w:themeColor="text1" w:themeTint="FF" w:themeShade="FF"/>
          <w:sz w:val="24"/>
          <w:szCs w:val="24"/>
          <w:u w:val="none"/>
          <w:lang w:val="en-US"/>
        </w:rPr>
        <w:t xml:space="preserve">them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(Gutić, 2019). The upcoming piece of writing intends to investigate and evaluate the teaching practice that is, ‘reflection</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More specifically, how useful reflection is and whether it is a trustworthy educational practice that can be used to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identify</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next teaching and learning steps in one’s development, personally and professionally (Welsh Government, 2020). A potential way of examining the functionality and competence of this educational practice could be to use ‘critical incidents’ as the case study. </w:t>
      </w:r>
      <w:r>
        <w:br/>
      </w:r>
    </w:p>
    <w:p xmlns:wp14="http://schemas.microsoft.com/office/word/2010/wordml" w:rsidP="41B89AC4" w14:paraId="3F52A53B" wp14:textId="3356D85C">
      <w:pPr>
        <w:ind w:firstLine="720"/>
      </w:pP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Discussions and evaluations will also take place on how critical incidents can possibly prove to inform the Curriculum for Wales (CfW). The objective will be to find out whether the correct usage of critical incidents, as a tool for reflection, can contribute to, or accelerate, the holistic development of practitioners and of young people and children in Wales. In addition, the twelve pedagogical principles, progression steps and four purposes will be analysed to discover whether these philosophies could also help Wales’ next generation to “thrive and succeed” (Donaldson, 2015). </w:t>
      </w:r>
    </w:p>
    <w:p xmlns:wp14="http://schemas.microsoft.com/office/word/2010/wordml" w14:paraId="6768DF7D" wp14:textId="6E52A1AC"/>
    <w:p xmlns:wp14="http://schemas.microsoft.com/office/word/2010/wordml" w:rsidP="41B89AC4" w14:paraId="0A04D2C8" wp14:textId="3C2F3321">
      <w:pPr>
        <w:ind w:firstLine="720"/>
      </w:pP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context in which this will be incorporated into a piece of literature will be through the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analysation</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my own experience in a classroom observation. The school in which this critical incident took place will be referred to as ‘School X’ throughout. In addition to </w:t>
      </w:r>
      <w:bookmarkStart w:name="_Int_vS1ZSkZi" w:id="483496670"/>
      <w:r w:rsidRPr="41B89AC4" w:rsidR="6146FB54">
        <w:rPr>
          <w:rFonts w:ascii="Arial" w:hAnsi="Arial" w:eastAsia="Arial" w:cs="Arial"/>
          <w:b w:val="0"/>
          <w:bCs w:val="0"/>
          <w:i w:val="0"/>
          <w:iCs w:val="0"/>
          <w:strike w:val="0"/>
          <w:dstrike w:val="0"/>
          <w:noProof w:val="0"/>
          <w:color w:val="000000" w:themeColor="text1" w:themeTint="FF" w:themeShade="FF"/>
          <w:sz w:val="24"/>
          <w:szCs w:val="24"/>
          <w:u w:val="none"/>
          <w:lang w:val="en-US"/>
        </w:rPr>
        <w:t>the firsthand</w:t>
      </w:r>
      <w:r w:rsidRPr="41B89AC4" w:rsidR="6F3C0BB8">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experiences</w:t>
      </w:r>
      <w:bookmarkEnd w:id="483496670"/>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discussed, a literature review, referencing two educational theories will take place relating to the incidents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observed</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Another aim that will need to be addressed is just how to define what a critical incident is and to find out if they have useful qualities when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utilised</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education. </w:t>
      </w:r>
    </w:p>
    <w:p xmlns:wp14="http://schemas.microsoft.com/office/word/2010/wordml" w:rsidP="41B89AC4" w14:paraId="402D3142" wp14:textId="15A8B8FC">
      <w:pPr>
        <w:pStyle w:val="Normal"/>
        <w:ind w:firstLine="7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14:paraId="7AC11532" wp14:textId="2360A352">
      <w:r w:rsidRPr="41B89AC4" w:rsidR="7712711A">
        <w:rPr>
          <w:rFonts w:ascii="Arial" w:hAnsi="Arial" w:eastAsia="Arial" w:cs="Arial"/>
          <w:b w:val="0"/>
          <w:bCs w:val="0"/>
          <w:i w:val="0"/>
          <w:iCs w:val="0"/>
          <w:strike w:val="0"/>
          <w:dstrike w:val="0"/>
          <w:noProof w:val="0"/>
          <w:color w:val="000000" w:themeColor="text1" w:themeTint="FF" w:themeShade="FF"/>
          <w:sz w:val="24"/>
          <w:szCs w:val="24"/>
          <w:u w:val="single"/>
          <w:lang w:val="en-US"/>
        </w:rPr>
        <w:t>The roles of critical reflection:</w:t>
      </w:r>
    </w:p>
    <w:p xmlns:wp14="http://schemas.microsoft.com/office/word/2010/wordml" w14:paraId="05DADC6D" wp14:textId="15EB5BFD"/>
    <w:p xmlns:wp14="http://schemas.microsoft.com/office/word/2010/wordml" w:rsidP="41B89AC4" w14:paraId="2DEF3B00" wp14:textId="1ADD144E">
      <w:pPr>
        <w:ind w:firstLine="720"/>
      </w:pP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It could be said that a critical incident is simply an event that takes place in the class. Although Joshi (2018) describes them as ‘unplanned’, it can be argued that even one that is partially planned (such as the use of operant conditioning) can still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represent</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critical incident as ultimately, the term ‘critical’ suggests it is interpretative, therefore, open to personal connotation (Tripp, 2011). Critical incidents can be seen as beneficial for both practitioner and learner because they can be used as a transient process of review and evaluation, </w:t>
      </w:r>
      <w:bookmarkStart w:name="_Int_DltHnRiO" w:id="443018625"/>
      <w:r w:rsidRPr="41B89AC4" w:rsidR="7A83D278">
        <w:rPr>
          <w:rFonts w:ascii="Arial" w:hAnsi="Arial" w:eastAsia="Arial" w:cs="Arial"/>
          <w:b w:val="0"/>
          <w:bCs w:val="0"/>
          <w:i w:val="0"/>
          <w:iCs w:val="0"/>
          <w:strike w:val="0"/>
          <w:dstrike w:val="0"/>
          <w:noProof w:val="0"/>
          <w:color w:val="000000" w:themeColor="text1" w:themeTint="FF" w:themeShade="FF"/>
          <w:sz w:val="24"/>
          <w:szCs w:val="24"/>
          <w:u w:val="none"/>
          <w:lang w:val="en-US"/>
        </w:rPr>
        <w:t>to</w:t>
      </w:r>
      <w:bookmarkEnd w:id="443018625"/>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help inform the future judgements and pedagogical practices of one’s teaching (Tripp, 2011). Additionally, Lean et al (2014) and Mohammed (2016) believe critical incidents are often used in the reflective context of teaching, not because they are majorly exciting or dramatic but because they are simply an effective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analysation</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tool.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Maybe the</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most effective trait of reflection </w:t>
      </w:r>
      <w:proofErr w:type="gram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as a whole though</w:t>
      </w:r>
      <w:proofErr w:type="gram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how the analysis can start in that moment, during the event and the lessons learnt for future practice can potentially be implemented in the moment, if one is proactive and thoughtful enough (Schon, 2017). </w:t>
      </w:r>
    </w:p>
    <w:p xmlns:wp14="http://schemas.microsoft.com/office/word/2010/wordml" w14:paraId="07E05AEE" wp14:textId="6D71EC6A"/>
    <w:p xmlns:wp14="http://schemas.microsoft.com/office/word/2010/wordml" w:rsidP="41B89AC4" w14:paraId="45717839" wp14:textId="4636D79A">
      <w:pPr>
        <w:ind w:firstLine="7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There are many models of reflection that can be adopted and followed to effectively evaluate a critical incident. Some examples being ‘Three Attributes of a Reflective Individual’ by Dewey (1997) and the ‘Four lenses Model’ by Brookfield (1998). However, two will be illuminated, the first being Kolb’s ‘Experiential Learning Cycle</w:t>
      </w:r>
      <w:bookmarkStart w:name="_Int_ACe6mIhr" w:id="1299505058"/>
      <w:r w:rsidRPr="41B89AC4" w:rsidR="0D336383">
        <w:rPr>
          <w:rFonts w:ascii="Arial" w:hAnsi="Arial" w:eastAsia="Arial" w:cs="Arial"/>
          <w:b w:val="0"/>
          <w:bCs w:val="0"/>
          <w:i w:val="0"/>
          <w:iCs w:val="0"/>
          <w:strike w:val="0"/>
          <w:dstrike w:val="0"/>
          <w:noProof w:val="0"/>
          <w:color w:val="000000" w:themeColor="text1" w:themeTint="FF" w:themeShade="FF"/>
          <w:sz w:val="24"/>
          <w:szCs w:val="24"/>
          <w:u w:val="none"/>
          <w:lang w:val="en-US"/>
        </w:rPr>
        <w:t>.’</w:t>
      </w:r>
      <w:bookmarkEnd w:id="1299505058"/>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This entails </w:t>
      </w:r>
      <w:proofErr w:type="gram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an</w:t>
      </w:r>
      <w:proofErr w:type="gram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holistic, real-world approach that believes practical experience is incomparable (Kolb, 2014). This could be seen as a true observation as to thoroughly understand something, sometimes it is best to live it, rather than to simply see it or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theorise</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(Ripplinger, 2012). </w:t>
      </w:r>
      <w:bookmarkStart w:name="_Int_MYRakpv9" w:id="1096116413"/>
      <w:r w:rsidRPr="41B89AC4" w:rsidR="6C85D61B">
        <w:rPr>
          <w:rFonts w:ascii="Arial" w:hAnsi="Arial" w:eastAsia="Arial" w:cs="Arial"/>
          <w:b w:val="0"/>
          <w:bCs w:val="0"/>
          <w:i w:val="0"/>
          <w:iCs w:val="0"/>
          <w:strike w:val="0"/>
          <w:dstrike w:val="0"/>
          <w:noProof w:val="0"/>
          <w:color w:val="000000" w:themeColor="text1" w:themeTint="FF" w:themeShade="FF"/>
          <w:sz w:val="24"/>
          <w:szCs w:val="24"/>
          <w:u w:val="none"/>
          <w:lang w:val="en-US"/>
        </w:rPr>
        <w:t>Moreover, this reflective theory advocates experiential learning and combines ideas from respected educational philosophers such as Vygotsky and Piaget, which enhances its credibility (Yardley et al, 2012).</w:t>
      </w:r>
      <w:bookmarkEnd w:id="1096116413"/>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 the other hand, Gibbs’ ‘Reflective Cycle’ (1988) could be seen as a more theory-based reflection tool and therefore, more open to interpretation, thus making it harder to put into consistent practice, due to its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possible flexibility</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However, it could be said that this model of reflection may be most effective when coinciding with Kolb’s theory as it gives the practitioner a breakdown on how to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utilise</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experience gained. </w:t>
      </w:r>
      <w:bookmarkStart w:name="_Int_U90vo8hJ" w:id="1178160431"/>
      <w:r w:rsidRPr="41B89AC4" w:rsidR="7B181652">
        <w:rPr>
          <w:rFonts w:ascii="Arial" w:hAnsi="Arial" w:eastAsia="Arial" w:cs="Arial"/>
          <w:b w:val="0"/>
          <w:bCs w:val="0"/>
          <w:i w:val="0"/>
          <w:iCs w:val="0"/>
          <w:strike w:val="0"/>
          <w:dstrike w:val="0"/>
          <w:noProof w:val="0"/>
          <w:color w:val="000000" w:themeColor="text1" w:themeTint="FF" w:themeShade="FF"/>
          <w:sz w:val="24"/>
          <w:szCs w:val="24"/>
          <w:u w:val="none"/>
          <w:lang w:val="en-US"/>
        </w:rPr>
        <w:t>It is made up of six stages: encouraging learning from the acquired experiences and consisting of description, feelings, evaluation, analysis, conclusion and finally, an action plan (Beckingham, 2018).</w:t>
      </w:r>
      <w:bookmarkEnd w:id="1178160431"/>
    </w:p>
    <w:p xmlns:wp14="http://schemas.microsoft.com/office/word/2010/wordml" w14:paraId="211BC17F" wp14:textId="57FA22D4"/>
    <w:p xmlns:wp14="http://schemas.microsoft.com/office/word/2010/wordml" w:rsidP="41B89AC4" w14:paraId="47F953CF" wp14:textId="43009FF6">
      <w:pPr>
        <w:ind w:firstLine="720"/>
      </w:pP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Graham Donaldson and Wales, as a nation recently reflected on the curriculum and designed a fresh, exclusive version. This perspired due to a reflection on Wales’ consistently underwhelming PISA results (Donaldson, 2015). Indeed, the updated curriculum could in-fact be seen as employing elements of Gibbs’ Reflective Cycle as it offers an outline of what to teach through the ‘Four Purposes’ and ‘Six Areas of Learning Experiences’ but implores individuality and offers flexibility in how to teach it (Welsh Government, 2020). </w:t>
      </w:r>
    </w:p>
    <w:p xmlns:wp14="http://schemas.microsoft.com/office/word/2010/wordml" w14:paraId="32932BB5" wp14:textId="635702B5"/>
    <w:p xmlns:wp14="http://schemas.microsoft.com/office/word/2010/wordml" w:rsidP="41B89AC4" w14:paraId="3C53B94C" wp14:textId="38D5FF10">
      <w:pPr>
        <w:ind w:firstLine="720"/>
      </w:pP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 relation to the profession of teaching, the reform in Wales’ curriculum will not just aim to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impact</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children’s futures for the better but will </w:t>
      </w:r>
      <w:bookmarkStart w:name="_Int_ySv3uD9n" w:id="1226980553"/>
      <w:r w:rsidRPr="41B89AC4" w:rsidR="187B2A43">
        <w:rPr>
          <w:rFonts w:ascii="Arial" w:hAnsi="Arial" w:eastAsia="Arial" w:cs="Arial"/>
          <w:b w:val="0"/>
          <w:bCs w:val="0"/>
          <w:i w:val="0"/>
          <w:iCs w:val="0"/>
          <w:strike w:val="0"/>
          <w:dstrike w:val="0"/>
          <w:noProof w:val="0"/>
          <w:color w:val="000000" w:themeColor="text1" w:themeTint="FF" w:themeShade="FF"/>
          <w:sz w:val="24"/>
          <w:szCs w:val="24"/>
          <w:u w:val="none"/>
          <w:lang w:val="en-US"/>
        </w:rPr>
        <w:t>influence</w:t>
      </w:r>
      <w:bookmarkEnd w:id="1226980553"/>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educators also. In 2017, the ‘Professional Standards’ for teaching and leadership were introduced (Welsh Government, 2020). These standards offer educators the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option</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use their own reflective tools to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analyse</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themselves. Furthermore, reflection is also explicitly highlighted in the ‘Professional Standards</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bookmarkStart w:name="_Int_fUe7Mvyu" w:id="509540400"/>
      <w:r w:rsidRPr="41B89AC4" w:rsidR="7F8C638E">
        <w:rPr>
          <w:rFonts w:ascii="Arial" w:hAnsi="Arial" w:eastAsia="Arial" w:cs="Arial"/>
          <w:b w:val="0"/>
          <w:bCs w:val="0"/>
          <w:i w:val="0"/>
          <w:iCs w:val="0"/>
          <w:strike w:val="0"/>
          <w:dstrike w:val="0"/>
          <w:noProof w:val="0"/>
          <w:color w:val="000000" w:themeColor="text1" w:themeTint="FF" w:themeShade="FF"/>
          <w:sz w:val="24"/>
          <w:szCs w:val="24"/>
          <w:u w:val="none"/>
          <w:lang w:val="en-US"/>
        </w:rPr>
        <w:t>Regarding reflection</w:t>
      </w:r>
      <w:bookmarkEnd w:id="509540400"/>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is encouraged that the educator exudes an openness to teaching and learning, which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emphasises</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need for efficient reflective practices and flexibility in one’s teaching (Welsh Government, 2020).</w:t>
      </w:r>
      <w:r>
        <w:br/>
      </w:r>
    </w:p>
    <w:p xmlns:wp14="http://schemas.microsoft.com/office/word/2010/wordml" w14:paraId="15FAE011" wp14:textId="29F6C58D">
      <w:r w:rsidRPr="41B89AC4" w:rsidR="7712711A">
        <w:rPr>
          <w:rFonts w:ascii="Arial" w:hAnsi="Arial" w:eastAsia="Arial" w:cs="Arial"/>
          <w:b w:val="0"/>
          <w:bCs w:val="0"/>
          <w:i w:val="0"/>
          <w:iCs w:val="0"/>
          <w:strike w:val="0"/>
          <w:dstrike w:val="0"/>
          <w:noProof w:val="0"/>
          <w:color w:val="000000" w:themeColor="text1" w:themeTint="FF" w:themeShade="FF"/>
          <w:sz w:val="24"/>
          <w:szCs w:val="24"/>
          <w:u w:val="single"/>
          <w:lang w:val="en-US"/>
        </w:rPr>
        <w:t>Observation overview and school background:</w:t>
      </w:r>
    </w:p>
    <w:p xmlns:wp14="http://schemas.microsoft.com/office/word/2010/wordml" w14:paraId="394E1EFF" wp14:textId="7E1180B5"/>
    <w:p xmlns:wp14="http://schemas.microsoft.com/office/word/2010/wordml" w14:paraId="69A29471" wp14:textId="605A7647">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school in which the writing is </w:t>
      </w:r>
      <w:proofErr w:type="gram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based,</w:t>
      </w:r>
      <w:proofErr w:type="gram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situated in South Wales.</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Regarding information provided by senior cohorts within School X, the school totals 627 pupils; this perpetuates a child to teacher ratio of approximately 27:1 (School X, 2022). The school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provides</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places for children between the ages of three and eleven years-old (nursery to year six) and the age group in which my professional learning experience took place was reception, </w:t>
      </w:r>
      <w:r w:rsidRPr="41B89AC4" w:rsidR="6B3A6697">
        <w:rPr>
          <w:rFonts w:ascii="Arial" w:hAnsi="Arial" w:eastAsia="Arial" w:cs="Arial"/>
          <w:b w:val="0"/>
          <w:bCs w:val="0"/>
          <w:i w:val="0"/>
          <w:iCs w:val="0"/>
          <w:strike w:val="0"/>
          <w:dstrike w:val="0"/>
          <w:noProof w:val="0"/>
          <w:color w:val="000000" w:themeColor="text1" w:themeTint="FF" w:themeShade="FF"/>
          <w:sz w:val="24"/>
          <w:szCs w:val="24"/>
          <w:u w:val="none"/>
          <w:lang w:val="en-US"/>
        </w:rPr>
        <w:t>or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foundation learning’ as per terminology from Successful Futures (Donaldson, 2015). The area the school is based in is also rich in diversity and heterogeneity, with 17.4% of the pupils speaking English as an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additional</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language (School X, 2022). The geographic area of the school means that it is of a Community First agenda, which the Welsh Government commissions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in order to</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mobilise</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uplift impoverished areas with its primary aim being to enhance the resources,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facilities</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educational lives of those that attend schools within such areas (Welsh Government, 2015). To give </w:t>
      </w:r>
      <w:bookmarkStart w:name="_Int_N15wKiEA" w:id="752331086"/>
      <w:r w:rsidRPr="41B89AC4" w:rsidR="6B84A235">
        <w:rPr>
          <w:rFonts w:ascii="Arial" w:hAnsi="Arial" w:eastAsia="Arial" w:cs="Arial"/>
          <w:b w:val="0"/>
          <w:bCs w:val="0"/>
          <w:i w:val="0"/>
          <w:iCs w:val="0"/>
          <w:strike w:val="0"/>
          <w:dstrike w:val="0"/>
          <w:noProof w:val="0"/>
          <w:color w:val="000000" w:themeColor="text1" w:themeTint="FF" w:themeShade="FF"/>
          <w:sz w:val="24"/>
          <w:szCs w:val="24"/>
          <w:u w:val="none"/>
          <w:lang w:val="en-US"/>
        </w:rPr>
        <w:t>a plausible reason</w:t>
      </w:r>
      <w:bookmarkEnd w:id="752331086"/>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behind this; 13.4% of School X’s pupils also qualify for free school meals (FSM), which is a 2% rise since last year. Even though this still falls below the national average of 22.5% in Wales, it is still a higher percentage than some other schools in surrounding areas (Welsh Government, 2022). </w:t>
      </w:r>
      <w:r>
        <w:br/>
      </w:r>
    </w:p>
    <w:p xmlns:wp14="http://schemas.microsoft.com/office/word/2010/wordml" w14:paraId="5C9675A1" wp14:textId="1FC1248B">
      <w:r w:rsidRPr="41B89AC4" w:rsidR="7712711A">
        <w:rPr>
          <w:rFonts w:ascii="Arial" w:hAnsi="Arial" w:eastAsia="Arial" w:cs="Arial"/>
          <w:b w:val="0"/>
          <w:bCs w:val="0"/>
          <w:i w:val="0"/>
          <w:iCs w:val="0"/>
          <w:strike w:val="0"/>
          <w:dstrike w:val="0"/>
          <w:noProof w:val="0"/>
          <w:color w:val="000000" w:themeColor="text1" w:themeTint="FF" w:themeShade="FF"/>
          <w:sz w:val="24"/>
          <w:szCs w:val="24"/>
          <w:u w:val="single"/>
          <w:lang w:val="en-US"/>
        </w:rPr>
        <w:t>The critical incident:</w:t>
      </w:r>
      <w:r>
        <w:br/>
      </w:r>
    </w:p>
    <w:p xmlns:wp14="http://schemas.microsoft.com/office/word/2010/wordml" w14:paraId="71EB723D" wp14:textId="6B423937">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initial</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connotation associated with the term ‘incident’ can sometimes be a negative one. The critical incident that will be discussed took place during my own placement at School X and it was of a positive nature. The incident chosen is based around how one example of positive reinforcement had beneficial impacts on Child X and </w:t>
      </w:r>
      <w:bookmarkStart w:name="_Int_GssgNfjF" w:id="880170978"/>
      <w:r w:rsidRPr="41B89AC4" w:rsidR="6C79ACC9">
        <w:rPr>
          <w:rFonts w:ascii="Arial" w:hAnsi="Arial" w:eastAsia="Arial" w:cs="Arial"/>
          <w:b w:val="0"/>
          <w:bCs w:val="0"/>
          <w:i w:val="0"/>
          <w:iCs w:val="0"/>
          <w:strike w:val="0"/>
          <w:dstrike w:val="0"/>
          <w:noProof w:val="0"/>
          <w:color w:val="000000" w:themeColor="text1" w:themeTint="FF" w:themeShade="FF"/>
          <w:sz w:val="24"/>
          <w:szCs w:val="24"/>
          <w:u w:val="none"/>
          <w:lang w:val="en-US"/>
        </w:rPr>
        <w:t>many of the</w:t>
      </w:r>
      <w:bookmarkEnd w:id="880170978"/>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children the day after. The incident itself was simply a child being praised for their </w:t>
      </w:r>
      <w:r w:rsidRPr="41B89AC4" w:rsidR="0A7D2DE6">
        <w:rPr>
          <w:rFonts w:ascii="Arial" w:hAnsi="Arial" w:eastAsia="Arial" w:cs="Arial"/>
          <w:b w:val="0"/>
          <w:bCs w:val="0"/>
          <w:i w:val="0"/>
          <w:iCs w:val="0"/>
          <w:strike w:val="0"/>
          <w:dstrike w:val="0"/>
          <w:noProof w:val="0"/>
          <w:color w:val="000000" w:themeColor="text1" w:themeTint="FF" w:themeShade="FF"/>
          <w:sz w:val="24"/>
          <w:szCs w:val="24"/>
          <w:u w:val="none"/>
          <w:lang w:val="en-US"/>
        </w:rPr>
        <w:t>hard work</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effort throughout the day and </w:t>
      </w:r>
      <w:r w:rsidRPr="41B89AC4" w:rsidR="69CFA07E">
        <w:rPr>
          <w:rFonts w:ascii="Arial" w:hAnsi="Arial" w:eastAsia="Arial" w:cs="Arial"/>
          <w:b w:val="0"/>
          <w:bCs w:val="0"/>
          <w:i w:val="0"/>
          <w:iCs w:val="0"/>
          <w:strike w:val="0"/>
          <w:dstrike w:val="0"/>
          <w:noProof w:val="0"/>
          <w:color w:val="000000" w:themeColor="text1" w:themeTint="FF" w:themeShade="FF"/>
          <w:sz w:val="24"/>
          <w:szCs w:val="24"/>
          <w:u w:val="none"/>
          <w:lang w:val="en-US"/>
        </w:rPr>
        <w:t>subsequently</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being given the choice of what book they would like the teacher to read to the class at the end of the day. </w:t>
      </w:r>
      <w:r w:rsidRPr="41B89AC4" w:rsidR="097BFA00">
        <w:rPr>
          <w:rFonts w:ascii="Arial" w:hAnsi="Arial" w:eastAsia="Arial" w:cs="Arial"/>
          <w:b w:val="0"/>
          <w:bCs w:val="0"/>
          <w:i w:val="0"/>
          <w:iCs w:val="0"/>
          <w:strike w:val="0"/>
          <w:dstrike w:val="0"/>
          <w:noProof w:val="0"/>
          <w:color w:val="000000" w:themeColor="text1" w:themeTint="FF" w:themeShade="FF"/>
          <w:sz w:val="24"/>
          <w:szCs w:val="24"/>
          <w:u w:val="none"/>
          <w:lang w:val="en-US"/>
        </w:rPr>
        <w:t>It should be noted that every child</w:t>
      </w:r>
      <w:bookmarkStart w:name="_Int_dcLgQmu8" w:id="765772655"/>
      <w:r w:rsidRPr="41B89AC4" w:rsidR="097BFA0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received some praise or reinforcement throughout the day, but this incident stood out to me because it was for the whole class to see, while everyone was sitting on the carpet, with a tangible reward at the end of it.</w:t>
      </w:r>
      <w:bookmarkEnd w:id="765772655"/>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incident was on the first day of the two-day observation period and proved to be a memorable one for the children as well as myself, as the day after this event, children were asking “who gets to choose the book today?” Hence, this specific incident was chosen because of the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seemingly undeniable</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impact it had on other children’s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work </w:t>
      </w:r>
      <w:r w:rsidRPr="41B89AC4" w:rsidR="1C2B8B0A">
        <w:rPr>
          <w:rFonts w:ascii="Arial" w:hAnsi="Arial" w:eastAsia="Arial" w:cs="Arial"/>
          <w:b w:val="0"/>
          <w:bCs w:val="0"/>
          <w:i w:val="0"/>
          <w:iCs w:val="0"/>
          <w:strike w:val="0"/>
          <w:dstrike w:val="0"/>
          <w:noProof w:val="0"/>
          <w:color w:val="000000" w:themeColor="text1" w:themeTint="FF" w:themeShade="FF"/>
          <w:sz w:val="24"/>
          <w:szCs w:val="24"/>
          <w:u w:val="none"/>
          <w:lang w:val="en-US"/>
        </w:rPr>
        <w:t>ethics</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during the second day of observation.</w:t>
      </w:r>
    </w:p>
    <w:p xmlns:wp14="http://schemas.microsoft.com/office/word/2010/wordml" w14:paraId="5021791D" wp14:textId="4CDF9962"/>
    <w:p xmlns:wp14="http://schemas.microsoft.com/office/word/2010/wordml" w14:paraId="28A9F2BB" wp14:textId="287EB163">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Furthermore, as well as promoting positive work ethic amongst the class, Rafi et al (2020) argue that it can also help with managing challenging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too. </w:t>
      </w:r>
      <w:bookmarkStart w:name="_Int_C8ynOyVC" w:id="1991632064"/>
      <w:r w:rsidRPr="41B89AC4" w:rsidR="3493C463">
        <w:rPr>
          <w:rFonts w:ascii="Arial" w:hAnsi="Arial" w:eastAsia="Arial" w:cs="Arial"/>
          <w:b w:val="0"/>
          <w:bCs w:val="0"/>
          <w:i w:val="0"/>
          <w:iCs w:val="0"/>
          <w:strike w:val="0"/>
          <w:dstrike w:val="0"/>
          <w:noProof w:val="0"/>
          <w:color w:val="000000" w:themeColor="text1" w:themeTint="FF" w:themeShade="FF"/>
          <w:sz w:val="24"/>
          <w:szCs w:val="24"/>
          <w:u w:val="none"/>
          <w:lang w:val="en-US"/>
        </w:rPr>
        <w:t>For example, children could have been reminded of this positive incident and outcome to keep them on track behaviourally throughout the day.</w:t>
      </w:r>
      <w:bookmarkEnd w:id="1991632064"/>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Furthermore, School X’s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behavioural</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policies ensured this method of operant conditioning was undertaken consistently, leaving no room for child confusion as to what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was expected and how that expected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was rewarded through positive reinforcement (Skinner, 1963). Furthermore, the incident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seemingly proved</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through punishment and reward,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can be predicted and even controlled to a certain extent (Skinner, 1963). Hence this critical incident was chosen, due to how it coincided with and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arguably proved</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theory of operant conditioning right. </w:t>
      </w:r>
    </w:p>
    <w:p xmlns:wp14="http://schemas.microsoft.com/office/word/2010/wordml" w14:paraId="577637A6" wp14:textId="5E29F253"/>
    <w:p xmlns:wp14="http://schemas.microsoft.com/office/word/2010/wordml" w14:paraId="0BE525AA" wp14:textId="0FF1C4C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theory of operant conditioning could potentially link with Wales’ Successful Futures curriculum in the sense that it may help children become ambitious and capable learners that adopt the </w:t>
      </w:r>
      <w:bookmarkStart w:name="_Int_DsEDnFJl" w:id="1032363977"/>
      <w:r w:rsidRPr="41B89AC4" w:rsidR="60B2D47D">
        <w:rPr>
          <w:rFonts w:ascii="Arial" w:hAnsi="Arial" w:eastAsia="Arial" w:cs="Arial"/>
          <w:b w:val="0"/>
          <w:bCs w:val="0"/>
          <w:i w:val="0"/>
          <w:iCs w:val="0"/>
          <w:strike w:val="0"/>
          <w:dstrike w:val="0"/>
          <w:noProof w:val="0"/>
          <w:color w:val="000000" w:themeColor="text1" w:themeTint="FF" w:themeShade="FF"/>
          <w:sz w:val="24"/>
          <w:szCs w:val="24"/>
          <w:u w:val="none"/>
          <w:lang w:val="en-US"/>
        </w:rPr>
        <w:t>ambitious standards</w:t>
      </w:r>
      <w:bookmarkEnd w:id="1032363977"/>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teachers set for them and take ownership and responsibility for their own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(Donaldson, 2015). </w:t>
      </w:r>
      <w:proofErr w:type="gram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In actuality, it</w:t>
      </w:r>
      <w:proofErr w:type="gram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did seem that this curriculum purpose was being hit through the theory of positive reinforcement being put into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practise</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w:t>
      </w:r>
      <w:r>
        <w:br/>
      </w:r>
    </w:p>
    <w:p xmlns:wp14="http://schemas.microsoft.com/office/word/2010/wordml" w14:paraId="4F47B28F" wp14:textId="7D8D64B3">
      <w:r w:rsidRPr="41B89AC4" w:rsidR="7712711A">
        <w:rPr>
          <w:rFonts w:ascii="Arial" w:hAnsi="Arial" w:eastAsia="Arial" w:cs="Arial"/>
          <w:b w:val="0"/>
          <w:bCs w:val="0"/>
          <w:i w:val="0"/>
          <w:iCs w:val="0"/>
          <w:strike w:val="0"/>
          <w:dstrike w:val="0"/>
          <w:noProof w:val="0"/>
          <w:color w:val="000000" w:themeColor="text1" w:themeTint="FF" w:themeShade="FF"/>
          <w:sz w:val="24"/>
          <w:szCs w:val="24"/>
          <w:u w:val="single"/>
          <w:lang w:val="en-US"/>
        </w:rPr>
        <w:t>Literature Review:</w:t>
      </w:r>
      <w:r>
        <w:br/>
      </w:r>
    </w:p>
    <w:p xmlns:wp14="http://schemas.microsoft.com/office/word/2010/wordml" w14:paraId="1D0AEC58" wp14:textId="1FA6E552">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This section will investigate,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analyse</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critically review some of the literature that already exists on the topics chosen. Two areas of research and theory will be focused on during this section. The first being positive reinforcement’s potential impact within the classroom and the second being growth mindset’s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possible benefits</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pitfalls.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Different perspectives will be critically taken into consideration and a plethora of points </w:t>
      </w:r>
      <w:proofErr w:type="gram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taken into account</w:t>
      </w:r>
      <w:proofErr w:type="gram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when coming to potential conclusions.</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bookmarkStart w:name="_Int_kgAYYnSq" w:id="763247033"/>
      <w:r w:rsidRPr="41B89AC4" w:rsidR="6433410C">
        <w:rPr>
          <w:rFonts w:ascii="Arial" w:hAnsi="Arial" w:eastAsia="Arial" w:cs="Arial"/>
          <w:b w:val="0"/>
          <w:bCs w:val="0"/>
          <w:i w:val="0"/>
          <w:iCs w:val="0"/>
          <w:strike w:val="0"/>
          <w:dstrike w:val="0"/>
          <w:noProof w:val="0"/>
          <w:color w:val="000000" w:themeColor="text1" w:themeTint="FF" w:themeShade="FF"/>
          <w:sz w:val="24"/>
          <w:szCs w:val="24"/>
          <w:u w:val="none"/>
          <w:lang w:val="en-US"/>
        </w:rPr>
        <w:t>This review's main aim will be to offer suggestions on the best way to implement positive reinforcement and a growth mindset in the classroom.</w:t>
      </w:r>
      <w:bookmarkEnd w:id="763247033"/>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Or contrarily, whether they should be implemented at all.</w:t>
      </w:r>
    </w:p>
    <w:p xmlns:wp14="http://schemas.microsoft.com/office/word/2010/wordml" w14:paraId="67065D41" wp14:textId="0446367C"/>
    <w:p xmlns:wp14="http://schemas.microsoft.com/office/word/2010/wordml" w14:paraId="15FB6AA3" wp14:textId="1CFFA4C7">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strand of behaviorism described in the ‘critical incident’ section above, ‘positive reinforcement’ will be reviewed first.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Behaviourism</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itself would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possibly be</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described as a theory which believes human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behaviours</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are learnt and constructed from external influences, passively (Passey, 2020). The term was first conceived by B.F Skinner when he introduced ‘classical conditioning’ and ‘operant conditioning’ (Skinner, 1963). In the case of operant conditioning, Skinner partook in experimental studies involving animals, with the primary experiment involving the animals </w:t>
      </w:r>
      <w:r w:rsidRPr="41B89AC4" w:rsidR="33BC4C70">
        <w:rPr>
          <w:rFonts w:ascii="Arial" w:hAnsi="Arial" w:eastAsia="Arial" w:cs="Arial"/>
          <w:b w:val="0"/>
          <w:bCs w:val="0"/>
          <w:i w:val="0"/>
          <w:iCs w:val="0"/>
          <w:strike w:val="0"/>
          <w:dstrike w:val="0"/>
          <w:noProof w:val="0"/>
          <w:color w:val="000000" w:themeColor="text1" w:themeTint="FF" w:themeShade="FF"/>
          <w:sz w:val="24"/>
          <w:szCs w:val="24"/>
          <w:u w:val="none"/>
          <w:lang w:val="en-US"/>
        </w:rPr>
        <w:t>having two</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buttons to press, one produced food (reward) and the other delivered an electric shock (punishment). Skinner offered the animals food or a shock and eventually, the animals learnt and associated one button with punishment and one with reward, learning what button to press and which one not to press. </w:t>
      </w:r>
      <w:r>
        <w:br/>
      </w:r>
    </w:p>
    <w:p xmlns:wp14="http://schemas.microsoft.com/office/word/2010/wordml" w:rsidP="41B89AC4" w14:paraId="152831A8" wp14:textId="39C3B456">
      <w:pPr>
        <w:ind w:firstLine="720"/>
      </w:pP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Consequently, the theory behind this; operant conditioning, is used widely within the educational world presently (Keller &amp; Grumbach, 2022). Indeed, the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behaviourist</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approach is used regularly in education, for example, through punishing a child with no playtime or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providing</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reward, such as being able to choose a book for the teacher to read in class (School X, 2022). In addition to this, School X also applies a token economy system where a ‘Dojo’ is rewarded for certain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behaviours</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school encourages, such as kindness (School X, 2022).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Essentially, positive</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reinforcement is used by the teacher to communicate a liking to a certain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encourages that child to continue with the pleasing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(Chacon &amp; Pereira, 2014). Even though this piece of literature was </w:t>
      </w:r>
      <w:bookmarkStart w:name="_Int_qmhOuQYl" w:id="1271982702"/>
      <w:r w:rsidRPr="41B89AC4" w:rsidR="51208A4D">
        <w:rPr>
          <w:rFonts w:ascii="Arial" w:hAnsi="Arial" w:eastAsia="Arial" w:cs="Arial"/>
          <w:b w:val="0"/>
          <w:bCs w:val="0"/>
          <w:i w:val="0"/>
          <w:iCs w:val="0"/>
          <w:strike w:val="0"/>
          <w:dstrike w:val="0"/>
          <w:noProof w:val="0"/>
          <w:color w:val="000000" w:themeColor="text1" w:themeTint="FF" w:themeShade="FF"/>
          <w:sz w:val="24"/>
          <w:szCs w:val="24"/>
          <w:u w:val="none"/>
          <w:lang w:val="en-US"/>
        </w:rPr>
        <w:t>about students</w:t>
      </w:r>
      <w:bookmarkEnd w:id="1271982702"/>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their teenage years, in another country, the principle </w:t>
      </w:r>
      <w:r w:rsidRPr="41B89AC4" w:rsidR="6DDC3D4B">
        <w:rPr>
          <w:rFonts w:ascii="Arial" w:hAnsi="Arial" w:eastAsia="Arial" w:cs="Arial"/>
          <w:b w:val="0"/>
          <w:bCs w:val="0"/>
          <w:i w:val="0"/>
          <w:iCs w:val="0"/>
          <w:strike w:val="0"/>
          <w:dstrike w:val="0"/>
          <w:noProof w:val="0"/>
          <w:color w:val="000000" w:themeColor="text1" w:themeTint="FF" w:themeShade="FF"/>
          <w:sz w:val="24"/>
          <w:szCs w:val="24"/>
          <w:u w:val="none"/>
          <w:lang w:val="en-US"/>
        </w:rPr>
        <w:t>points</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positive reinforcement promotes positive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backed up by Andreasen (2006) who studies children of similar age to those experienced in School X.</w:t>
      </w:r>
    </w:p>
    <w:p xmlns:wp14="http://schemas.microsoft.com/office/word/2010/wordml" w14:paraId="51A61E31" wp14:textId="715E6F8C"/>
    <w:p xmlns:wp14="http://schemas.microsoft.com/office/word/2010/wordml" w:rsidP="41B89AC4" w14:paraId="660E40E7" wp14:textId="0D8B8A69">
      <w:pPr>
        <w:ind w:firstLine="720"/>
      </w:pP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Moreover, there are other pieces of literature and research supporting operant conditioning’s effectiveness as a pedagogy for teachers. It is perhaps in its flexibility that lies its greatest asset. For example, it can potentially be applied to any child and in any way a teacher sees fit, whether that is through a token economy system such as Dojo’s or simply through positive spoken feedback (Mantasiah et al, 2021). Additionally, it can even be applied to a whole class or group or even school, depending on the context and policy of the educator and school (Filcheck et al, 2004). </w:t>
      </w:r>
    </w:p>
    <w:p xmlns:wp14="http://schemas.microsoft.com/office/word/2010/wordml" w14:paraId="66D4302E" wp14:textId="63DEC1EE"/>
    <w:p xmlns:wp14="http://schemas.microsoft.com/office/word/2010/wordml" w:rsidP="41B89AC4" w14:paraId="06747EC4" wp14:textId="3BE9B695">
      <w:pPr>
        <w:ind w:firstLine="720"/>
      </w:pP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Although there seems to be a litany of literary research advocating positive reinforcement’s application within the educational context, Morris et al (2005) believe it should be used intermittently. </w:t>
      </w:r>
      <w:bookmarkStart w:name="_Int_7Of6hnXk" w:id="1972258844"/>
      <w:r w:rsidRPr="41B89AC4" w:rsidR="1F57B9AF">
        <w:rPr>
          <w:rFonts w:ascii="Arial" w:hAnsi="Arial" w:eastAsia="Arial" w:cs="Arial"/>
          <w:b w:val="0"/>
          <w:bCs w:val="0"/>
          <w:i w:val="0"/>
          <w:iCs w:val="0"/>
          <w:strike w:val="0"/>
          <w:dstrike w:val="0"/>
          <w:noProof w:val="0"/>
          <w:color w:val="000000" w:themeColor="text1" w:themeTint="FF" w:themeShade="FF"/>
          <w:sz w:val="24"/>
          <w:szCs w:val="24"/>
          <w:u w:val="none"/>
          <w:lang w:val="en-US"/>
        </w:rPr>
        <w:t>Furthermore, Doyle (1986) holds a similar opinion to Morris et al (2005), believing that for positive reinforcement to maintain its effectiveness, it should not be used always.</w:t>
      </w:r>
      <w:bookmarkEnd w:id="1972258844"/>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Although the sources could be potentially seen as outdated, </w:t>
      </w:r>
      <w:r w:rsidRPr="41B89AC4" w:rsidR="25BE5013">
        <w:rPr>
          <w:rFonts w:ascii="Arial" w:hAnsi="Arial" w:eastAsia="Arial" w:cs="Arial"/>
          <w:b w:val="0"/>
          <w:bCs w:val="0"/>
          <w:i w:val="0"/>
          <w:iCs w:val="0"/>
          <w:strike w:val="0"/>
          <w:dstrike w:val="0"/>
          <w:noProof w:val="0"/>
          <w:color w:val="000000" w:themeColor="text1" w:themeTint="FF" w:themeShade="FF"/>
          <w:sz w:val="24"/>
          <w:szCs w:val="24"/>
          <w:u w:val="none"/>
          <w:lang w:val="en-US"/>
        </w:rPr>
        <w:t>their</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principal points could be tailored to the present day. Doyle (1986) goes on to claim that the overuse of it could even cause detrimental impacts to the person receiving it; this is because it could completely eradicate self-motivation. On one hand, one might have an abundance of motivation depending on extrinsic value being present. </w:t>
      </w:r>
    </w:p>
    <w:p xmlns:wp14="http://schemas.microsoft.com/office/word/2010/wordml" w:rsidP="41B89AC4" w14:paraId="445BA2AF" wp14:textId="61C20919">
      <w:pPr>
        <w:pStyle w:val="Normal"/>
        <w:ind w:firstLine="720"/>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41B89AC4" w14:paraId="0F0A2022" wp14:textId="26BA936F">
      <w:pPr>
        <w:ind w:firstLine="720"/>
      </w:pP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On the other hand, if there is no form of reward at the end of a positive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one may have no intrinsic motivation to carry out tasks, due to the lack of tangible result at the end of it. It could be argued that to get an equilibrium between extrinsic and intrinsic motivation, positive reinforcement could be integrated early on but slowly diminished as a school year goes on. This would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arguably help</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children reach certain expectations set for them by rewarding the steps they take to reach the goals and expectations. However, it may be just as important to make a point that once they reach their goals and standards, they should make that routine, with or without tangible reward. It should not be seen as bribery but a stimulus for one to behave in a way that the educator expects (Pettit, 2013).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Perhaps to</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achieve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optimal</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balance in using positive reinforcement with efficacy, educators and practitioners should receive training to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utilise</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positive reinforcement.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Maybe the</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training would entail how to apply this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behaviourist</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approach with invariable, strategic consistency, over a certain </w:t>
      </w:r>
      <w:proofErr w:type="gram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period of time</w:t>
      </w:r>
      <w:proofErr w:type="gram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so pupils know what the teachers expect of them in the short-term and long-term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Purnamasari</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2018). </w:t>
      </w:r>
    </w:p>
    <w:p xmlns:wp14="http://schemas.microsoft.com/office/word/2010/wordml" w14:paraId="63953A0A" wp14:textId="45BB1548"/>
    <w:p xmlns:wp14="http://schemas.microsoft.com/office/word/2010/wordml" w:rsidP="41B89AC4" w14:paraId="3B8C9315" wp14:textId="0AD7F5E8">
      <w:pPr>
        <w:ind w:firstLine="720"/>
      </w:pP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second part of this literature review will </w:t>
      </w:r>
      <w:proofErr w:type="gram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hone in on</w:t>
      </w:r>
      <w:proofErr w:type="gram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effects of a growth mindset and whether it can help their educational,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social</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personal development. Dweck (2015) describes growth mindset as an individual’s belief that their ability is not fixed but malleable. </w:t>
      </w:r>
      <w:r w:rsidRPr="41B89AC4" w:rsidR="3D4F1179">
        <w:rPr>
          <w:rFonts w:ascii="Arial" w:hAnsi="Arial" w:eastAsia="Arial" w:cs="Arial"/>
          <w:b w:val="0"/>
          <w:bCs w:val="0"/>
          <w:i w:val="0"/>
          <w:iCs w:val="0"/>
          <w:strike w:val="0"/>
          <w:dstrike w:val="0"/>
          <w:noProof w:val="0"/>
          <w:color w:val="000000" w:themeColor="text1" w:themeTint="FF" w:themeShade="FF"/>
          <w:sz w:val="24"/>
          <w:szCs w:val="24"/>
          <w:u w:val="none"/>
          <w:lang w:val="en-US"/>
        </w:rPr>
        <w:t>Similarly,</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positive reinforcement, it is a commonplace theory used in educational settings.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However, instead of being used to encourage specific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behaviours</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this is one of the specific behaviors that is encouraged.</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is used for an abundance of reasons, such as to build up resilience and break down stereotypes and outdated ideas, such as girls being better than boys at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maths</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boys being better at English than girls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Azano</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et al, 2021). </w:t>
      </w:r>
      <w:bookmarkStart w:name="_Int_ag6YUXQD" w:id="1563353844"/>
      <w:r w:rsidRPr="41B89AC4" w:rsidR="30C1A5E2">
        <w:rPr>
          <w:rFonts w:ascii="Arial" w:hAnsi="Arial" w:eastAsia="Arial" w:cs="Arial"/>
          <w:b w:val="0"/>
          <w:bCs w:val="0"/>
          <w:i w:val="0"/>
          <w:iCs w:val="0"/>
          <w:strike w:val="0"/>
          <w:dstrike w:val="0"/>
          <w:noProof w:val="0"/>
          <w:color w:val="000000" w:themeColor="text1" w:themeTint="FF" w:themeShade="FF"/>
          <w:sz w:val="24"/>
          <w:szCs w:val="24"/>
          <w:u w:val="none"/>
          <w:lang w:val="en-US"/>
        </w:rPr>
        <w:t>One who believes in growth mindset theory would argue that anyone can do anything if they put maximum effort into their goals (Dweck, 2006).</w:t>
      </w:r>
      <w:bookmarkEnd w:id="1563353844"/>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Contrarily, another might believe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maths</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or English are ability driven subjects which are either intrinsically instilled in </w:t>
      </w:r>
      <w:r w:rsidRPr="41B89AC4" w:rsidR="376CAD37">
        <w:rPr>
          <w:rFonts w:ascii="Arial" w:hAnsi="Arial" w:eastAsia="Arial" w:cs="Arial"/>
          <w:b w:val="0"/>
          <w:bCs w:val="0"/>
          <w:i w:val="0"/>
          <w:iCs w:val="0"/>
          <w:strike w:val="0"/>
          <w:dstrike w:val="0"/>
          <w:noProof w:val="0"/>
          <w:color w:val="000000" w:themeColor="text1" w:themeTint="FF" w:themeShade="FF"/>
          <w:sz w:val="24"/>
          <w:szCs w:val="24"/>
          <w:u w:val="none"/>
          <w:lang w:val="en-US"/>
        </w:rPr>
        <w:t>someone or</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1B89AC4" w:rsidR="0627EB2E">
        <w:rPr>
          <w:rFonts w:ascii="Arial" w:hAnsi="Arial" w:eastAsia="Arial" w:cs="Arial"/>
          <w:b w:val="0"/>
          <w:bCs w:val="0"/>
          <w:i w:val="0"/>
          <w:iCs w:val="0"/>
          <w:strike w:val="0"/>
          <w:dstrike w:val="0"/>
          <w:noProof w:val="0"/>
          <w:color w:val="000000" w:themeColor="text1" w:themeTint="FF" w:themeShade="FF"/>
          <w:sz w:val="24"/>
          <w:szCs w:val="24"/>
          <w:u w:val="none"/>
          <w:lang w:val="en-US"/>
        </w:rPr>
        <w:t>cannot</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 instilled at all (Lee et al, 2021). Notwithstanding these opinions, there is a </w:t>
      </w:r>
      <w:r w:rsidRPr="41B89AC4" w:rsidR="23081A7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possible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compromise</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regarding</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both opposing literary views, which is that ability may give a</w:t>
      </w:r>
      <w:r w:rsidRPr="41B89AC4" w:rsidR="1E4063D6">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 advantage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but skills can still be developed with the right mindset in conjunction with a positive, competent learning environment that encourages growth (Kocak &amp; Goksu, 2020).</w:t>
      </w:r>
      <w:r>
        <w:br/>
      </w:r>
    </w:p>
    <w:p xmlns:wp14="http://schemas.microsoft.com/office/word/2010/wordml" w:rsidP="41B89AC4" w14:paraId="6EC91421" wp14:textId="4800A6E8">
      <w:pPr>
        <w:ind w:firstLine="720"/>
      </w:pP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Perhaps embracing a growth mindset from early on in one’s life, such as during the foundation learning years could be the key ingredient to a hugely successful and robust learning environment. Hammonds (2021) believes that having a positive, resilient outlook on learning and professional development from the youngest learners upwards could install a school culture aimed at constant development and improvement as well as high student attainment and achievement. Although this sounds flawless in theory, on reflection, it would undoubtedly be extremely challenging to implement across a class, let alone a whole school. </w:t>
      </w:r>
      <w:bookmarkStart w:name="_Int_yxNQRDhw" w:id="1145892809"/>
      <w:r w:rsidRPr="41B89AC4" w:rsidR="025A8D0F">
        <w:rPr>
          <w:rFonts w:ascii="Arial" w:hAnsi="Arial" w:eastAsia="Arial" w:cs="Arial"/>
          <w:b w:val="0"/>
          <w:bCs w:val="0"/>
          <w:i w:val="0"/>
          <w:iCs w:val="0"/>
          <w:strike w:val="0"/>
          <w:dstrike w:val="0"/>
          <w:noProof w:val="0"/>
          <w:color w:val="000000" w:themeColor="text1" w:themeTint="FF" w:themeShade="FF"/>
          <w:sz w:val="24"/>
          <w:szCs w:val="24"/>
          <w:u w:val="none"/>
          <w:lang w:val="en-US"/>
        </w:rPr>
        <w:t>Lally et al (2010) agree with this and highlight that building such an impregnable ethos and mindset at a whole-school level would take time.</w:t>
      </w:r>
      <w:bookmarkEnd w:id="1145892809"/>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They explain that it can take an adult up to two months to build good habits, which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Estyn</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(2018) </w:t>
      </w:r>
      <w:r w:rsidRPr="41B89AC4" w:rsidR="60C344CD">
        <w:rPr>
          <w:rFonts w:ascii="Arial" w:hAnsi="Arial" w:eastAsia="Arial" w:cs="Arial"/>
          <w:b w:val="0"/>
          <w:bCs w:val="0"/>
          <w:i w:val="0"/>
          <w:iCs w:val="0"/>
          <w:strike w:val="0"/>
          <w:dstrike w:val="0"/>
          <w:noProof w:val="0"/>
          <w:color w:val="000000" w:themeColor="text1" w:themeTint="FF" w:themeShade="FF"/>
          <w:sz w:val="24"/>
          <w:szCs w:val="24"/>
          <w:u w:val="none"/>
          <w:lang w:val="en-US"/>
        </w:rPr>
        <w:t>concurs</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with,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emphasising</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teachers may need to install these habits in themselves before introducing children to it. This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indicates</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it could take longer to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teach</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child such a mindset, due to potential difficulties learning it personally first. However,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synthesing</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both literary ideas, it could be concluded that if this mindset is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attempted</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be implemented, it needs to begin early, and </w:t>
      </w:r>
      <w:bookmarkStart w:name="_Int_zYhs5Zhh" w:id="787019355"/>
      <w:r w:rsidRPr="41B89AC4" w:rsidR="3A98DBDC">
        <w:rPr>
          <w:rFonts w:ascii="Arial" w:hAnsi="Arial" w:eastAsia="Arial" w:cs="Arial"/>
          <w:b w:val="0"/>
          <w:bCs w:val="0"/>
          <w:i w:val="0"/>
          <w:iCs w:val="0"/>
          <w:strike w:val="0"/>
          <w:dstrike w:val="0"/>
          <w:noProof w:val="0"/>
          <w:color w:val="000000" w:themeColor="text1" w:themeTint="FF" w:themeShade="FF"/>
          <w:sz w:val="24"/>
          <w:szCs w:val="24"/>
          <w:u w:val="none"/>
          <w:lang w:val="en-US"/>
        </w:rPr>
        <w:t>genuinely believed</w:t>
      </w:r>
      <w:bookmarkEnd w:id="787019355"/>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as some learners may be less receptive to it than others. </w:t>
      </w:r>
    </w:p>
    <w:p xmlns:wp14="http://schemas.microsoft.com/office/word/2010/wordml" w14:paraId="48C0034B" wp14:textId="1C8BCEC7"/>
    <w:p xmlns:wp14="http://schemas.microsoft.com/office/word/2010/wordml" w:rsidP="41B89AC4" w14:paraId="20FDD321" wp14:textId="240100C4">
      <w:pPr>
        <w:ind w:firstLine="720"/>
      </w:pP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 learner’s open-mindedness would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arguably be</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key to their acquiring of a growth mindset. Han (2017) goes as far as saying that the acquisition of such a positive mindset could not just improve a student’s academic outcomes but their mental health too. On the other hand, updated literature should take mental health into account in a separate way. For example, it may be primarily positive having a growth mindset, with </w:t>
      </w:r>
      <w:bookmarkStart w:name="_Int_b3mpNwh6" w:id="1679049646"/>
      <w:r w:rsidRPr="41B89AC4" w:rsidR="3ACD29C0">
        <w:rPr>
          <w:rFonts w:ascii="Arial" w:hAnsi="Arial" w:eastAsia="Arial" w:cs="Arial"/>
          <w:b w:val="0"/>
          <w:bCs w:val="0"/>
          <w:i w:val="0"/>
          <w:iCs w:val="0"/>
          <w:strike w:val="0"/>
          <w:dstrike w:val="0"/>
          <w:noProof w:val="0"/>
          <w:color w:val="000000" w:themeColor="text1" w:themeTint="FF" w:themeShade="FF"/>
          <w:sz w:val="24"/>
          <w:szCs w:val="24"/>
          <w:u w:val="none"/>
          <w:lang w:val="en-US"/>
        </w:rPr>
        <w:t>lofty expectations</w:t>
      </w:r>
      <w:bookmarkEnd w:id="1679049646"/>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but a healthy mental balance should be constant also. For example, expecting a growth mindset to bring nothing but success may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impact</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one’s emotional state when making a mistake or struggling to get over a certain obstacle (Rosvall, 2020).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Perhaps the</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early installation of a growth mindset would counteract this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possible issue</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 learners would make mistakes along their learning journeys and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realise</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early on that it is not a theory without fault, thus preparing them for potential future barriers.</w:t>
      </w:r>
      <w:r>
        <w:br/>
      </w:r>
    </w:p>
    <w:p xmlns:wp14="http://schemas.microsoft.com/office/word/2010/wordml" w:rsidP="41B89AC4" w14:paraId="21AA9B82" wp14:textId="2C1D74A1">
      <w:pPr>
        <w:pStyle w:val="Normal"/>
        <w:ind w:firstLine="720"/>
        <w:rPr>
          <w:rFonts w:ascii="Arial" w:hAnsi="Arial" w:eastAsia="Arial" w:cs="Arial"/>
          <w:b w:val="0"/>
          <w:bCs w:val="0"/>
          <w:i w:val="0"/>
          <w:iCs w:val="0"/>
          <w:strike w:val="0"/>
          <w:dstrike w:val="0"/>
          <w:noProof w:val="0"/>
          <w:color w:val="000000" w:themeColor="text1" w:themeTint="FF" w:themeShade="FF"/>
          <w:sz w:val="24"/>
          <w:szCs w:val="24"/>
          <w:u w:val="none"/>
          <w:lang w:val="en-US"/>
        </w:rPr>
      </w:pPr>
      <w:proofErr w:type="gram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On the whole</w:t>
      </w:r>
      <w:proofErr w:type="gram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both areas of research have provided a litany of reliable literary resources with similarities and differences throughout.</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terms of positive reinforcement, some of the literature seemed outdated to begin with but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more often than </w:t>
      </w:r>
      <w:proofErr w:type="gram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not</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w:t>
      </w:r>
      <w:proofErr w:type="gram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tended to be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validated</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by more updated sources. However, the overuse of it in education seems to be as problematic now as it used to be, with both past and present literature warning against its overuse. There is advocacy to use it consistently, not </w:t>
      </w:r>
      <w:r w:rsidRPr="41B89AC4" w:rsidR="7712711A">
        <w:rPr>
          <w:rFonts w:ascii="Arial" w:hAnsi="Arial" w:eastAsia="Arial" w:cs="Arial"/>
          <w:b w:val="0"/>
          <w:bCs w:val="0"/>
          <w:i w:val="1"/>
          <w:iCs w:val="1"/>
          <w:strike w:val="0"/>
          <w:dstrike w:val="0"/>
          <w:noProof w:val="0"/>
          <w:color w:val="000000" w:themeColor="text1" w:themeTint="FF" w:themeShade="FF"/>
          <w:sz w:val="24"/>
          <w:szCs w:val="24"/>
          <w:u w:val="none"/>
          <w:lang w:val="en-US"/>
        </w:rPr>
        <w:t>incessantly</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Separately, the literature that supports the adoption of a growth mindset seems to sound faultless but could prove to be challenging when practically implementing it, especially </w:t>
      </w:r>
      <w:r w:rsidRPr="41B89AC4" w:rsidR="72D72AA9">
        <w:rPr>
          <w:rFonts w:ascii="Arial" w:hAnsi="Arial" w:eastAsia="Arial" w:cs="Arial"/>
          <w:b w:val="0"/>
          <w:bCs w:val="0"/>
          <w:i w:val="0"/>
          <w:iCs w:val="0"/>
          <w:strike w:val="0"/>
          <w:dstrike w:val="0"/>
          <w:noProof w:val="0"/>
          <w:color w:val="000000" w:themeColor="text1" w:themeTint="FF" w:themeShade="FF"/>
          <w:sz w:val="24"/>
          <w:szCs w:val="24"/>
          <w:u w:val="none"/>
          <w:lang w:val="en-US"/>
        </w:rPr>
        <w:t>in</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whole-school approach. </w:t>
      </w:r>
      <w:bookmarkStart w:name="_Int_zjVMQrLP" w:id="1969545956"/>
      <w:r w:rsidRPr="41B89AC4" w:rsidR="2051E4D9">
        <w:rPr>
          <w:rFonts w:ascii="Arial" w:hAnsi="Arial" w:eastAsia="Arial" w:cs="Arial"/>
          <w:b w:val="0"/>
          <w:bCs w:val="0"/>
          <w:i w:val="0"/>
          <w:iCs w:val="0"/>
          <w:strike w:val="0"/>
          <w:dstrike w:val="0"/>
          <w:noProof w:val="0"/>
          <w:color w:val="000000" w:themeColor="text1" w:themeTint="FF" w:themeShade="FF"/>
          <w:sz w:val="24"/>
          <w:szCs w:val="24"/>
          <w:u w:val="none"/>
          <w:lang w:val="en-US"/>
        </w:rPr>
        <w:t>Perhaps the</w:t>
      </w:r>
      <w:r w:rsidRPr="41B89AC4" w:rsidR="2051E4D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key to ensuring its success is for practitioners to employ it early in learners’ educational lives with full belief in it but simultaneously, without reliance on it.</w:t>
      </w:r>
      <w:bookmarkEnd w:id="1969545956"/>
      <w:r w:rsidRPr="41B89AC4" w:rsidR="0255CCA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14:paraId="36BB7CAD" wp14:textId="2CABB84F"/>
    <w:p xmlns:wp14="http://schemas.microsoft.com/office/word/2010/wordml" w14:paraId="6DE14406" wp14:textId="05D9F0F8">
      <w:r w:rsidRPr="41B89AC4" w:rsidR="7712711A">
        <w:rPr>
          <w:rFonts w:ascii="Arial" w:hAnsi="Arial" w:eastAsia="Arial" w:cs="Arial"/>
          <w:b w:val="0"/>
          <w:bCs w:val="0"/>
          <w:i w:val="0"/>
          <w:iCs w:val="0"/>
          <w:strike w:val="0"/>
          <w:dstrike w:val="0"/>
          <w:noProof w:val="0"/>
          <w:color w:val="000000" w:themeColor="text1" w:themeTint="FF" w:themeShade="FF"/>
          <w:sz w:val="24"/>
          <w:szCs w:val="24"/>
          <w:u w:val="single"/>
          <w:lang w:val="en-US"/>
        </w:rPr>
        <w:t xml:space="preserve">Reflection,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single"/>
          <w:lang w:val="en-US"/>
        </w:rPr>
        <w:t>evaluation</w:t>
      </w:r>
      <w:r w:rsidRPr="41B89AC4" w:rsidR="7712711A">
        <w:rPr>
          <w:rFonts w:ascii="Arial" w:hAnsi="Arial" w:eastAsia="Arial" w:cs="Arial"/>
          <w:b w:val="0"/>
          <w:bCs w:val="0"/>
          <w:i w:val="0"/>
          <w:iCs w:val="0"/>
          <w:strike w:val="0"/>
          <w:dstrike w:val="0"/>
          <w:noProof w:val="0"/>
          <w:color w:val="000000" w:themeColor="text1" w:themeTint="FF" w:themeShade="FF"/>
          <w:sz w:val="24"/>
          <w:szCs w:val="24"/>
          <w:u w:val="single"/>
          <w:lang w:val="en-US"/>
        </w:rPr>
        <w:t xml:space="preserve"> and next steps:</w:t>
      </w:r>
    </w:p>
    <w:p xmlns:wp14="http://schemas.microsoft.com/office/word/2010/wordml" w14:paraId="1B7EEB23" wp14:textId="786A19A9">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Gibbs ‘Reflective Cycle’ and Tripp’s professional development theories will be used in this section of evaluation and next professional steps (Gibbs, 1988 and Tripp, 2014). It is imperative that the six-stage processes are followed along with elevating our ‘normal’ incidents into critical ones effectively </w:t>
      </w:r>
      <w:proofErr w:type="gram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in order for</w:t>
      </w:r>
      <w:proofErr w:type="gram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improvements to be made by practitioners (Tripp, 2011). Additionally, through the following of the ‘Professional Standards</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educators can employ the five elements to help their personal growth and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utilise</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effective reflection techniques to help their growth, such as evaluation (Welsh Government, 2020). </w:t>
      </w:r>
      <w:bookmarkStart w:name="_Int_oTUjubaq" w:id="536810469"/>
      <w:r w:rsidRPr="41B89AC4" w:rsidR="0E184CD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Furthermore, my future in the profession of teaching will be </w:t>
      </w:r>
      <w:proofErr w:type="spellStart"/>
      <w:r w:rsidRPr="41B89AC4" w:rsidR="0E184CD7">
        <w:rPr>
          <w:rFonts w:ascii="Arial" w:hAnsi="Arial" w:eastAsia="Arial" w:cs="Arial"/>
          <w:b w:val="0"/>
          <w:bCs w:val="0"/>
          <w:i w:val="0"/>
          <w:iCs w:val="0"/>
          <w:strike w:val="0"/>
          <w:dstrike w:val="0"/>
          <w:noProof w:val="0"/>
          <w:color w:val="000000" w:themeColor="text1" w:themeTint="FF" w:themeShade="FF"/>
          <w:sz w:val="24"/>
          <w:szCs w:val="24"/>
          <w:u w:val="none"/>
          <w:lang w:val="en-US"/>
        </w:rPr>
        <w:t>analysed</w:t>
      </w:r>
      <w:proofErr w:type="spellEnd"/>
      <w:r w:rsidRPr="41B89AC4" w:rsidR="0E184CD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against the </w:t>
      </w:r>
      <w:proofErr w:type="spellStart"/>
      <w:r w:rsidRPr="41B89AC4" w:rsidR="0E184CD7">
        <w:rPr>
          <w:rFonts w:ascii="Arial" w:hAnsi="Arial" w:eastAsia="Arial" w:cs="Arial"/>
          <w:b w:val="0"/>
          <w:bCs w:val="0"/>
          <w:i w:val="0"/>
          <w:iCs w:val="0"/>
          <w:strike w:val="0"/>
          <w:dstrike w:val="0"/>
          <w:noProof w:val="0"/>
          <w:color w:val="000000" w:themeColor="text1" w:themeTint="FF" w:themeShade="FF"/>
          <w:sz w:val="24"/>
          <w:szCs w:val="24"/>
          <w:u w:val="none"/>
          <w:lang w:val="en-US"/>
        </w:rPr>
        <w:t>practises</w:t>
      </w:r>
      <w:proofErr w:type="spellEnd"/>
      <w:r w:rsidRPr="41B89AC4" w:rsidR="0E184CD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witnessed, to improve and self-</w:t>
      </w:r>
      <w:proofErr w:type="spellStart"/>
      <w:r w:rsidRPr="41B89AC4" w:rsidR="0E184CD7">
        <w:rPr>
          <w:rFonts w:ascii="Arial" w:hAnsi="Arial" w:eastAsia="Arial" w:cs="Arial"/>
          <w:b w:val="0"/>
          <w:bCs w:val="0"/>
          <w:i w:val="0"/>
          <w:iCs w:val="0"/>
          <w:strike w:val="0"/>
          <w:dstrike w:val="0"/>
          <w:noProof w:val="0"/>
          <w:color w:val="000000" w:themeColor="text1" w:themeTint="FF" w:themeShade="FF"/>
          <w:sz w:val="24"/>
          <w:szCs w:val="24"/>
          <w:u w:val="none"/>
          <w:lang w:val="en-US"/>
        </w:rPr>
        <w:t>analyse</w:t>
      </w:r>
      <w:proofErr w:type="spellEnd"/>
      <w:r w:rsidRPr="41B89AC4" w:rsidR="0E184CD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myself in the role.</w:t>
      </w:r>
      <w:bookmarkEnd w:id="536810469"/>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14:paraId="0354F9ED" wp14:textId="1366BB73"/>
    <w:p xmlns:wp14="http://schemas.microsoft.com/office/word/2010/wordml" w14:paraId="147B070E" wp14:textId="43620748">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previously mentioned, the critical incident described above involves the utilisation of positive reinforcement but also, its effectiveness in the instance in which it was used. Through critical analysis of what may have been seen as a mundane incident, it was concluded that this form of operant conditioning was used with efficacy. The educator followed School X’s behaviour policies and dealt with the positive behaviour as they would have a negative one, in a fair, appropriate way. Moreover, the child who directly benefited from receiving the reward seemed to show genuine happiness through smiling and accepting the reward. In addition to this, the children within the class who witnessed this reward being given also displayed positivity to this method of reinforcement, seemingly working harder and behaving more helpfully the next day in order to be the next recipient of the highly regarded reward. </w:t>
      </w:r>
    </w:p>
    <w:p xmlns:wp14="http://schemas.microsoft.com/office/word/2010/wordml" w14:paraId="75DD8A37" wp14:textId="2CD8C4C1">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14:paraId="7AD1683C" wp14:textId="0D9E0D7B">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As a trainee practitioner, I </w:t>
      </w:r>
      <w:bookmarkStart w:name="_Int_HksoIZFd" w:id="1406295243"/>
      <w:r w:rsidRPr="41B89AC4" w:rsidR="666B3577">
        <w:rPr>
          <w:rFonts w:ascii="Arial" w:hAnsi="Arial" w:eastAsia="Arial" w:cs="Arial"/>
          <w:b w:val="0"/>
          <w:bCs w:val="0"/>
          <w:i w:val="0"/>
          <w:iCs w:val="0"/>
          <w:strike w:val="0"/>
          <w:dstrike w:val="0"/>
          <w:noProof w:val="0"/>
          <w:color w:val="000000" w:themeColor="text1" w:themeTint="FF" w:themeShade="FF"/>
          <w:sz w:val="24"/>
          <w:szCs w:val="24"/>
          <w:u w:val="none"/>
          <w:lang w:val="en-US"/>
        </w:rPr>
        <w:t>saw</w:t>
      </w:r>
      <w:bookmarkEnd w:id="1406295243"/>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short-term benefit in carrying out this method of reinforcement. However, it also led me to question its long-term efficacy and whether; children would either get bored of it or they would become reliant on it, with both potential outcomes being as problematic as each other. Indeed, effective teachers may use proven </w:t>
      </w:r>
      <w:proofErr w:type="gram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techniques</w:t>
      </w:r>
      <w:proofErr w:type="gram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but these techniques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alone do not constitute</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effective teaching (Tripp, 2011). </w:t>
      </w:r>
      <w:r w:rsidRPr="41B89AC4" w:rsidR="2ECE796E">
        <w:rPr>
          <w:rFonts w:ascii="Arial" w:hAnsi="Arial" w:eastAsia="Arial" w:cs="Arial"/>
          <w:b w:val="0"/>
          <w:bCs w:val="0"/>
          <w:i w:val="0"/>
          <w:iCs w:val="0"/>
          <w:strike w:val="0"/>
          <w:dstrike w:val="0"/>
          <w:noProof w:val="0"/>
          <w:color w:val="000000" w:themeColor="text1" w:themeTint="FF" w:themeShade="FF"/>
          <w:sz w:val="24"/>
          <w:szCs w:val="24"/>
          <w:u w:val="none"/>
          <w:lang w:val="en-US"/>
        </w:rPr>
        <w:t>Overall,</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though, it could be fair to say that a reward system such as this one works for children in foundation learning, as when Child X received a reward, they were not only </w:t>
      </w:r>
      <w:proofErr w:type="gram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happy</w:t>
      </w:r>
      <w:proofErr w:type="gram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but it was a catalyst for other children to apply themselves also. </w:t>
      </w:r>
      <w:r>
        <w:br/>
      </w:r>
    </w:p>
    <w:p xmlns:wp14="http://schemas.microsoft.com/office/word/2010/wordml" w14:paraId="1B5C7F70" wp14:textId="6E43CE52">
      <w:proofErr w:type="gram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On the whole</w:t>
      </w:r>
      <w:proofErr w:type="gram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could be argued that young children should be rewarded for their stand-out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endeavours</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 it does not just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provide</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them a platform in which to base their future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behaviours</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on but also makes them feel a sense of happiness and pride in themselves, an important self-esteem boost which could help a child’s life success (Clarke et al, 2003). Moreover, it can prove to help the teacher manage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behaviours</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work ethic within their classrooms, if used appropriately (Axelrod, 2012). The overuse or misuse of it through bribery are two factors that should be considered when implementing it in the classroom (Pettit, 2013).</w:t>
      </w:r>
      <w:r>
        <w:br/>
      </w:r>
    </w:p>
    <w:p xmlns:wp14="http://schemas.microsoft.com/office/word/2010/wordml" w14:paraId="128F82D2" wp14:textId="59844B38">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My future action plan would be to interrogate my own practice as this will ensure I am continually critical and progressive in my career,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attempting</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avoid stagnation and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realising</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perfectionism is positively unobtainable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Tenenberg</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&amp; McCartney, 2008). To do this,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perhaps I</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could offer pupils the opportunity to </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disclose</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what they would like to receive as rewards for certain achievements or whether </w:t>
      </w:r>
      <w:bookmarkStart w:name="_Int_j9MprMRX" w:id="2027496407"/>
      <w:r w:rsidRPr="41B89AC4" w:rsidR="6D6ABF6F">
        <w:rPr>
          <w:rFonts w:ascii="Arial" w:hAnsi="Arial" w:eastAsia="Arial" w:cs="Arial"/>
          <w:b w:val="0"/>
          <w:bCs w:val="0"/>
          <w:i w:val="0"/>
          <w:iCs w:val="0"/>
          <w:strike w:val="0"/>
          <w:dstrike w:val="0"/>
          <w:noProof w:val="0"/>
          <w:color w:val="000000" w:themeColor="text1" w:themeTint="FF" w:themeShade="FF"/>
          <w:sz w:val="24"/>
          <w:szCs w:val="24"/>
          <w:u w:val="none"/>
          <w:lang w:val="en-US"/>
        </w:rPr>
        <w:t>they would</w:t>
      </w:r>
      <w:bookmarkEnd w:id="2027496407"/>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prefer group rewards </w:t>
      </w:r>
      <w:proofErr w:type="gram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similar to</w:t>
      </w:r>
      <w:proofErr w:type="gram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w:t>
      </w:r>
      <w:r w:rsidRPr="41B89AC4" w:rsidR="4CBD3208">
        <w:rPr>
          <w:rFonts w:ascii="Arial" w:hAnsi="Arial" w:eastAsia="Arial" w:cs="Arial"/>
          <w:b w:val="0"/>
          <w:bCs w:val="0"/>
          <w:i w:val="0"/>
          <w:iCs w:val="0"/>
          <w:strike w:val="0"/>
          <w:dstrike w:val="0"/>
          <w:noProof w:val="0"/>
          <w:color w:val="000000" w:themeColor="text1" w:themeTint="FF" w:themeShade="FF"/>
          <w:sz w:val="24"/>
          <w:szCs w:val="24"/>
          <w:u w:val="none"/>
          <w:lang w:val="en-US"/>
        </w:rPr>
        <w:t>ones</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received in School X, or even no reward at all. This would help to create ethical and informed citizens, taking responsibility for their own learning by making independent decisions (Donaldson, 2015). Overall, my next steps will be to use a reward system for the happiness and pride the children feel but also try to ensure lessons are engaging and school is enjoyable and a privilege enough that children do not need extrinsic rewards. However, I am also aware that, if used effectively, rewards can be useful to the behavior, </w:t>
      </w:r>
      <w:bookmarkStart w:name="_Int_Y53qoH8P" w:id="1075800370"/>
      <w:r w:rsidRPr="41B89AC4" w:rsidR="6B70F766">
        <w:rPr>
          <w:rFonts w:ascii="Arial" w:hAnsi="Arial" w:eastAsia="Arial" w:cs="Arial"/>
          <w:b w:val="0"/>
          <w:bCs w:val="0"/>
          <w:i w:val="0"/>
          <w:iCs w:val="0"/>
          <w:strike w:val="0"/>
          <w:dstrike w:val="0"/>
          <w:noProof w:val="0"/>
          <w:color w:val="000000" w:themeColor="text1" w:themeTint="FF" w:themeShade="FF"/>
          <w:sz w:val="24"/>
          <w:szCs w:val="24"/>
          <w:u w:val="none"/>
          <w:lang w:val="en-US"/>
        </w:rPr>
        <w:t>effort</w:t>
      </w:r>
      <w:bookmarkEnd w:id="1075800370"/>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happiness of certain individuals in the classroom.</w:t>
      </w:r>
    </w:p>
    <w:p xmlns:wp14="http://schemas.microsoft.com/office/word/2010/wordml" w14:paraId="429EDB5D" wp14:textId="06999730"/>
    <w:p xmlns:wp14="http://schemas.microsoft.com/office/word/2010/wordml" w14:paraId="02CBE9C4" wp14:textId="12242FAE">
      <w:r w:rsidRPr="41B89AC4" w:rsidR="7712711A">
        <w:rPr>
          <w:rFonts w:ascii="Arial" w:hAnsi="Arial" w:eastAsia="Arial" w:cs="Arial"/>
          <w:b w:val="0"/>
          <w:bCs w:val="0"/>
          <w:i w:val="0"/>
          <w:iCs w:val="0"/>
          <w:strike w:val="0"/>
          <w:dstrike w:val="0"/>
          <w:noProof w:val="0"/>
          <w:color w:val="000000" w:themeColor="text1" w:themeTint="FF" w:themeShade="FF"/>
          <w:sz w:val="24"/>
          <w:szCs w:val="24"/>
          <w:u w:val="single"/>
          <w:lang w:val="en-US"/>
        </w:rPr>
        <w:t>Conclusion:</w:t>
      </w:r>
    </w:p>
    <w:p xmlns:wp14="http://schemas.microsoft.com/office/word/2010/wordml" w14:paraId="6F96172A" wp14:textId="27FAE269">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To conclude, it is fair to say that positive reinforcement has more benefits than pitfalls, if used in the correct way, as School X did in my time there. The child responded positively to it, as well as </w:t>
      </w:r>
      <w:r w:rsidRPr="41B89AC4" w:rsidR="666A6DA1">
        <w:rPr>
          <w:rFonts w:ascii="Arial" w:hAnsi="Arial" w:eastAsia="Arial" w:cs="Arial"/>
          <w:b w:val="0"/>
          <w:bCs w:val="0"/>
          <w:i w:val="0"/>
          <w:iCs w:val="0"/>
          <w:strike w:val="0"/>
          <w:dstrike w:val="0"/>
          <w:noProof w:val="0"/>
          <w:color w:val="000000" w:themeColor="text1" w:themeTint="FF" w:themeShade="FF"/>
          <w:sz w:val="24"/>
          <w:szCs w:val="24"/>
          <w:u w:val="none"/>
          <w:lang w:val="en-US"/>
        </w:rPr>
        <w:t>much of</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class the next day through increased productivity and even improved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behaviour</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Indeed, drawing on critical incident analysis to help support my future, personally and </w:t>
      </w:r>
      <w:r w:rsidRPr="41B89AC4" w:rsidR="0BEB1059">
        <w:rPr>
          <w:rFonts w:ascii="Arial" w:hAnsi="Arial" w:eastAsia="Arial" w:cs="Arial"/>
          <w:b w:val="0"/>
          <w:bCs w:val="0"/>
          <w:i w:val="0"/>
          <w:iCs w:val="0"/>
          <w:strike w:val="0"/>
          <w:dstrike w:val="0"/>
          <w:noProof w:val="0"/>
          <w:color w:val="000000" w:themeColor="text1" w:themeTint="FF" w:themeShade="FF"/>
          <w:sz w:val="24"/>
          <w:szCs w:val="24"/>
          <w:u w:val="none"/>
          <w:lang w:val="en-US"/>
        </w:rPr>
        <w:t>professionally,</w:t>
      </w:r>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has been helpful beyond measure. Indeed, being reflective in the field of education is imperative to my development as a practitioner (Tripp, 2011). Additionally, this outlook also links accordingly with the Professional Standards in the </w:t>
      </w:r>
      <w:proofErr w:type="spellStart"/>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CfW</w:t>
      </w:r>
      <w:proofErr w:type="spellEnd"/>
      <w:r w:rsidRPr="41B89AC4" w:rsidR="7712711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as reflection is paramount in making sure effective teaching takes place to encourage learners to become ethically informed, ambitious and capable, enterprising and creative, healthy and confident individuals (Donaldson, 2015). </w:t>
      </w:r>
    </w:p>
    <w:p xmlns:wp14="http://schemas.microsoft.com/office/word/2010/wordml" w:rsidP="41B89AC4" w14:paraId="33DC93C5" wp14:textId="3852E711">
      <w:pPr>
        <w:rPr>
          <w:rFonts w:ascii="Arial" w:hAnsi="Arial" w:eastAsia="Arial" w:cs="Arial"/>
          <w:b w:val="1"/>
          <w:bCs w:val="1"/>
          <w:i w:val="0"/>
          <w:iCs w:val="0"/>
          <w:strike w:val="0"/>
          <w:dstrike w:val="0"/>
          <w:noProof w:val="0"/>
          <w:color w:val="000000" w:themeColor="text1" w:themeTint="FF" w:themeShade="FF"/>
          <w:sz w:val="24"/>
          <w:szCs w:val="24"/>
          <w:u w:val="single"/>
          <w:lang w:val="en-US"/>
        </w:rPr>
      </w:pPr>
      <w:r>
        <w:br/>
      </w:r>
      <w:r>
        <w:br/>
      </w:r>
      <w:r>
        <w:br/>
      </w:r>
      <w:r>
        <w:br/>
      </w:r>
      <w:r>
        <w:br/>
      </w:r>
      <w:r>
        <w:br/>
      </w:r>
      <w:r>
        <w:br/>
      </w:r>
      <w:r>
        <w:br/>
      </w:r>
      <w:r>
        <w:br/>
      </w:r>
      <w:r>
        <w:br/>
      </w:r>
      <w:r>
        <w:br/>
      </w:r>
      <w:r>
        <w:br/>
      </w:r>
      <w:r>
        <w:br/>
      </w:r>
      <w:r>
        <w:br/>
      </w:r>
      <w:r>
        <w:br/>
      </w:r>
      <w:r>
        <w:br/>
      </w:r>
      <w:r>
        <w:br/>
      </w:r>
      <w:r>
        <w:br/>
      </w:r>
      <w:r>
        <w:br/>
      </w:r>
      <w:r>
        <w:br/>
      </w:r>
      <w:r w:rsidRPr="41B89AC4" w:rsidR="7712711A">
        <w:rPr>
          <w:rFonts w:ascii="Arial" w:hAnsi="Arial" w:eastAsia="Arial" w:cs="Arial"/>
          <w:b w:val="1"/>
          <w:bCs w:val="1"/>
          <w:i w:val="0"/>
          <w:iCs w:val="0"/>
          <w:strike w:val="0"/>
          <w:dstrike w:val="0"/>
          <w:noProof w:val="0"/>
          <w:color w:val="000000" w:themeColor="text1" w:themeTint="FF" w:themeShade="FF"/>
          <w:sz w:val="24"/>
          <w:szCs w:val="24"/>
          <w:u w:val="single"/>
          <w:lang w:val="en-US"/>
        </w:rPr>
        <w:t>REFERENCES:</w:t>
      </w:r>
    </w:p>
    <w:p xmlns:wp14="http://schemas.microsoft.com/office/word/2010/wordml" w:rsidP="41B89AC4" w14:paraId="7D9EF064" wp14:textId="1B43903F">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Andreasen, L., 2006. School-wide positive behavior supports: an evaluation of an elementary school program.</w:t>
      </w:r>
    </w:p>
    <w:p xmlns:wp14="http://schemas.microsoft.com/office/word/2010/wordml" w14:paraId="011584FB" wp14:textId="473C898F">
      <w:r>
        <w:br/>
      </w:r>
    </w:p>
    <w:p xmlns:wp14="http://schemas.microsoft.com/office/word/2010/wordml" w:rsidP="41B89AC4" w14:paraId="74358036" wp14:textId="770FE404">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Axelrod, S., 2012. Dealing with classroom management problems. </w:t>
      </w:r>
      <w:r w:rsidRPr="41B89AC4" w:rsidR="7712711A">
        <w:rPr>
          <w:rFonts w:ascii="Arial" w:hAnsi="Arial" w:eastAsia="Arial" w:cs="Arial"/>
          <w:b w:val="0"/>
          <w:bCs w:val="0"/>
          <w:i w:val="1"/>
          <w:iCs w:val="1"/>
          <w:strike w:val="0"/>
          <w:dstrike w:val="0"/>
          <w:noProof w:val="0"/>
          <w:color w:val="222222"/>
          <w:sz w:val="20"/>
          <w:szCs w:val="20"/>
          <w:u w:val="none"/>
          <w:lang w:val="en-US"/>
        </w:rPr>
        <w:t>Better: Evidence-based Education</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w:t>
      </w:r>
      <w:r w:rsidRPr="41B89AC4" w:rsidR="7712711A">
        <w:rPr>
          <w:rFonts w:ascii="Arial" w:hAnsi="Arial" w:eastAsia="Arial" w:cs="Arial"/>
          <w:b w:val="0"/>
          <w:bCs w:val="0"/>
          <w:i w:val="1"/>
          <w:iCs w:val="1"/>
          <w:strike w:val="0"/>
          <w:dstrike w:val="0"/>
          <w:noProof w:val="0"/>
          <w:color w:val="222222"/>
          <w:sz w:val="20"/>
          <w:szCs w:val="20"/>
          <w:u w:val="none"/>
          <w:lang w:val="en-US"/>
        </w:rPr>
        <w:t>5</w:t>
      </w:r>
      <w:r w:rsidRPr="41B89AC4" w:rsidR="7712711A">
        <w:rPr>
          <w:rFonts w:ascii="Arial" w:hAnsi="Arial" w:eastAsia="Arial" w:cs="Arial"/>
          <w:b w:val="0"/>
          <w:bCs w:val="0"/>
          <w:i w:val="0"/>
          <w:iCs w:val="0"/>
          <w:strike w:val="0"/>
          <w:dstrike w:val="0"/>
          <w:noProof w:val="0"/>
          <w:color w:val="222222"/>
          <w:sz w:val="20"/>
          <w:szCs w:val="20"/>
          <w:u w:val="none"/>
          <w:lang w:val="en-US"/>
        </w:rPr>
        <w:t>(1), pp.16-17.</w:t>
      </w:r>
    </w:p>
    <w:p xmlns:wp14="http://schemas.microsoft.com/office/word/2010/wordml" w14:paraId="2DCC8972" wp14:textId="569805E6">
      <w:r>
        <w:br/>
      </w:r>
    </w:p>
    <w:p xmlns:wp14="http://schemas.microsoft.com/office/word/2010/wordml" w:rsidP="41B89AC4" w14:paraId="3F7B6F5B" wp14:textId="43D469D5">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Azano, A.P., Bass, E.L. and Wright, H., 2021. Stereotype Threat for Rural Students. In </w:t>
      </w:r>
      <w:r w:rsidRPr="41B89AC4" w:rsidR="7712711A">
        <w:rPr>
          <w:rFonts w:ascii="Arial" w:hAnsi="Arial" w:eastAsia="Arial" w:cs="Arial"/>
          <w:b w:val="0"/>
          <w:bCs w:val="0"/>
          <w:i w:val="1"/>
          <w:iCs w:val="1"/>
          <w:strike w:val="0"/>
          <w:dstrike w:val="0"/>
          <w:noProof w:val="0"/>
          <w:color w:val="222222"/>
          <w:sz w:val="20"/>
          <w:szCs w:val="20"/>
          <w:u w:val="none"/>
          <w:lang w:val="en-US"/>
        </w:rPr>
        <w:t>Gifted Education in Rural Schools</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(pp. 21-27). Routledge.</w:t>
      </w:r>
    </w:p>
    <w:p xmlns:wp14="http://schemas.microsoft.com/office/word/2010/wordml" w14:paraId="5C6FE2B1" wp14:textId="59C2B529">
      <w:r>
        <w:br/>
      </w:r>
    </w:p>
    <w:p xmlns:wp14="http://schemas.microsoft.com/office/word/2010/wordml" w:rsidP="41B89AC4" w14:paraId="4C06C750" wp14:textId="2F441445">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Beckingham, S., 2018. Baseline skills—scaffolding soft skills development within the curriculum. In </w:t>
      </w:r>
      <w:r w:rsidRPr="41B89AC4" w:rsidR="7712711A">
        <w:rPr>
          <w:rFonts w:ascii="Arial" w:hAnsi="Arial" w:eastAsia="Arial" w:cs="Arial"/>
          <w:b w:val="0"/>
          <w:bCs w:val="0"/>
          <w:i w:val="1"/>
          <w:iCs w:val="1"/>
          <w:strike w:val="0"/>
          <w:dstrike w:val="0"/>
          <w:noProof w:val="0"/>
          <w:color w:val="222222"/>
          <w:sz w:val="20"/>
          <w:szCs w:val="20"/>
          <w:u w:val="none"/>
          <w:lang w:val="en-US"/>
        </w:rPr>
        <w:t>Higher Education Computer Science</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(pp. 221-242). Springer, Cham.</w:t>
      </w:r>
    </w:p>
    <w:p xmlns:wp14="http://schemas.microsoft.com/office/word/2010/wordml" w14:paraId="4FA77AF0" wp14:textId="5BBF8B2B">
      <w:r>
        <w:br/>
      </w:r>
    </w:p>
    <w:p xmlns:wp14="http://schemas.microsoft.com/office/word/2010/wordml" w:rsidP="41B89AC4" w14:paraId="4075E45F" wp14:textId="3E546629">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Brookfield, S., 1998. Critically reflective practice. </w:t>
      </w:r>
      <w:r w:rsidRPr="41B89AC4" w:rsidR="7712711A">
        <w:rPr>
          <w:rFonts w:ascii="Arial" w:hAnsi="Arial" w:eastAsia="Arial" w:cs="Arial"/>
          <w:b w:val="0"/>
          <w:bCs w:val="0"/>
          <w:i w:val="1"/>
          <w:iCs w:val="1"/>
          <w:strike w:val="0"/>
          <w:dstrike w:val="0"/>
          <w:noProof w:val="0"/>
          <w:color w:val="222222"/>
          <w:sz w:val="20"/>
          <w:szCs w:val="20"/>
          <w:u w:val="none"/>
          <w:lang w:val="en-US"/>
        </w:rPr>
        <w:t>Journal of Continuing Education in the Health Professions</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w:t>
      </w:r>
      <w:r w:rsidRPr="41B89AC4" w:rsidR="7712711A">
        <w:rPr>
          <w:rFonts w:ascii="Arial" w:hAnsi="Arial" w:eastAsia="Arial" w:cs="Arial"/>
          <w:b w:val="0"/>
          <w:bCs w:val="0"/>
          <w:i w:val="1"/>
          <w:iCs w:val="1"/>
          <w:strike w:val="0"/>
          <w:dstrike w:val="0"/>
          <w:noProof w:val="0"/>
          <w:color w:val="222222"/>
          <w:sz w:val="20"/>
          <w:szCs w:val="20"/>
          <w:u w:val="none"/>
          <w:lang w:val="en-US"/>
        </w:rPr>
        <w:t>18</w:t>
      </w:r>
      <w:r w:rsidRPr="41B89AC4" w:rsidR="7712711A">
        <w:rPr>
          <w:rFonts w:ascii="Arial" w:hAnsi="Arial" w:eastAsia="Arial" w:cs="Arial"/>
          <w:b w:val="0"/>
          <w:bCs w:val="0"/>
          <w:i w:val="0"/>
          <w:iCs w:val="0"/>
          <w:strike w:val="0"/>
          <w:dstrike w:val="0"/>
          <w:noProof w:val="0"/>
          <w:color w:val="222222"/>
          <w:sz w:val="20"/>
          <w:szCs w:val="20"/>
          <w:u w:val="none"/>
          <w:lang w:val="en-US"/>
        </w:rPr>
        <w:t>(4), pp.197-205.</w:t>
      </w:r>
    </w:p>
    <w:p xmlns:wp14="http://schemas.microsoft.com/office/word/2010/wordml" w14:paraId="443ABEBE" wp14:textId="7DC21EE6">
      <w:r>
        <w:br/>
      </w:r>
    </w:p>
    <w:p xmlns:wp14="http://schemas.microsoft.com/office/word/2010/wordml" w:rsidP="41B89AC4" w14:paraId="670ECADE" wp14:textId="1BAC62CF">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Clarke, S., Timperley, H. and Hattie, J., 2003. </w:t>
      </w:r>
      <w:r w:rsidRPr="41B89AC4" w:rsidR="7712711A">
        <w:rPr>
          <w:rFonts w:ascii="Arial" w:hAnsi="Arial" w:eastAsia="Arial" w:cs="Arial"/>
          <w:b w:val="0"/>
          <w:bCs w:val="0"/>
          <w:i w:val="1"/>
          <w:iCs w:val="1"/>
          <w:strike w:val="0"/>
          <w:dstrike w:val="0"/>
          <w:noProof w:val="0"/>
          <w:color w:val="222222"/>
          <w:sz w:val="20"/>
          <w:szCs w:val="20"/>
          <w:u w:val="none"/>
          <w:lang w:val="en-US"/>
        </w:rPr>
        <w:t>Unlocking formative assessment: Practical strategies for enhancing students' learning in the primary and intermediate classroom</w:t>
      </w:r>
      <w:r w:rsidRPr="41B89AC4" w:rsidR="7712711A">
        <w:rPr>
          <w:rFonts w:ascii="Arial" w:hAnsi="Arial" w:eastAsia="Arial" w:cs="Arial"/>
          <w:b w:val="0"/>
          <w:bCs w:val="0"/>
          <w:i w:val="0"/>
          <w:iCs w:val="0"/>
          <w:strike w:val="0"/>
          <w:dstrike w:val="0"/>
          <w:noProof w:val="0"/>
          <w:color w:val="222222"/>
          <w:sz w:val="20"/>
          <w:szCs w:val="20"/>
          <w:u w:val="none"/>
          <w:lang w:val="en-US"/>
        </w:rPr>
        <w:t>. Hodder Moa Beckett.</w:t>
      </w:r>
    </w:p>
    <w:p xmlns:wp14="http://schemas.microsoft.com/office/word/2010/wordml" w14:paraId="5B2E33F2" wp14:textId="75DE8DC3">
      <w:r>
        <w:br/>
      </w:r>
    </w:p>
    <w:p xmlns:wp14="http://schemas.microsoft.com/office/word/2010/wordml" w:rsidP="41B89AC4" w14:paraId="6AB125F9" wp14:textId="7605F3A1">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de Méndez, A.G.L. and y Enseñanza, P., 1987. </w:t>
      </w:r>
      <w:r w:rsidRPr="41B89AC4" w:rsidR="7712711A">
        <w:rPr>
          <w:rFonts w:ascii="Arial" w:hAnsi="Arial" w:eastAsia="Arial" w:cs="Arial"/>
          <w:b w:val="0"/>
          <w:bCs w:val="0"/>
          <w:i w:val="1"/>
          <w:iCs w:val="1"/>
          <w:strike w:val="0"/>
          <w:dstrike w:val="0"/>
          <w:noProof w:val="0"/>
          <w:color w:val="222222"/>
          <w:sz w:val="20"/>
          <w:szCs w:val="20"/>
          <w:u w:val="none"/>
          <w:lang w:val="en-US"/>
        </w:rPr>
        <w:t>What teachers learn during the first years of teaching: the perspectives of a group of Puerto Rican teachers</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(Doctoral dissertation, Harvard Graduate School of Education).</w:t>
      </w:r>
    </w:p>
    <w:p xmlns:wp14="http://schemas.microsoft.com/office/word/2010/wordml" w14:paraId="49D24DA4" wp14:textId="0ED25C55">
      <w:r>
        <w:br/>
      </w:r>
    </w:p>
    <w:p xmlns:wp14="http://schemas.microsoft.com/office/word/2010/wordml" w:rsidP="41B89AC4" w14:paraId="72581B22" wp14:textId="53AB0584">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Dewey, J., 1997. </w:t>
      </w:r>
      <w:r w:rsidRPr="41B89AC4" w:rsidR="7712711A">
        <w:rPr>
          <w:rFonts w:ascii="Arial" w:hAnsi="Arial" w:eastAsia="Arial" w:cs="Arial"/>
          <w:b w:val="0"/>
          <w:bCs w:val="0"/>
          <w:i w:val="1"/>
          <w:iCs w:val="1"/>
          <w:strike w:val="0"/>
          <w:dstrike w:val="0"/>
          <w:noProof w:val="0"/>
          <w:color w:val="222222"/>
          <w:sz w:val="20"/>
          <w:szCs w:val="20"/>
          <w:u w:val="none"/>
          <w:lang w:val="en-US"/>
        </w:rPr>
        <w:t>How we think</w:t>
      </w:r>
      <w:r w:rsidRPr="41B89AC4" w:rsidR="7712711A">
        <w:rPr>
          <w:rFonts w:ascii="Arial" w:hAnsi="Arial" w:eastAsia="Arial" w:cs="Arial"/>
          <w:b w:val="0"/>
          <w:bCs w:val="0"/>
          <w:i w:val="0"/>
          <w:iCs w:val="0"/>
          <w:strike w:val="0"/>
          <w:dstrike w:val="0"/>
          <w:noProof w:val="0"/>
          <w:color w:val="222222"/>
          <w:sz w:val="20"/>
          <w:szCs w:val="20"/>
          <w:u w:val="none"/>
          <w:lang w:val="en-US"/>
        </w:rPr>
        <w:t>. Courier Corporation.</w:t>
      </w:r>
    </w:p>
    <w:p xmlns:wp14="http://schemas.microsoft.com/office/word/2010/wordml" w14:paraId="7760B704" wp14:textId="494080A5">
      <w:r>
        <w:br/>
      </w:r>
    </w:p>
    <w:p xmlns:wp14="http://schemas.microsoft.com/office/word/2010/wordml" w:rsidP="41B89AC4" w14:paraId="7A0F1262" wp14:textId="7FE1CDFC">
      <w:pPr>
        <w:ind w:firstLine="720"/>
      </w:pPr>
      <w:r w:rsidRPr="41B89AC4" w:rsidR="7712711A">
        <w:rPr>
          <w:rFonts w:ascii="Arial" w:hAnsi="Arial" w:eastAsia="Arial" w:cs="Arial"/>
          <w:b w:val="0"/>
          <w:bCs w:val="0"/>
          <w:i w:val="0"/>
          <w:iCs w:val="0"/>
          <w:strike w:val="0"/>
          <w:dstrike w:val="0"/>
          <w:noProof w:val="0"/>
          <w:color w:val="000000" w:themeColor="text1" w:themeTint="FF" w:themeShade="FF"/>
          <w:sz w:val="20"/>
          <w:szCs w:val="20"/>
          <w:u w:val="none"/>
          <w:lang w:val="en-US"/>
        </w:rPr>
        <w:t>Donaldson, G. (2015). Successful futures: independent review of curriculum and assessment arrangements in Wales: February 2015.</w:t>
      </w:r>
    </w:p>
    <w:p xmlns:wp14="http://schemas.microsoft.com/office/word/2010/wordml" w14:paraId="30658434" wp14:textId="13C57198">
      <w:r>
        <w:br/>
      </w:r>
    </w:p>
    <w:p xmlns:wp14="http://schemas.microsoft.com/office/word/2010/wordml" w:rsidP="41B89AC4" w14:paraId="186F6A56" wp14:textId="4C126A78">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Doyle, W., 1986. Classroom Management Techniques and Student Discipline.</w:t>
      </w:r>
    </w:p>
    <w:p xmlns:wp14="http://schemas.microsoft.com/office/word/2010/wordml" w14:paraId="52F3989D" wp14:textId="346E09E2">
      <w:r>
        <w:br/>
      </w:r>
    </w:p>
    <w:p xmlns:wp14="http://schemas.microsoft.com/office/word/2010/wordml" w:rsidP="41B89AC4" w14:paraId="58D22D51" wp14:textId="6298395F">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Dweck, C.S., 2006. </w:t>
      </w:r>
      <w:r w:rsidRPr="41B89AC4" w:rsidR="7712711A">
        <w:rPr>
          <w:rFonts w:ascii="Arial" w:hAnsi="Arial" w:eastAsia="Arial" w:cs="Arial"/>
          <w:b w:val="0"/>
          <w:bCs w:val="0"/>
          <w:i w:val="1"/>
          <w:iCs w:val="1"/>
          <w:strike w:val="0"/>
          <w:dstrike w:val="0"/>
          <w:noProof w:val="0"/>
          <w:color w:val="222222"/>
          <w:sz w:val="20"/>
          <w:szCs w:val="20"/>
          <w:u w:val="none"/>
          <w:lang w:val="en-US"/>
        </w:rPr>
        <w:t>Mindset: The new psychology of success</w:t>
      </w:r>
      <w:r w:rsidRPr="41B89AC4" w:rsidR="7712711A">
        <w:rPr>
          <w:rFonts w:ascii="Arial" w:hAnsi="Arial" w:eastAsia="Arial" w:cs="Arial"/>
          <w:b w:val="0"/>
          <w:bCs w:val="0"/>
          <w:i w:val="0"/>
          <w:iCs w:val="0"/>
          <w:strike w:val="0"/>
          <w:dstrike w:val="0"/>
          <w:noProof w:val="0"/>
          <w:color w:val="222222"/>
          <w:sz w:val="20"/>
          <w:szCs w:val="20"/>
          <w:u w:val="none"/>
          <w:lang w:val="en-US"/>
        </w:rPr>
        <w:t>. Random House.</w:t>
      </w:r>
    </w:p>
    <w:p xmlns:wp14="http://schemas.microsoft.com/office/word/2010/wordml" w14:paraId="2C522EC7" wp14:textId="19730A06">
      <w:r>
        <w:br/>
      </w:r>
    </w:p>
    <w:p xmlns:wp14="http://schemas.microsoft.com/office/word/2010/wordml" w:rsidP="41B89AC4" w14:paraId="33BD4E62" wp14:textId="1F08C742">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Dweck, C., 2015. Carol Dweck revisits the growth mindset. </w:t>
      </w:r>
      <w:r w:rsidRPr="41B89AC4" w:rsidR="7712711A">
        <w:rPr>
          <w:rFonts w:ascii="Arial" w:hAnsi="Arial" w:eastAsia="Arial" w:cs="Arial"/>
          <w:b w:val="0"/>
          <w:bCs w:val="0"/>
          <w:i w:val="1"/>
          <w:iCs w:val="1"/>
          <w:strike w:val="0"/>
          <w:dstrike w:val="0"/>
          <w:noProof w:val="0"/>
          <w:color w:val="222222"/>
          <w:sz w:val="20"/>
          <w:szCs w:val="20"/>
          <w:u w:val="none"/>
          <w:lang w:val="en-US"/>
        </w:rPr>
        <w:t>Education week</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w:t>
      </w:r>
      <w:r w:rsidRPr="41B89AC4" w:rsidR="7712711A">
        <w:rPr>
          <w:rFonts w:ascii="Arial" w:hAnsi="Arial" w:eastAsia="Arial" w:cs="Arial"/>
          <w:b w:val="0"/>
          <w:bCs w:val="0"/>
          <w:i w:val="1"/>
          <w:iCs w:val="1"/>
          <w:strike w:val="0"/>
          <w:dstrike w:val="0"/>
          <w:noProof w:val="0"/>
          <w:color w:val="222222"/>
          <w:sz w:val="20"/>
          <w:szCs w:val="20"/>
          <w:u w:val="none"/>
          <w:lang w:val="en-US"/>
        </w:rPr>
        <w:t>35</w:t>
      </w:r>
      <w:r w:rsidRPr="41B89AC4" w:rsidR="7712711A">
        <w:rPr>
          <w:rFonts w:ascii="Arial" w:hAnsi="Arial" w:eastAsia="Arial" w:cs="Arial"/>
          <w:b w:val="0"/>
          <w:bCs w:val="0"/>
          <w:i w:val="0"/>
          <w:iCs w:val="0"/>
          <w:strike w:val="0"/>
          <w:dstrike w:val="0"/>
          <w:noProof w:val="0"/>
          <w:color w:val="222222"/>
          <w:sz w:val="20"/>
          <w:szCs w:val="20"/>
          <w:u w:val="none"/>
          <w:lang w:val="en-US"/>
        </w:rPr>
        <w:t>(5), pp.20-24.</w:t>
      </w:r>
    </w:p>
    <w:p xmlns:wp14="http://schemas.microsoft.com/office/word/2010/wordml" w14:paraId="473397D6" wp14:textId="08DB0680">
      <w:r>
        <w:br/>
      </w:r>
    </w:p>
    <w:p xmlns:wp14="http://schemas.microsoft.com/office/word/2010/wordml" w:rsidP="41B89AC4" w14:paraId="4D27EE8C" wp14:textId="3B232787">
      <w:pPr>
        <w:ind w:firstLine="720"/>
      </w:pPr>
      <w:r w:rsidRPr="41B89AC4" w:rsidR="7712711A">
        <w:rPr>
          <w:rFonts w:ascii="Arial" w:hAnsi="Arial" w:eastAsia="Arial" w:cs="Arial"/>
          <w:b w:val="0"/>
          <w:bCs w:val="0"/>
          <w:i w:val="0"/>
          <w:iCs w:val="0"/>
          <w:strike w:val="0"/>
          <w:dstrike w:val="0"/>
          <w:noProof w:val="0"/>
          <w:color w:val="000000" w:themeColor="text1" w:themeTint="FF" w:themeShade="FF"/>
          <w:sz w:val="20"/>
          <w:szCs w:val="20"/>
          <w:u w:val="none"/>
          <w:lang w:val="en-US"/>
        </w:rPr>
        <w:t xml:space="preserve">Estyn. (2018). Improving teaching. Retrieved from Estyn.Gov.wales. </w:t>
      </w:r>
    </w:p>
    <w:p xmlns:wp14="http://schemas.microsoft.com/office/word/2010/wordml" w14:paraId="39F05E56" wp14:textId="0604B4C8">
      <w:r>
        <w:br/>
      </w:r>
    </w:p>
    <w:p xmlns:wp14="http://schemas.microsoft.com/office/word/2010/wordml" w:rsidP="41B89AC4" w14:paraId="24CB0E16" wp14:textId="39E023E5">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Filcheck, H.A., McNeil, C.B., Greco, L.A. and Bernard, R.S., 2004. Using a whole‐class token economy and coaching of teacher skills in a preschool classroom to manage disruptive behavior. </w:t>
      </w:r>
      <w:r w:rsidRPr="41B89AC4" w:rsidR="7712711A">
        <w:rPr>
          <w:rFonts w:ascii="Arial" w:hAnsi="Arial" w:eastAsia="Arial" w:cs="Arial"/>
          <w:b w:val="0"/>
          <w:bCs w:val="0"/>
          <w:i w:val="1"/>
          <w:iCs w:val="1"/>
          <w:strike w:val="0"/>
          <w:dstrike w:val="0"/>
          <w:noProof w:val="0"/>
          <w:color w:val="222222"/>
          <w:sz w:val="20"/>
          <w:szCs w:val="20"/>
          <w:u w:val="none"/>
          <w:lang w:val="en-US"/>
        </w:rPr>
        <w:t>Psychology in the Schools</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w:t>
      </w:r>
      <w:r w:rsidRPr="41B89AC4" w:rsidR="7712711A">
        <w:rPr>
          <w:rFonts w:ascii="Arial" w:hAnsi="Arial" w:eastAsia="Arial" w:cs="Arial"/>
          <w:b w:val="0"/>
          <w:bCs w:val="0"/>
          <w:i w:val="1"/>
          <w:iCs w:val="1"/>
          <w:strike w:val="0"/>
          <w:dstrike w:val="0"/>
          <w:noProof w:val="0"/>
          <w:color w:val="222222"/>
          <w:sz w:val="20"/>
          <w:szCs w:val="20"/>
          <w:u w:val="none"/>
          <w:lang w:val="en-US"/>
        </w:rPr>
        <w:t>41</w:t>
      </w:r>
      <w:r w:rsidRPr="41B89AC4" w:rsidR="7712711A">
        <w:rPr>
          <w:rFonts w:ascii="Arial" w:hAnsi="Arial" w:eastAsia="Arial" w:cs="Arial"/>
          <w:b w:val="0"/>
          <w:bCs w:val="0"/>
          <w:i w:val="0"/>
          <w:iCs w:val="0"/>
          <w:strike w:val="0"/>
          <w:dstrike w:val="0"/>
          <w:noProof w:val="0"/>
          <w:color w:val="222222"/>
          <w:sz w:val="20"/>
          <w:szCs w:val="20"/>
          <w:u w:val="none"/>
          <w:lang w:val="en-US"/>
        </w:rPr>
        <w:t>(3), pp.351-361.</w:t>
      </w:r>
    </w:p>
    <w:p xmlns:wp14="http://schemas.microsoft.com/office/word/2010/wordml" w14:paraId="25EF7915" wp14:textId="69EC0219">
      <w:r>
        <w:br/>
      </w:r>
    </w:p>
    <w:p xmlns:wp14="http://schemas.microsoft.com/office/word/2010/wordml" w:rsidP="41B89AC4" w14:paraId="2D1C0ADB" wp14:textId="78A739D3">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Gutić, P., 2019. </w:t>
      </w:r>
      <w:r w:rsidRPr="41B89AC4" w:rsidR="7712711A">
        <w:rPr>
          <w:rFonts w:ascii="Arial" w:hAnsi="Arial" w:eastAsia="Arial" w:cs="Arial"/>
          <w:b w:val="0"/>
          <w:bCs w:val="0"/>
          <w:i w:val="1"/>
          <w:iCs w:val="1"/>
          <w:strike w:val="0"/>
          <w:dstrike w:val="0"/>
          <w:noProof w:val="0"/>
          <w:color w:val="222222"/>
          <w:sz w:val="20"/>
          <w:szCs w:val="20"/>
          <w:u w:val="none"/>
          <w:lang w:val="en-US"/>
        </w:rPr>
        <w:t>Media in Teaching Literature to Young Learners</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(Doctoral dissertation, University of Zagreb. Faculty of Teacher Education).</w:t>
      </w:r>
    </w:p>
    <w:p xmlns:wp14="http://schemas.microsoft.com/office/word/2010/wordml" w14:paraId="7925D77E" wp14:textId="163F64B1">
      <w:r>
        <w:br/>
      </w:r>
    </w:p>
    <w:p xmlns:wp14="http://schemas.microsoft.com/office/word/2010/wordml" w:rsidP="41B89AC4" w14:paraId="066E3BE0" wp14:textId="18166887">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Han, J.Y., 2017. Application of the Emotional Distance and Self-disclosure in Therapeutic Serious Game. </w:t>
      </w:r>
      <w:r w:rsidRPr="41B89AC4" w:rsidR="7712711A">
        <w:rPr>
          <w:rFonts w:ascii="Arial" w:hAnsi="Arial" w:eastAsia="Arial" w:cs="Arial"/>
          <w:b w:val="0"/>
          <w:bCs w:val="0"/>
          <w:i w:val="1"/>
          <w:iCs w:val="1"/>
          <w:strike w:val="0"/>
          <w:dstrike w:val="0"/>
          <w:noProof w:val="0"/>
          <w:color w:val="222222"/>
          <w:sz w:val="20"/>
          <w:szCs w:val="20"/>
          <w:u w:val="none"/>
          <w:lang w:val="en-US"/>
        </w:rPr>
        <w:t>Journal of the Korean Society for Computer Game</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w:t>
      </w:r>
      <w:r w:rsidRPr="41B89AC4" w:rsidR="7712711A">
        <w:rPr>
          <w:rFonts w:ascii="Arial" w:hAnsi="Arial" w:eastAsia="Arial" w:cs="Arial"/>
          <w:b w:val="0"/>
          <w:bCs w:val="0"/>
          <w:i w:val="1"/>
          <w:iCs w:val="1"/>
          <w:strike w:val="0"/>
          <w:dstrike w:val="0"/>
          <w:noProof w:val="0"/>
          <w:color w:val="222222"/>
          <w:sz w:val="20"/>
          <w:szCs w:val="20"/>
          <w:u w:val="none"/>
          <w:lang w:val="en-US"/>
        </w:rPr>
        <w:t>30</w:t>
      </w:r>
      <w:r w:rsidRPr="41B89AC4" w:rsidR="7712711A">
        <w:rPr>
          <w:rFonts w:ascii="Arial" w:hAnsi="Arial" w:eastAsia="Arial" w:cs="Arial"/>
          <w:b w:val="0"/>
          <w:bCs w:val="0"/>
          <w:i w:val="0"/>
          <w:iCs w:val="0"/>
          <w:strike w:val="0"/>
          <w:dstrike w:val="0"/>
          <w:noProof w:val="0"/>
          <w:color w:val="222222"/>
          <w:sz w:val="20"/>
          <w:szCs w:val="20"/>
          <w:u w:val="none"/>
          <w:lang w:val="en-US"/>
        </w:rPr>
        <w:t>(2), pp.35-40.</w:t>
      </w:r>
    </w:p>
    <w:p xmlns:wp14="http://schemas.microsoft.com/office/word/2010/wordml" w14:paraId="5C4083BE" wp14:textId="2EE9DC57">
      <w:r>
        <w:br/>
      </w:r>
    </w:p>
    <w:p xmlns:wp14="http://schemas.microsoft.com/office/word/2010/wordml" w:rsidP="41B89AC4" w14:paraId="1CA304CE" wp14:textId="7AC54446">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Koçak, Ö. and Göksu, İ., 2020. Examining 21st Century Skill Levels of Students and the Relationship between Skills. </w:t>
      </w:r>
      <w:r w:rsidRPr="41B89AC4" w:rsidR="7712711A">
        <w:rPr>
          <w:rFonts w:ascii="Arial" w:hAnsi="Arial" w:eastAsia="Arial" w:cs="Arial"/>
          <w:b w:val="0"/>
          <w:bCs w:val="0"/>
          <w:i w:val="1"/>
          <w:iCs w:val="1"/>
          <w:strike w:val="0"/>
          <w:dstrike w:val="0"/>
          <w:noProof w:val="0"/>
          <w:color w:val="222222"/>
          <w:sz w:val="20"/>
          <w:szCs w:val="20"/>
          <w:u w:val="none"/>
          <w:lang w:val="en-US"/>
        </w:rPr>
        <w:t>Inonu University Journal of the Faculty of Education (INUJFE)</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w:t>
      </w:r>
      <w:r w:rsidRPr="41B89AC4" w:rsidR="7712711A">
        <w:rPr>
          <w:rFonts w:ascii="Arial" w:hAnsi="Arial" w:eastAsia="Arial" w:cs="Arial"/>
          <w:b w:val="0"/>
          <w:bCs w:val="0"/>
          <w:i w:val="1"/>
          <w:iCs w:val="1"/>
          <w:strike w:val="0"/>
          <w:dstrike w:val="0"/>
          <w:noProof w:val="0"/>
          <w:color w:val="222222"/>
          <w:sz w:val="20"/>
          <w:szCs w:val="20"/>
          <w:u w:val="none"/>
          <w:lang w:val="en-US"/>
        </w:rPr>
        <w:t>21</w:t>
      </w:r>
      <w:r w:rsidRPr="41B89AC4" w:rsidR="7712711A">
        <w:rPr>
          <w:rFonts w:ascii="Arial" w:hAnsi="Arial" w:eastAsia="Arial" w:cs="Arial"/>
          <w:b w:val="0"/>
          <w:bCs w:val="0"/>
          <w:i w:val="0"/>
          <w:iCs w:val="0"/>
          <w:strike w:val="0"/>
          <w:dstrike w:val="0"/>
          <w:noProof w:val="0"/>
          <w:color w:val="222222"/>
          <w:sz w:val="20"/>
          <w:szCs w:val="20"/>
          <w:u w:val="none"/>
          <w:lang w:val="en-US"/>
        </w:rPr>
        <w:t xml:space="preserve">(2). </w:t>
      </w:r>
    </w:p>
    <w:p xmlns:wp14="http://schemas.microsoft.com/office/word/2010/wordml" w14:paraId="72A778CB" wp14:textId="3F5832DD">
      <w:r>
        <w:br/>
      </w:r>
    </w:p>
    <w:p xmlns:wp14="http://schemas.microsoft.com/office/word/2010/wordml" w:rsidP="41B89AC4" w14:paraId="32FA6828" wp14:textId="4EBFEB07">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Kolb, D.A., 2014. </w:t>
      </w:r>
      <w:r w:rsidRPr="41B89AC4" w:rsidR="7712711A">
        <w:rPr>
          <w:rFonts w:ascii="Arial" w:hAnsi="Arial" w:eastAsia="Arial" w:cs="Arial"/>
          <w:b w:val="0"/>
          <w:bCs w:val="0"/>
          <w:i w:val="1"/>
          <w:iCs w:val="1"/>
          <w:strike w:val="0"/>
          <w:dstrike w:val="0"/>
          <w:noProof w:val="0"/>
          <w:color w:val="222222"/>
          <w:sz w:val="20"/>
          <w:szCs w:val="20"/>
          <w:u w:val="none"/>
          <w:lang w:val="en-US"/>
        </w:rPr>
        <w:t>Experiential learning: Experience as the source of learning and development</w:t>
      </w:r>
      <w:r w:rsidRPr="41B89AC4" w:rsidR="7712711A">
        <w:rPr>
          <w:rFonts w:ascii="Arial" w:hAnsi="Arial" w:eastAsia="Arial" w:cs="Arial"/>
          <w:b w:val="0"/>
          <w:bCs w:val="0"/>
          <w:i w:val="0"/>
          <w:iCs w:val="0"/>
          <w:strike w:val="0"/>
          <w:dstrike w:val="0"/>
          <w:noProof w:val="0"/>
          <w:color w:val="222222"/>
          <w:sz w:val="20"/>
          <w:szCs w:val="20"/>
          <w:u w:val="none"/>
          <w:lang w:val="en-US"/>
        </w:rPr>
        <w:t>. FT press.</w:t>
      </w:r>
    </w:p>
    <w:p xmlns:wp14="http://schemas.microsoft.com/office/word/2010/wordml" w14:paraId="3958280A" wp14:textId="4798C685">
      <w:r>
        <w:br/>
      </w:r>
    </w:p>
    <w:p xmlns:wp14="http://schemas.microsoft.com/office/word/2010/wordml" w:rsidP="41B89AC4" w14:paraId="76031635" wp14:textId="609F24EB">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Lally, P., Van Jaarsveld, C.H., Potts, H.W. and Wardle, J., 2010. How are habits formed: Modelling habit formation in the real world. </w:t>
      </w:r>
      <w:r w:rsidRPr="41B89AC4" w:rsidR="7712711A">
        <w:rPr>
          <w:rFonts w:ascii="Arial" w:hAnsi="Arial" w:eastAsia="Arial" w:cs="Arial"/>
          <w:b w:val="0"/>
          <w:bCs w:val="0"/>
          <w:i w:val="1"/>
          <w:iCs w:val="1"/>
          <w:strike w:val="0"/>
          <w:dstrike w:val="0"/>
          <w:noProof w:val="0"/>
          <w:color w:val="222222"/>
          <w:sz w:val="20"/>
          <w:szCs w:val="20"/>
          <w:u w:val="none"/>
          <w:lang w:val="en-US"/>
        </w:rPr>
        <w:t>European journal of social psychology</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w:t>
      </w:r>
      <w:r w:rsidRPr="41B89AC4" w:rsidR="7712711A">
        <w:rPr>
          <w:rFonts w:ascii="Arial" w:hAnsi="Arial" w:eastAsia="Arial" w:cs="Arial"/>
          <w:b w:val="0"/>
          <w:bCs w:val="0"/>
          <w:i w:val="1"/>
          <w:iCs w:val="1"/>
          <w:strike w:val="0"/>
          <w:dstrike w:val="0"/>
          <w:noProof w:val="0"/>
          <w:color w:val="222222"/>
          <w:sz w:val="20"/>
          <w:szCs w:val="20"/>
          <w:u w:val="none"/>
          <w:lang w:val="en-US"/>
        </w:rPr>
        <w:t>40</w:t>
      </w:r>
      <w:r w:rsidRPr="41B89AC4" w:rsidR="7712711A">
        <w:rPr>
          <w:rFonts w:ascii="Arial" w:hAnsi="Arial" w:eastAsia="Arial" w:cs="Arial"/>
          <w:b w:val="0"/>
          <w:bCs w:val="0"/>
          <w:i w:val="0"/>
          <w:iCs w:val="0"/>
          <w:strike w:val="0"/>
          <w:dstrike w:val="0"/>
          <w:noProof w:val="0"/>
          <w:color w:val="222222"/>
          <w:sz w:val="20"/>
          <w:szCs w:val="20"/>
          <w:u w:val="none"/>
          <w:lang w:val="en-US"/>
        </w:rPr>
        <w:t>(6), pp.998-1009.</w:t>
      </w:r>
    </w:p>
    <w:p xmlns:wp14="http://schemas.microsoft.com/office/word/2010/wordml" w14:paraId="3524E5D1" wp14:textId="67872925">
      <w:r>
        <w:br/>
      </w:r>
    </w:p>
    <w:p xmlns:wp14="http://schemas.microsoft.com/office/word/2010/wordml" w:rsidP="41B89AC4" w14:paraId="1EF8589C" wp14:textId="66DC3EA0">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Lean, J., Moizer, J. and Newbery, R., 2014. Enhancing the impact of online simulations through blended learning: A critical incident approach. </w:t>
      </w:r>
      <w:r w:rsidRPr="41B89AC4" w:rsidR="7712711A">
        <w:rPr>
          <w:rFonts w:ascii="Arial" w:hAnsi="Arial" w:eastAsia="Arial" w:cs="Arial"/>
          <w:b w:val="0"/>
          <w:bCs w:val="0"/>
          <w:i w:val="1"/>
          <w:iCs w:val="1"/>
          <w:strike w:val="0"/>
          <w:dstrike w:val="0"/>
          <w:noProof w:val="0"/>
          <w:color w:val="222222"/>
          <w:sz w:val="20"/>
          <w:szCs w:val="20"/>
          <w:u w:val="none"/>
          <w:lang w:val="en-US"/>
        </w:rPr>
        <w:t>Education+ Training</w:t>
      </w:r>
      <w:r w:rsidRPr="41B89AC4" w:rsidR="7712711A">
        <w:rPr>
          <w:rFonts w:ascii="Arial" w:hAnsi="Arial" w:eastAsia="Arial" w:cs="Arial"/>
          <w:b w:val="0"/>
          <w:bCs w:val="0"/>
          <w:i w:val="0"/>
          <w:iCs w:val="0"/>
          <w:strike w:val="0"/>
          <w:dstrike w:val="0"/>
          <w:noProof w:val="0"/>
          <w:color w:val="222222"/>
          <w:sz w:val="20"/>
          <w:szCs w:val="20"/>
          <w:u w:val="none"/>
          <w:lang w:val="en-US"/>
        </w:rPr>
        <w:t>.</w:t>
      </w:r>
    </w:p>
    <w:p xmlns:wp14="http://schemas.microsoft.com/office/word/2010/wordml" w14:paraId="7D3AB56E" wp14:textId="255E4630">
      <w:r>
        <w:br/>
      </w:r>
    </w:p>
    <w:p xmlns:wp14="http://schemas.microsoft.com/office/word/2010/wordml" w:rsidP="41B89AC4" w14:paraId="7A7073AA" wp14:textId="129B36DC">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Mantasiah R, M.R., Sinring, A. and Aryani, F., 2021. Assessing verbal positive reinforcement of teachers during school from home in the Covid-19 pandemic era. </w:t>
      </w:r>
      <w:r w:rsidRPr="41B89AC4" w:rsidR="7712711A">
        <w:rPr>
          <w:rFonts w:ascii="Arial" w:hAnsi="Arial" w:eastAsia="Arial" w:cs="Arial"/>
          <w:b w:val="0"/>
          <w:bCs w:val="0"/>
          <w:i w:val="1"/>
          <w:iCs w:val="1"/>
          <w:strike w:val="0"/>
          <w:dstrike w:val="0"/>
          <w:noProof w:val="0"/>
          <w:color w:val="222222"/>
          <w:sz w:val="20"/>
          <w:szCs w:val="20"/>
          <w:u w:val="none"/>
          <w:lang w:val="en-US"/>
        </w:rPr>
        <w:t>International Journal of Instruction</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w:t>
      </w:r>
      <w:r w:rsidRPr="41B89AC4" w:rsidR="7712711A">
        <w:rPr>
          <w:rFonts w:ascii="Arial" w:hAnsi="Arial" w:eastAsia="Arial" w:cs="Arial"/>
          <w:b w:val="0"/>
          <w:bCs w:val="0"/>
          <w:i w:val="1"/>
          <w:iCs w:val="1"/>
          <w:strike w:val="0"/>
          <w:dstrike w:val="0"/>
          <w:noProof w:val="0"/>
          <w:color w:val="222222"/>
          <w:sz w:val="20"/>
          <w:szCs w:val="20"/>
          <w:u w:val="none"/>
          <w:lang w:val="en-US"/>
        </w:rPr>
        <w:t>14</w:t>
      </w:r>
      <w:r w:rsidRPr="41B89AC4" w:rsidR="7712711A">
        <w:rPr>
          <w:rFonts w:ascii="Arial" w:hAnsi="Arial" w:eastAsia="Arial" w:cs="Arial"/>
          <w:b w:val="0"/>
          <w:bCs w:val="0"/>
          <w:i w:val="0"/>
          <w:iCs w:val="0"/>
          <w:strike w:val="0"/>
          <w:dstrike w:val="0"/>
          <w:noProof w:val="0"/>
          <w:color w:val="222222"/>
          <w:sz w:val="20"/>
          <w:szCs w:val="20"/>
          <w:u w:val="none"/>
          <w:lang w:val="en-US"/>
        </w:rPr>
        <w:t>(2), pp.1037-1050.</w:t>
      </w:r>
    </w:p>
    <w:p xmlns:wp14="http://schemas.microsoft.com/office/word/2010/wordml" w14:paraId="48821920" wp14:textId="3CF2E9DC">
      <w:r>
        <w:br/>
      </w:r>
    </w:p>
    <w:p xmlns:wp14="http://schemas.microsoft.com/office/word/2010/wordml" w:rsidP="41B89AC4" w14:paraId="6BFF44F2" wp14:textId="37565369">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Miranda Chacón, C. and Murillo Pereira, N., 2014. How the learning environment in EFL classes can improve the learning process by enhancing student engagement of eleventh graders at Colegio Santa María de Guadalupe and Colegio Humanístico Costarricense a qualitative and quantitative study.</w:t>
      </w:r>
    </w:p>
    <w:p xmlns:wp14="http://schemas.microsoft.com/office/word/2010/wordml" w14:paraId="6298BAC2" wp14:textId="20937547">
      <w:r>
        <w:br/>
      </w:r>
    </w:p>
    <w:p xmlns:wp14="http://schemas.microsoft.com/office/word/2010/wordml" w:rsidP="41B89AC4" w14:paraId="4EC06868" wp14:textId="58FDB928">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Mohammed, R., 2016. Critical incident analysis: reflections of a teacher educator. </w:t>
      </w:r>
      <w:r w:rsidRPr="41B89AC4" w:rsidR="7712711A">
        <w:rPr>
          <w:rFonts w:ascii="Arial" w:hAnsi="Arial" w:eastAsia="Arial" w:cs="Arial"/>
          <w:b w:val="0"/>
          <w:bCs w:val="0"/>
          <w:i w:val="1"/>
          <w:iCs w:val="1"/>
          <w:strike w:val="0"/>
          <w:dstrike w:val="0"/>
          <w:noProof w:val="0"/>
          <w:color w:val="222222"/>
          <w:sz w:val="20"/>
          <w:szCs w:val="20"/>
          <w:u w:val="none"/>
          <w:lang w:val="en-US"/>
        </w:rPr>
        <w:t>Research in teacher education</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w:t>
      </w:r>
      <w:r w:rsidRPr="41B89AC4" w:rsidR="7712711A">
        <w:rPr>
          <w:rFonts w:ascii="Arial" w:hAnsi="Arial" w:eastAsia="Arial" w:cs="Arial"/>
          <w:b w:val="0"/>
          <w:bCs w:val="0"/>
          <w:i w:val="1"/>
          <w:iCs w:val="1"/>
          <w:strike w:val="0"/>
          <w:dstrike w:val="0"/>
          <w:noProof w:val="0"/>
          <w:color w:val="222222"/>
          <w:sz w:val="20"/>
          <w:szCs w:val="20"/>
          <w:u w:val="none"/>
          <w:lang w:val="en-US"/>
        </w:rPr>
        <w:t>6</w:t>
      </w:r>
      <w:r w:rsidRPr="41B89AC4" w:rsidR="7712711A">
        <w:rPr>
          <w:rFonts w:ascii="Arial" w:hAnsi="Arial" w:eastAsia="Arial" w:cs="Arial"/>
          <w:b w:val="0"/>
          <w:bCs w:val="0"/>
          <w:i w:val="0"/>
          <w:iCs w:val="0"/>
          <w:strike w:val="0"/>
          <w:dstrike w:val="0"/>
          <w:noProof w:val="0"/>
          <w:color w:val="222222"/>
          <w:sz w:val="20"/>
          <w:szCs w:val="20"/>
          <w:u w:val="none"/>
          <w:lang w:val="en-US"/>
        </w:rPr>
        <w:t>(1), pp.25-29.</w:t>
      </w:r>
    </w:p>
    <w:p xmlns:wp14="http://schemas.microsoft.com/office/word/2010/wordml" w:rsidP="41B89AC4" w14:paraId="4ADABC43" wp14:textId="0F1FDC84">
      <w:pPr>
        <w:ind w:firstLine="720"/>
        <w:rPr>
          <w:rFonts w:ascii="Arial" w:hAnsi="Arial" w:eastAsia="Arial" w:cs="Arial"/>
          <w:b w:val="0"/>
          <w:bCs w:val="0"/>
          <w:i w:val="0"/>
          <w:iCs w:val="0"/>
          <w:strike w:val="0"/>
          <w:dstrike w:val="0"/>
          <w:noProof w:val="0"/>
          <w:color w:val="222222"/>
          <w:sz w:val="20"/>
          <w:szCs w:val="20"/>
          <w:u w:val="none"/>
          <w:lang w:val="en-US"/>
        </w:rPr>
      </w:pPr>
    </w:p>
    <w:p xmlns:wp14="http://schemas.microsoft.com/office/word/2010/wordml" w:rsidP="41B89AC4" w14:paraId="23906D0F" wp14:textId="7AA2C455">
      <w:pPr>
        <w:ind w:firstLine="720"/>
        <w:rPr>
          <w:rFonts w:ascii="Arial" w:hAnsi="Arial" w:eastAsia="Arial" w:cs="Arial"/>
          <w:b w:val="0"/>
          <w:bCs w:val="0"/>
          <w:i w:val="0"/>
          <w:iCs w:val="0"/>
          <w:strike w:val="0"/>
          <w:dstrike w:val="0"/>
          <w:noProof w:val="0"/>
          <w:color w:val="222222"/>
          <w:sz w:val="20"/>
          <w:szCs w:val="20"/>
          <w:u w:val="none"/>
          <w:lang w:val="en-US"/>
        </w:rPr>
      </w:pPr>
    </w:p>
    <w:p xmlns:wp14="http://schemas.microsoft.com/office/word/2010/wordml" w:rsidP="41B89AC4" w14:paraId="1E061665" wp14:textId="4C1AE588">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Morris, R., Morris, Y.P. and White, P.A.B., 2005. Developmental disability can be traced to the work of. </w:t>
      </w:r>
      <w:r w:rsidRPr="41B89AC4" w:rsidR="7712711A">
        <w:rPr>
          <w:rFonts w:ascii="Arial" w:hAnsi="Arial" w:eastAsia="Arial" w:cs="Arial"/>
          <w:b w:val="0"/>
          <w:bCs w:val="0"/>
          <w:i w:val="1"/>
          <w:iCs w:val="1"/>
          <w:strike w:val="0"/>
          <w:dstrike w:val="0"/>
          <w:noProof w:val="0"/>
          <w:color w:val="222222"/>
          <w:sz w:val="20"/>
          <w:szCs w:val="20"/>
          <w:u w:val="none"/>
          <w:lang w:val="en-US"/>
        </w:rPr>
        <w:t>Medical Aspects of Disability: A Handbook for the Rehabilitation Professional</w:t>
      </w:r>
      <w:r w:rsidRPr="41B89AC4" w:rsidR="7712711A">
        <w:rPr>
          <w:rFonts w:ascii="Arial" w:hAnsi="Arial" w:eastAsia="Arial" w:cs="Arial"/>
          <w:b w:val="0"/>
          <w:bCs w:val="0"/>
          <w:i w:val="0"/>
          <w:iCs w:val="0"/>
          <w:strike w:val="0"/>
          <w:dstrike w:val="0"/>
          <w:noProof w:val="0"/>
          <w:color w:val="222222"/>
          <w:sz w:val="20"/>
          <w:szCs w:val="20"/>
          <w:u w:val="none"/>
          <w:lang w:val="en-US"/>
        </w:rPr>
        <w:t>, p.343.</w:t>
      </w:r>
    </w:p>
    <w:p xmlns:wp14="http://schemas.microsoft.com/office/word/2010/wordml" w14:paraId="6982F7BD" wp14:textId="7C4D0885">
      <w:r>
        <w:br/>
      </w:r>
    </w:p>
    <w:p xmlns:wp14="http://schemas.microsoft.com/office/word/2010/wordml" w:rsidP="41B89AC4" w14:paraId="32B6E4FE" wp14:textId="3DCBA4CC">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MyLocalSchool, 2022. Mylocalschool.gov.wales/School/6702086?lang=en</w:t>
      </w:r>
    </w:p>
    <w:p xmlns:wp14="http://schemas.microsoft.com/office/word/2010/wordml" w14:paraId="21B29114" wp14:textId="5AD17E5D">
      <w:r>
        <w:br/>
      </w:r>
    </w:p>
    <w:p xmlns:wp14="http://schemas.microsoft.com/office/word/2010/wordml" w:rsidP="41B89AC4" w14:paraId="286A1BE4" wp14:textId="65BA3E3B">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Pettit, M.J., 2013. </w:t>
      </w:r>
      <w:r w:rsidRPr="41B89AC4" w:rsidR="7712711A">
        <w:rPr>
          <w:rFonts w:ascii="Arial" w:hAnsi="Arial" w:eastAsia="Arial" w:cs="Arial"/>
          <w:b w:val="0"/>
          <w:bCs w:val="0"/>
          <w:i w:val="1"/>
          <w:iCs w:val="1"/>
          <w:strike w:val="0"/>
          <w:dstrike w:val="0"/>
          <w:noProof w:val="0"/>
          <w:color w:val="222222"/>
          <w:sz w:val="20"/>
          <w:szCs w:val="20"/>
          <w:u w:val="none"/>
          <w:lang w:val="en-US"/>
        </w:rPr>
        <w:t>THE EFFECTS OF POSITVITVE REINFORCMENT ON NON-COMPLIANT BEHAVIOR</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(Doctoral dissertation, Northwest Missouri State University).</w:t>
      </w:r>
    </w:p>
    <w:p xmlns:wp14="http://schemas.microsoft.com/office/word/2010/wordml" w14:paraId="7C0C860F" wp14:textId="4B362C99">
      <w:r>
        <w:br/>
      </w:r>
    </w:p>
    <w:p xmlns:wp14="http://schemas.microsoft.com/office/word/2010/wordml" w:rsidP="41B89AC4" w14:paraId="6EE50A2D" wp14:textId="41F0099C">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Purnamasari, N.M.G., Marhaeni, A.A.I.N. and Artini, L.P., 2018. Development of Teachers’ Guide in Using Reinforcement Strategy for TEYL. </w:t>
      </w:r>
      <w:r w:rsidRPr="41B89AC4" w:rsidR="7712711A">
        <w:rPr>
          <w:rFonts w:ascii="Arial" w:hAnsi="Arial" w:eastAsia="Arial" w:cs="Arial"/>
          <w:b w:val="0"/>
          <w:bCs w:val="0"/>
          <w:i w:val="1"/>
          <w:iCs w:val="1"/>
          <w:strike w:val="0"/>
          <w:dstrike w:val="0"/>
          <w:noProof w:val="0"/>
          <w:color w:val="222222"/>
          <w:sz w:val="20"/>
          <w:szCs w:val="20"/>
          <w:u w:val="none"/>
          <w:lang w:val="en-US"/>
        </w:rPr>
        <w:t>JPI (Jurnal Pendidikan Indonesia)</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w:t>
      </w:r>
      <w:r w:rsidRPr="41B89AC4" w:rsidR="7712711A">
        <w:rPr>
          <w:rFonts w:ascii="Arial" w:hAnsi="Arial" w:eastAsia="Arial" w:cs="Arial"/>
          <w:b w:val="0"/>
          <w:bCs w:val="0"/>
          <w:i w:val="1"/>
          <w:iCs w:val="1"/>
          <w:strike w:val="0"/>
          <w:dstrike w:val="0"/>
          <w:noProof w:val="0"/>
          <w:color w:val="222222"/>
          <w:sz w:val="20"/>
          <w:szCs w:val="20"/>
          <w:u w:val="none"/>
          <w:lang w:val="en-US"/>
        </w:rPr>
        <w:t>7</w:t>
      </w:r>
      <w:r w:rsidRPr="41B89AC4" w:rsidR="7712711A">
        <w:rPr>
          <w:rFonts w:ascii="Arial" w:hAnsi="Arial" w:eastAsia="Arial" w:cs="Arial"/>
          <w:b w:val="0"/>
          <w:bCs w:val="0"/>
          <w:i w:val="0"/>
          <w:iCs w:val="0"/>
          <w:strike w:val="0"/>
          <w:dstrike w:val="0"/>
          <w:noProof w:val="0"/>
          <w:color w:val="222222"/>
          <w:sz w:val="20"/>
          <w:szCs w:val="20"/>
          <w:u w:val="none"/>
          <w:lang w:val="en-US"/>
        </w:rPr>
        <w:t>(1), pp.21-29.</w:t>
      </w:r>
    </w:p>
    <w:p xmlns:wp14="http://schemas.microsoft.com/office/word/2010/wordml" w14:paraId="1B14033C" wp14:textId="3C5BAB74">
      <w:r>
        <w:br/>
      </w:r>
    </w:p>
    <w:p xmlns:wp14="http://schemas.microsoft.com/office/word/2010/wordml" w:rsidP="41B89AC4" w14:paraId="4914D151" wp14:textId="08A8B535">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Rafi, A., Ansar, A. and Sami, M.A., 2020. The implication of positive reinforcement strategy in dealing with disruptive behaviour in the classroom: A scoping review. </w:t>
      </w:r>
      <w:r w:rsidRPr="41B89AC4" w:rsidR="7712711A">
        <w:rPr>
          <w:rFonts w:ascii="Arial" w:hAnsi="Arial" w:eastAsia="Arial" w:cs="Arial"/>
          <w:b w:val="0"/>
          <w:bCs w:val="0"/>
          <w:i w:val="1"/>
          <w:iCs w:val="1"/>
          <w:strike w:val="0"/>
          <w:dstrike w:val="0"/>
          <w:noProof w:val="0"/>
          <w:color w:val="222222"/>
          <w:sz w:val="20"/>
          <w:szCs w:val="20"/>
          <w:u w:val="none"/>
          <w:lang w:val="en-US"/>
        </w:rPr>
        <w:t>Journal of Rawalpindi Medical College</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w:t>
      </w:r>
      <w:r w:rsidRPr="41B89AC4" w:rsidR="7712711A">
        <w:rPr>
          <w:rFonts w:ascii="Arial" w:hAnsi="Arial" w:eastAsia="Arial" w:cs="Arial"/>
          <w:b w:val="0"/>
          <w:bCs w:val="0"/>
          <w:i w:val="1"/>
          <w:iCs w:val="1"/>
          <w:strike w:val="0"/>
          <w:dstrike w:val="0"/>
          <w:noProof w:val="0"/>
          <w:color w:val="222222"/>
          <w:sz w:val="20"/>
          <w:szCs w:val="20"/>
          <w:u w:val="none"/>
          <w:lang w:val="en-US"/>
        </w:rPr>
        <w:t>24</w:t>
      </w:r>
      <w:r w:rsidRPr="41B89AC4" w:rsidR="7712711A">
        <w:rPr>
          <w:rFonts w:ascii="Arial" w:hAnsi="Arial" w:eastAsia="Arial" w:cs="Arial"/>
          <w:b w:val="0"/>
          <w:bCs w:val="0"/>
          <w:i w:val="0"/>
          <w:iCs w:val="0"/>
          <w:strike w:val="0"/>
          <w:dstrike w:val="0"/>
          <w:noProof w:val="0"/>
          <w:color w:val="222222"/>
          <w:sz w:val="20"/>
          <w:szCs w:val="20"/>
          <w:u w:val="none"/>
          <w:lang w:val="en-US"/>
        </w:rPr>
        <w:t>(2), pp.173-179.</w:t>
      </w:r>
    </w:p>
    <w:p xmlns:wp14="http://schemas.microsoft.com/office/word/2010/wordml" w14:paraId="4093E2C5" wp14:textId="7D1AA3B7">
      <w:r>
        <w:br/>
      </w:r>
    </w:p>
    <w:p xmlns:wp14="http://schemas.microsoft.com/office/word/2010/wordml" w:rsidP="41B89AC4" w14:paraId="72A1ED11" wp14:textId="1383554F">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Ripplinger, L., 2012. </w:t>
      </w:r>
      <w:r w:rsidRPr="41B89AC4" w:rsidR="7712711A">
        <w:rPr>
          <w:rFonts w:ascii="Arial" w:hAnsi="Arial" w:eastAsia="Arial" w:cs="Arial"/>
          <w:b w:val="0"/>
          <w:bCs w:val="0"/>
          <w:i w:val="1"/>
          <w:iCs w:val="1"/>
          <w:strike w:val="0"/>
          <w:dstrike w:val="0"/>
          <w:noProof w:val="0"/>
          <w:color w:val="222222"/>
          <w:sz w:val="20"/>
          <w:szCs w:val="20"/>
          <w:u w:val="none"/>
          <w:lang w:val="en-US"/>
        </w:rPr>
        <w:t>Implementation and Evaluation of Curricular Changes in the Undergraduate TESOL Internship Program at Brigham Young University</w:t>
      </w:r>
      <w:r w:rsidRPr="41B89AC4" w:rsidR="7712711A">
        <w:rPr>
          <w:rFonts w:ascii="Arial" w:hAnsi="Arial" w:eastAsia="Arial" w:cs="Arial"/>
          <w:b w:val="0"/>
          <w:bCs w:val="0"/>
          <w:i w:val="0"/>
          <w:iCs w:val="0"/>
          <w:strike w:val="0"/>
          <w:dstrike w:val="0"/>
          <w:noProof w:val="0"/>
          <w:color w:val="222222"/>
          <w:sz w:val="20"/>
          <w:szCs w:val="20"/>
          <w:u w:val="none"/>
          <w:lang w:val="en-US"/>
        </w:rPr>
        <w:t>. Brigham Young University.</w:t>
      </w:r>
    </w:p>
    <w:p xmlns:wp14="http://schemas.microsoft.com/office/word/2010/wordml" w14:paraId="091C5F9E" wp14:textId="49E02994">
      <w:r>
        <w:br/>
      </w:r>
    </w:p>
    <w:p xmlns:wp14="http://schemas.microsoft.com/office/word/2010/wordml" w:rsidP="41B89AC4" w14:paraId="355242E6" wp14:textId="4EE3FD50">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Rosvall, P.Å., 2020. Perspectives of students with mental health problems on improving the school environment and practice. </w:t>
      </w:r>
      <w:r w:rsidRPr="41B89AC4" w:rsidR="7712711A">
        <w:rPr>
          <w:rFonts w:ascii="Arial" w:hAnsi="Arial" w:eastAsia="Arial" w:cs="Arial"/>
          <w:b w:val="0"/>
          <w:bCs w:val="0"/>
          <w:i w:val="1"/>
          <w:iCs w:val="1"/>
          <w:strike w:val="0"/>
          <w:dstrike w:val="0"/>
          <w:noProof w:val="0"/>
          <w:color w:val="222222"/>
          <w:sz w:val="20"/>
          <w:szCs w:val="20"/>
          <w:u w:val="none"/>
          <w:lang w:val="en-US"/>
        </w:rPr>
        <w:t>Education Inquiry</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w:t>
      </w:r>
      <w:r w:rsidRPr="41B89AC4" w:rsidR="7712711A">
        <w:rPr>
          <w:rFonts w:ascii="Arial" w:hAnsi="Arial" w:eastAsia="Arial" w:cs="Arial"/>
          <w:b w:val="0"/>
          <w:bCs w:val="0"/>
          <w:i w:val="1"/>
          <w:iCs w:val="1"/>
          <w:strike w:val="0"/>
          <w:dstrike w:val="0"/>
          <w:noProof w:val="0"/>
          <w:color w:val="222222"/>
          <w:sz w:val="20"/>
          <w:szCs w:val="20"/>
          <w:u w:val="none"/>
          <w:lang w:val="en-US"/>
        </w:rPr>
        <w:t>11</w:t>
      </w:r>
      <w:r w:rsidRPr="41B89AC4" w:rsidR="7712711A">
        <w:rPr>
          <w:rFonts w:ascii="Arial" w:hAnsi="Arial" w:eastAsia="Arial" w:cs="Arial"/>
          <w:b w:val="0"/>
          <w:bCs w:val="0"/>
          <w:i w:val="0"/>
          <w:iCs w:val="0"/>
          <w:strike w:val="0"/>
          <w:dstrike w:val="0"/>
          <w:noProof w:val="0"/>
          <w:color w:val="222222"/>
          <w:sz w:val="20"/>
          <w:szCs w:val="20"/>
          <w:u w:val="none"/>
          <w:lang w:val="en-US"/>
        </w:rPr>
        <w:t>(3), pp.159-174.</w:t>
      </w:r>
    </w:p>
    <w:p xmlns:wp14="http://schemas.microsoft.com/office/word/2010/wordml" w14:paraId="2B33CA07" wp14:textId="3AF542F8">
      <w:r>
        <w:br/>
      </w:r>
    </w:p>
    <w:p xmlns:wp14="http://schemas.microsoft.com/office/word/2010/wordml" w:rsidP="41B89AC4" w14:paraId="3E5B8F38" wp14:textId="140E1C06">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Schön, D.A., 2017. </w:t>
      </w:r>
      <w:r w:rsidRPr="41B89AC4" w:rsidR="7712711A">
        <w:rPr>
          <w:rFonts w:ascii="Arial" w:hAnsi="Arial" w:eastAsia="Arial" w:cs="Arial"/>
          <w:b w:val="0"/>
          <w:bCs w:val="0"/>
          <w:i w:val="1"/>
          <w:iCs w:val="1"/>
          <w:strike w:val="0"/>
          <w:dstrike w:val="0"/>
          <w:noProof w:val="0"/>
          <w:color w:val="222222"/>
          <w:sz w:val="20"/>
          <w:szCs w:val="20"/>
          <w:u w:val="none"/>
          <w:lang w:val="en-US"/>
        </w:rPr>
        <w:t>The reflective practitioner: How professionals think in action</w:t>
      </w:r>
      <w:r w:rsidRPr="41B89AC4" w:rsidR="7712711A">
        <w:rPr>
          <w:rFonts w:ascii="Arial" w:hAnsi="Arial" w:eastAsia="Arial" w:cs="Arial"/>
          <w:b w:val="0"/>
          <w:bCs w:val="0"/>
          <w:i w:val="0"/>
          <w:iCs w:val="0"/>
          <w:strike w:val="0"/>
          <w:dstrike w:val="0"/>
          <w:noProof w:val="0"/>
          <w:color w:val="222222"/>
          <w:sz w:val="20"/>
          <w:szCs w:val="20"/>
          <w:u w:val="none"/>
          <w:lang w:val="en-US"/>
        </w:rPr>
        <w:t>. Routledge.</w:t>
      </w:r>
    </w:p>
    <w:p xmlns:wp14="http://schemas.microsoft.com/office/word/2010/wordml" w14:paraId="7AD3F02C" wp14:textId="750AD43E">
      <w:r>
        <w:br/>
      </w:r>
    </w:p>
    <w:p xmlns:wp14="http://schemas.microsoft.com/office/word/2010/wordml" w:rsidP="41B89AC4" w14:paraId="295F7C7B" wp14:textId="1FE8663C">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School X. 2022. The facts and statistics gained from the website of School X, school documents and meetings with senior staff members.</w:t>
      </w:r>
    </w:p>
    <w:p xmlns:wp14="http://schemas.microsoft.com/office/word/2010/wordml" w14:paraId="336886B3" wp14:textId="5EAF4E13">
      <w:r>
        <w:br/>
      </w:r>
    </w:p>
    <w:p xmlns:wp14="http://schemas.microsoft.com/office/word/2010/wordml" w:rsidP="41B89AC4" w14:paraId="6B62CF19" wp14:textId="2D9B0552">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Skinner, B.F., 1963. Operant behavior. </w:t>
      </w:r>
      <w:r w:rsidRPr="41B89AC4" w:rsidR="7712711A">
        <w:rPr>
          <w:rFonts w:ascii="Arial" w:hAnsi="Arial" w:eastAsia="Arial" w:cs="Arial"/>
          <w:b w:val="0"/>
          <w:bCs w:val="0"/>
          <w:i w:val="1"/>
          <w:iCs w:val="1"/>
          <w:strike w:val="0"/>
          <w:dstrike w:val="0"/>
          <w:noProof w:val="0"/>
          <w:color w:val="222222"/>
          <w:sz w:val="20"/>
          <w:szCs w:val="20"/>
          <w:u w:val="none"/>
          <w:lang w:val="en-US"/>
        </w:rPr>
        <w:t>American psychologist</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w:t>
      </w:r>
      <w:r w:rsidRPr="41B89AC4" w:rsidR="7712711A">
        <w:rPr>
          <w:rFonts w:ascii="Arial" w:hAnsi="Arial" w:eastAsia="Arial" w:cs="Arial"/>
          <w:b w:val="0"/>
          <w:bCs w:val="0"/>
          <w:i w:val="1"/>
          <w:iCs w:val="1"/>
          <w:strike w:val="0"/>
          <w:dstrike w:val="0"/>
          <w:noProof w:val="0"/>
          <w:color w:val="222222"/>
          <w:sz w:val="20"/>
          <w:szCs w:val="20"/>
          <w:u w:val="none"/>
          <w:lang w:val="en-US"/>
        </w:rPr>
        <w:t>18</w:t>
      </w:r>
      <w:r w:rsidRPr="41B89AC4" w:rsidR="7712711A">
        <w:rPr>
          <w:rFonts w:ascii="Arial" w:hAnsi="Arial" w:eastAsia="Arial" w:cs="Arial"/>
          <w:b w:val="0"/>
          <w:bCs w:val="0"/>
          <w:i w:val="0"/>
          <w:iCs w:val="0"/>
          <w:strike w:val="0"/>
          <w:dstrike w:val="0"/>
          <w:noProof w:val="0"/>
          <w:color w:val="222222"/>
          <w:sz w:val="20"/>
          <w:szCs w:val="20"/>
          <w:u w:val="none"/>
          <w:lang w:val="en-US"/>
        </w:rPr>
        <w:t>(8), p.503.</w:t>
      </w:r>
    </w:p>
    <w:p xmlns:wp14="http://schemas.microsoft.com/office/word/2010/wordml" w14:paraId="188567C2" wp14:textId="1392C9E6">
      <w:r>
        <w:br/>
      </w:r>
    </w:p>
    <w:p xmlns:wp14="http://schemas.microsoft.com/office/word/2010/wordml" w:rsidP="41B89AC4" w14:paraId="359A318F" wp14:textId="4E5EDE15">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Tenenberg, J. and McCartney, R., 2008. Grounding the scholarship of teaching and learning in practice. </w:t>
      </w:r>
      <w:r w:rsidRPr="41B89AC4" w:rsidR="7712711A">
        <w:rPr>
          <w:rFonts w:ascii="Arial" w:hAnsi="Arial" w:eastAsia="Arial" w:cs="Arial"/>
          <w:b w:val="0"/>
          <w:bCs w:val="0"/>
          <w:i w:val="1"/>
          <w:iCs w:val="1"/>
          <w:strike w:val="0"/>
          <w:dstrike w:val="0"/>
          <w:noProof w:val="0"/>
          <w:color w:val="222222"/>
          <w:sz w:val="20"/>
          <w:szCs w:val="20"/>
          <w:u w:val="none"/>
          <w:lang w:val="en-US"/>
        </w:rPr>
        <w:t>Journal on Educational Resources in Computing (JERIC)</w:t>
      </w:r>
      <w:r w:rsidRPr="41B89AC4" w:rsidR="7712711A">
        <w:rPr>
          <w:rFonts w:ascii="Arial" w:hAnsi="Arial" w:eastAsia="Arial" w:cs="Arial"/>
          <w:b w:val="0"/>
          <w:bCs w:val="0"/>
          <w:i w:val="0"/>
          <w:iCs w:val="0"/>
          <w:strike w:val="0"/>
          <w:dstrike w:val="0"/>
          <w:noProof w:val="0"/>
          <w:color w:val="222222"/>
          <w:sz w:val="20"/>
          <w:szCs w:val="20"/>
          <w:u w:val="none"/>
          <w:lang w:val="en-US"/>
        </w:rPr>
        <w:t xml:space="preserve">, </w:t>
      </w:r>
      <w:r w:rsidRPr="41B89AC4" w:rsidR="7712711A">
        <w:rPr>
          <w:rFonts w:ascii="Arial" w:hAnsi="Arial" w:eastAsia="Arial" w:cs="Arial"/>
          <w:b w:val="0"/>
          <w:bCs w:val="0"/>
          <w:i w:val="1"/>
          <w:iCs w:val="1"/>
          <w:strike w:val="0"/>
          <w:dstrike w:val="0"/>
          <w:noProof w:val="0"/>
          <w:color w:val="222222"/>
          <w:sz w:val="20"/>
          <w:szCs w:val="20"/>
          <w:u w:val="none"/>
          <w:lang w:val="en-US"/>
        </w:rPr>
        <w:t>8</w:t>
      </w:r>
      <w:r w:rsidRPr="41B89AC4" w:rsidR="7712711A">
        <w:rPr>
          <w:rFonts w:ascii="Arial" w:hAnsi="Arial" w:eastAsia="Arial" w:cs="Arial"/>
          <w:b w:val="0"/>
          <w:bCs w:val="0"/>
          <w:i w:val="0"/>
          <w:iCs w:val="0"/>
          <w:strike w:val="0"/>
          <w:dstrike w:val="0"/>
          <w:noProof w:val="0"/>
          <w:color w:val="222222"/>
          <w:sz w:val="20"/>
          <w:szCs w:val="20"/>
          <w:u w:val="none"/>
          <w:lang w:val="en-US"/>
        </w:rPr>
        <w:t>(2), pp.1-3.</w:t>
      </w:r>
    </w:p>
    <w:p xmlns:wp14="http://schemas.microsoft.com/office/word/2010/wordml" w14:paraId="7ADE0F41" wp14:textId="795F4333">
      <w:r>
        <w:br/>
      </w:r>
    </w:p>
    <w:p xmlns:wp14="http://schemas.microsoft.com/office/word/2010/wordml" w:rsidP="41B89AC4" w14:paraId="423FA229" wp14:textId="7A637370">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Tripp, D., 2011. </w:t>
      </w:r>
      <w:r w:rsidRPr="41B89AC4" w:rsidR="7712711A">
        <w:rPr>
          <w:rFonts w:ascii="Arial" w:hAnsi="Arial" w:eastAsia="Arial" w:cs="Arial"/>
          <w:b w:val="0"/>
          <w:bCs w:val="0"/>
          <w:i w:val="1"/>
          <w:iCs w:val="1"/>
          <w:strike w:val="0"/>
          <w:dstrike w:val="0"/>
          <w:noProof w:val="0"/>
          <w:color w:val="222222"/>
          <w:sz w:val="20"/>
          <w:szCs w:val="20"/>
          <w:u w:val="none"/>
          <w:lang w:val="en-US"/>
        </w:rPr>
        <w:t>Critical incidents in teaching (classic edition): Developing professional judgement</w:t>
      </w:r>
      <w:r w:rsidRPr="41B89AC4" w:rsidR="7712711A">
        <w:rPr>
          <w:rFonts w:ascii="Arial" w:hAnsi="Arial" w:eastAsia="Arial" w:cs="Arial"/>
          <w:b w:val="0"/>
          <w:bCs w:val="0"/>
          <w:i w:val="0"/>
          <w:iCs w:val="0"/>
          <w:strike w:val="0"/>
          <w:dstrike w:val="0"/>
          <w:noProof w:val="0"/>
          <w:color w:val="222222"/>
          <w:sz w:val="20"/>
          <w:szCs w:val="20"/>
          <w:u w:val="none"/>
          <w:lang w:val="en-US"/>
        </w:rPr>
        <w:t>. Routledge.</w:t>
      </w:r>
    </w:p>
    <w:p xmlns:wp14="http://schemas.microsoft.com/office/word/2010/wordml" w14:paraId="32823771" wp14:textId="4FDC6AC0">
      <w:r>
        <w:br/>
      </w:r>
    </w:p>
    <w:p xmlns:wp14="http://schemas.microsoft.com/office/word/2010/wordml" w:rsidP="41B89AC4" w14:paraId="1303FEE5" wp14:textId="24D7BC79">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Welsh Government. 2015. Child poverty strategy for Wales. Retrieved from: </w:t>
      </w:r>
      <w:hyperlink r:id="Ra1f02a07093e4b26">
        <w:r w:rsidRPr="41B89AC4" w:rsidR="7712711A">
          <w:rPr>
            <w:rStyle w:val="Hyperlink"/>
            <w:rFonts w:ascii="Arial" w:hAnsi="Arial" w:eastAsia="Arial" w:cs="Arial"/>
            <w:b w:val="0"/>
            <w:bCs w:val="0"/>
            <w:i w:val="0"/>
            <w:iCs w:val="0"/>
            <w:strike w:val="0"/>
            <w:dstrike w:val="0"/>
            <w:noProof w:val="0"/>
            <w:sz w:val="20"/>
            <w:szCs w:val="20"/>
            <w:lang w:val="en-US"/>
          </w:rPr>
          <w:t>https://gov.wales/sites/default/files/publications/2019-06/child-poverty-strategy-for-wales-report.pdf</w:t>
        </w:r>
      </w:hyperlink>
    </w:p>
    <w:p xmlns:wp14="http://schemas.microsoft.com/office/word/2010/wordml" w14:paraId="271F6CDB" wp14:textId="35EC38B5">
      <w:r>
        <w:br/>
      </w:r>
    </w:p>
    <w:p xmlns:wp14="http://schemas.microsoft.com/office/word/2010/wordml" w:rsidP="41B89AC4" w14:paraId="5002C3D4" wp14:textId="33B4E6F7">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Welsh Government, 2020. Information on professional standards that apply to practitioners in Wales. Retrieved from:</w:t>
      </w:r>
      <w:hyperlink r:id="R732f58d29eb84597">
        <w:r w:rsidRPr="41B89AC4" w:rsidR="7712711A">
          <w:rPr>
            <w:rStyle w:val="Hyperlink"/>
            <w:rFonts w:ascii="Arial" w:hAnsi="Arial" w:eastAsia="Arial" w:cs="Arial"/>
            <w:b w:val="0"/>
            <w:bCs w:val="0"/>
            <w:i w:val="0"/>
            <w:iCs w:val="0"/>
            <w:strike w:val="0"/>
            <w:dstrike w:val="0"/>
            <w:noProof w:val="0"/>
            <w:sz w:val="20"/>
            <w:szCs w:val="20"/>
            <w:lang w:val="en-US"/>
          </w:rPr>
          <w:t xml:space="preserve"> https://hwb.gov.wales/professional-development/professional-standards/</w:t>
        </w:r>
      </w:hyperlink>
      <w:r w:rsidRPr="41B89AC4" w:rsidR="7712711A">
        <w:rPr>
          <w:rFonts w:ascii="Arial" w:hAnsi="Arial" w:eastAsia="Arial" w:cs="Arial"/>
          <w:b w:val="0"/>
          <w:bCs w:val="0"/>
          <w:i w:val="0"/>
          <w:iCs w:val="0"/>
          <w:strike w:val="0"/>
          <w:dstrike w:val="0"/>
          <w:noProof w:val="0"/>
          <w:color w:val="222222"/>
          <w:sz w:val="20"/>
          <w:szCs w:val="20"/>
          <w:u w:val="none"/>
          <w:lang w:val="en-US"/>
        </w:rPr>
        <w:t xml:space="preserve">  </w:t>
      </w:r>
    </w:p>
    <w:p xmlns:wp14="http://schemas.microsoft.com/office/word/2010/wordml" w14:paraId="448B0865" wp14:textId="7D145EEE">
      <w:r w:rsidRPr="41B89AC4" w:rsidR="7712711A">
        <w:rPr>
          <w:rFonts w:ascii="Calibri" w:hAnsi="Calibri" w:eastAsia="Calibri" w:cs="Calibri"/>
          <w:b w:val="0"/>
          <w:bCs w:val="0"/>
          <w:noProof w:val="0"/>
          <w:sz w:val="22"/>
          <w:szCs w:val="22"/>
          <w:lang w:val="en-US"/>
        </w:rPr>
        <w:t xml:space="preserve"> </w:t>
      </w:r>
    </w:p>
    <w:p xmlns:wp14="http://schemas.microsoft.com/office/word/2010/wordml" w:rsidP="41B89AC4" w14:paraId="10E05E80" wp14:textId="641BD293">
      <w:pPr>
        <w:pStyle w:val="Normal"/>
        <w:rPr>
          <w:rFonts w:ascii="Calibri" w:hAnsi="Calibri" w:eastAsia="Calibri" w:cs="Calibri"/>
          <w:b w:val="0"/>
          <w:bCs w:val="0"/>
          <w:noProof w:val="0"/>
          <w:sz w:val="22"/>
          <w:szCs w:val="22"/>
          <w:lang w:val="en-US"/>
        </w:rPr>
      </w:pPr>
    </w:p>
    <w:p xmlns:wp14="http://schemas.microsoft.com/office/word/2010/wordml" w:rsidP="41B89AC4" w14:paraId="2DC842C9" wp14:textId="416B2C5C">
      <w:pPr>
        <w:ind w:firstLine="720"/>
      </w:pPr>
      <w:r w:rsidRPr="41B89AC4" w:rsidR="7712711A">
        <w:rPr>
          <w:rFonts w:ascii="Arial" w:hAnsi="Arial" w:eastAsia="Arial" w:cs="Arial"/>
          <w:b w:val="0"/>
          <w:bCs w:val="0"/>
          <w:i w:val="0"/>
          <w:iCs w:val="0"/>
          <w:strike w:val="0"/>
          <w:dstrike w:val="0"/>
          <w:noProof w:val="0"/>
          <w:color w:val="222222"/>
          <w:sz w:val="20"/>
          <w:szCs w:val="20"/>
          <w:u w:val="none"/>
          <w:lang w:val="en-US"/>
        </w:rPr>
        <w:t xml:space="preserve"> Welsh Government. 2022. Schools’ Census Results. Retrieved from: </w:t>
      </w:r>
      <w:hyperlink r:id="Rece363944c044f04">
        <w:r w:rsidRPr="41B89AC4" w:rsidR="7712711A">
          <w:rPr>
            <w:rStyle w:val="Hyperlink"/>
            <w:rFonts w:ascii="Arial" w:hAnsi="Arial" w:eastAsia="Arial" w:cs="Arial"/>
            <w:b w:val="0"/>
            <w:bCs w:val="0"/>
            <w:i w:val="0"/>
            <w:iCs w:val="0"/>
            <w:strike w:val="0"/>
            <w:dstrike w:val="0"/>
            <w:noProof w:val="0"/>
            <w:sz w:val="20"/>
            <w:szCs w:val="20"/>
            <w:lang w:val="en-US"/>
          </w:rPr>
          <w:t>https://explore-education-statistics.service.gov.uk/find-statistics/school-pupils-and-their-characteristics</w:t>
        </w:r>
      </w:hyperlink>
    </w:p>
    <w:p xmlns:wp14="http://schemas.microsoft.com/office/word/2010/wordml" w:rsidP="41B89AC4" w14:paraId="2C078E63" wp14:textId="31325BCF">
      <w:pPr>
        <w:pStyle w:val="Normal"/>
      </w:pPr>
      <w:r>
        <w:br/>
      </w:r>
    </w:p>
    <w:sectPr>
      <w:pgSz w:w="12240" w:h="15840" w:orient="portrait"/>
      <w:pgMar w:top="1440" w:right="1440" w:bottom="1440" w:left="1440" w:header="720" w:footer="720" w:gutter="0"/>
      <w:cols w:space="720"/>
      <w:docGrid w:linePitch="360"/>
      <w:headerReference w:type="default" r:id="R5df60bd384fe48c1"/>
      <w:footerReference w:type="default" r:id="Rda7d32ed6ebb42e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B89AC4" w:rsidTr="41B89AC4" w14:paraId="681A0D5C">
      <w:tc>
        <w:tcPr>
          <w:tcW w:w="3120" w:type="dxa"/>
          <w:tcMar/>
        </w:tcPr>
        <w:p w:rsidR="41B89AC4" w:rsidP="41B89AC4" w:rsidRDefault="41B89AC4" w14:paraId="578E6288" w14:textId="38F1960F">
          <w:pPr>
            <w:pStyle w:val="Header"/>
            <w:bidi w:val="0"/>
            <w:ind w:left="-115"/>
            <w:jc w:val="left"/>
          </w:pPr>
        </w:p>
      </w:tc>
      <w:tc>
        <w:tcPr>
          <w:tcW w:w="3120" w:type="dxa"/>
          <w:tcMar/>
        </w:tcPr>
        <w:p w:rsidR="41B89AC4" w:rsidP="41B89AC4" w:rsidRDefault="41B89AC4" w14:paraId="5F0A7D4E" w14:textId="79B8D9CD">
          <w:pPr>
            <w:pStyle w:val="Header"/>
            <w:bidi w:val="0"/>
            <w:jc w:val="center"/>
          </w:pPr>
        </w:p>
      </w:tc>
      <w:tc>
        <w:tcPr>
          <w:tcW w:w="3120" w:type="dxa"/>
          <w:tcMar/>
        </w:tcPr>
        <w:p w:rsidR="41B89AC4" w:rsidP="41B89AC4" w:rsidRDefault="41B89AC4" w14:paraId="7131B7F1" w14:textId="12CF440F">
          <w:pPr>
            <w:pStyle w:val="Header"/>
            <w:bidi w:val="0"/>
            <w:ind w:right="-115"/>
            <w:jc w:val="right"/>
          </w:pPr>
          <w:r w:rsidR="41B89AC4">
            <w:rPr/>
            <w:t xml:space="preserve">1901613 page - </w:t>
          </w:r>
          <w:r>
            <w:fldChar w:fldCharType="begin"/>
          </w:r>
          <w:r>
            <w:instrText xml:space="preserve">PAGE</w:instrText>
          </w:r>
          <w:r>
            <w:fldChar w:fldCharType="separate"/>
          </w:r>
          <w:r>
            <w:fldChar w:fldCharType="end"/>
          </w:r>
        </w:p>
      </w:tc>
    </w:tr>
  </w:tbl>
  <w:p w:rsidR="41B89AC4" w:rsidP="41B89AC4" w:rsidRDefault="41B89AC4" w14:paraId="68214BBC" w14:textId="2F66D19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B89AC4" w:rsidTr="41B89AC4" w14:paraId="1A7FD87C">
      <w:tc>
        <w:tcPr>
          <w:tcW w:w="3120" w:type="dxa"/>
          <w:tcMar/>
        </w:tcPr>
        <w:p w:rsidR="41B89AC4" w:rsidP="41B89AC4" w:rsidRDefault="41B89AC4" w14:paraId="67E20D0A" w14:textId="4399007C">
          <w:pPr>
            <w:pStyle w:val="Header"/>
            <w:bidi w:val="0"/>
            <w:ind w:left="-115"/>
            <w:jc w:val="left"/>
          </w:pPr>
        </w:p>
      </w:tc>
      <w:tc>
        <w:tcPr>
          <w:tcW w:w="3120" w:type="dxa"/>
          <w:tcMar/>
        </w:tcPr>
        <w:p w:rsidR="41B89AC4" w:rsidP="41B89AC4" w:rsidRDefault="41B89AC4" w14:paraId="411C60BD" w14:textId="45014AB2">
          <w:pPr>
            <w:pStyle w:val="Header"/>
            <w:bidi w:val="0"/>
            <w:jc w:val="center"/>
          </w:pPr>
        </w:p>
      </w:tc>
      <w:tc>
        <w:tcPr>
          <w:tcW w:w="3120" w:type="dxa"/>
          <w:tcMar/>
        </w:tcPr>
        <w:p w:rsidR="41B89AC4" w:rsidP="41B89AC4" w:rsidRDefault="41B89AC4" w14:paraId="6D137AE9" w14:textId="7C7439EB">
          <w:pPr>
            <w:pStyle w:val="Header"/>
            <w:bidi w:val="0"/>
            <w:ind w:right="-115"/>
            <w:jc w:val="right"/>
          </w:pPr>
        </w:p>
      </w:tc>
    </w:tr>
  </w:tbl>
  <w:p w:rsidR="41B89AC4" w:rsidP="41B89AC4" w:rsidRDefault="41B89AC4" w14:paraId="76114567" w14:textId="3D80C0E4">
    <w:pPr>
      <w:pStyle w:val="Header"/>
      <w:bidi w:val="0"/>
    </w:pPr>
  </w:p>
</w:hdr>
</file>

<file path=word/intelligence2.xml><?xml version="1.0" encoding="utf-8"?>
<int2:intelligence xmlns:int2="http://schemas.microsoft.com/office/intelligence/2020/intelligence">
  <int2:observations>
    <int2:bookmark int2:bookmarkName="_Int_vS1ZSkZi" int2:invalidationBookmarkName="" int2:hashCode="Vf2c0lvQPB1WkD" int2:id="Zx3SyNro"/>
    <int2:bookmark int2:bookmarkName="_Int_DltHnRiO" int2:invalidationBookmarkName="" int2:hashCode="e0dMsLOcF3PXGS" int2:id="X2zjReMR"/>
    <int2:bookmark int2:bookmarkName="_Int_ACe6mIhr" int2:invalidationBookmarkName="" int2:hashCode="xgDzA50uAYUN6A" int2:id="JSfL7xJP"/>
    <int2:bookmark int2:bookmarkName="_Int_MYRakpv9" int2:invalidationBookmarkName="" int2:hashCode="wcdntOuZ4azK1/" int2:id="RdRfPZRn"/>
    <int2:bookmark int2:bookmarkName="_Int_U90vo8hJ" int2:invalidationBookmarkName="" int2:hashCode="G8IancFdy/S2ym" int2:id="trBKsYYD"/>
    <int2:bookmark int2:bookmarkName="_Int_ySv3uD9n" int2:invalidationBookmarkName="" int2:hashCode="diqxrh8VRcGaYv" int2:id="0Ssa47MS"/>
    <int2:bookmark int2:bookmarkName="_Int_fUe7Mvyu" int2:invalidationBookmarkName="" int2:hashCode="yo8MUPAZjbe0v4" int2:id="nirIXq2u"/>
    <int2:bookmark int2:bookmarkName="_Int_N15wKiEA" int2:invalidationBookmarkName="" int2:hashCode="DOyX9vRHYRLEVO" int2:id="iFipAzjh"/>
    <int2:bookmark int2:bookmarkName="_Int_GssgNfjF" int2:invalidationBookmarkName="" int2:hashCode="ZD4DPyxyvbq3AT" int2:id="YGmXwnfS"/>
    <int2:bookmark int2:bookmarkName="_Int_dcLgQmu8" int2:invalidationBookmarkName="" int2:hashCode="VYTmmSVb91S+fu" int2:id="s6FYjRBl"/>
    <int2:bookmark int2:bookmarkName="_Int_C8ynOyVC" int2:invalidationBookmarkName="" int2:hashCode="qcKIULj3aGt4G2" int2:id="hqVFcuYU"/>
    <int2:bookmark int2:bookmarkName="_Int_DsEDnFJl" int2:invalidationBookmarkName="" int2:hashCode="30HHAZnkc4RXWk" int2:id="GYdqRBbm"/>
    <int2:bookmark int2:bookmarkName="_Int_kgAYYnSq" int2:invalidationBookmarkName="" int2:hashCode="J0X9Q46kPn8pDb" int2:id="EyIZVHxo"/>
    <int2:bookmark int2:bookmarkName="_Int_qmhOuQYl" int2:invalidationBookmarkName="" int2:hashCode="BOLcMlkIxHUrNm" int2:id="KiNBwoPG"/>
    <int2:bookmark int2:bookmarkName="_Int_7Of6hnXk" int2:invalidationBookmarkName="" int2:hashCode="0DYBFi0IMv0Z44" int2:id="6vHEJw9G"/>
    <int2:bookmark int2:bookmarkName="_Int_ag6YUXQD" int2:invalidationBookmarkName="" int2:hashCode="OVyzulyxpuJRcR" int2:id="e5ih8UbR"/>
    <int2:bookmark int2:bookmarkName="_Int_yxNQRDhw" int2:invalidationBookmarkName="" int2:hashCode="Y2V30u8Q3otAIR" int2:id="UmrJgvQH"/>
    <int2:bookmark int2:bookmarkName="_Int_zYhs5Zhh" int2:invalidationBookmarkName="" int2:hashCode="k41l82KSsIrf7Z" int2:id="sFXNXlhr"/>
    <int2:bookmark int2:bookmarkName="_Int_b3mpNwh6" int2:invalidationBookmarkName="" int2:hashCode="EwcH4FIhM1SZFy" int2:id="lpNA4rLO"/>
    <int2:bookmark int2:bookmarkName="_Int_zjVMQrLP" int2:invalidationBookmarkName="" int2:hashCode="z/tV1GwH47NNGE" int2:id="a738rpOh"/>
    <int2:bookmark int2:bookmarkName="_Int_oTUjubaq" int2:invalidationBookmarkName="" int2:hashCode="pnB+68Iswbo6PF" int2:id="xGNafCx5"/>
    <int2:bookmark int2:bookmarkName="_Int_HksoIZFd" int2:invalidationBookmarkName="" int2:hashCode="vLM5fSHBykX3ai" int2:id="AHJK3t51"/>
    <int2:bookmark int2:bookmarkName="_Int_j9MprMRX" int2:invalidationBookmarkName="" int2:hashCode="u+eLPpGcVT6CFe" int2:id="KSXo86Nr"/>
    <int2:bookmark int2:bookmarkName="_Int_Y53qoH8P" int2:invalidationBookmarkName="" int2:hashCode="Px5yc1alyE+vW0" int2:id="aCCofxON"/>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C111DA"/>
    <w:rsid w:val="0182B320"/>
    <w:rsid w:val="024BD671"/>
    <w:rsid w:val="0255CCA7"/>
    <w:rsid w:val="025A8D0F"/>
    <w:rsid w:val="031E8381"/>
    <w:rsid w:val="0594B20A"/>
    <w:rsid w:val="0627EB2E"/>
    <w:rsid w:val="071F4794"/>
    <w:rsid w:val="0730826B"/>
    <w:rsid w:val="07F1F4A4"/>
    <w:rsid w:val="08CC52CC"/>
    <w:rsid w:val="097BFA00"/>
    <w:rsid w:val="098DC505"/>
    <w:rsid w:val="0A74FFD4"/>
    <w:rsid w:val="0A7D2DE6"/>
    <w:rsid w:val="0BEB1059"/>
    <w:rsid w:val="0D336383"/>
    <w:rsid w:val="0E184CD7"/>
    <w:rsid w:val="1334A74B"/>
    <w:rsid w:val="133C94D1"/>
    <w:rsid w:val="14D86532"/>
    <w:rsid w:val="17C111DA"/>
    <w:rsid w:val="187B2A43"/>
    <w:rsid w:val="19A3E8CF"/>
    <w:rsid w:val="19ABD655"/>
    <w:rsid w:val="1B3FB930"/>
    <w:rsid w:val="1C2B8B0A"/>
    <w:rsid w:val="1E4063D6"/>
    <w:rsid w:val="1F57B9AF"/>
    <w:rsid w:val="20132A53"/>
    <w:rsid w:val="2051E4D9"/>
    <w:rsid w:val="23081A76"/>
    <w:rsid w:val="24EE88FC"/>
    <w:rsid w:val="25BE5013"/>
    <w:rsid w:val="2ECE796E"/>
    <w:rsid w:val="30C1A5E2"/>
    <w:rsid w:val="33BC4C70"/>
    <w:rsid w:val="3493C463"/>
    <w:rsid w:val="376CAD37"/>
    <w:rsid w:val="37E2A63F"/>
    <w:rsid w:val="3A98DBDC"/>
    <w:rsid w:val="3ACD29C0"/>
    <w:rsid w:val="3C4E88E0"/>
    <w:rsid w:val="3D4F1179"/>
    <w:rsid w:val="3EBF35AB"/>
    <w:rsid w:val="3F8629A2"/>
    <w:rsid w:val="41B89AC4"/>
    <w:rsid w:val="42BDCA64"/>
    <w:rsid w:val="437F002F"/>
    <w:rsid w:val="44599AC5"/>
    <w:rsid w:val="44D8ADA4"/>
    <w:rsid w:val="4501A833"/>
    <w:rsid w:val="4AC8DC49"/>
    <w:rsid w:val="4CBD3208"/>
    <w:rsid w:val="4CCB6B22"/>
    <w:rsid w:val="4F9C4D6C"/>
    <w:rsid w:val="51208A4D"/>
    <w:rsid w:val="51381DCD"/>
    <w:rsid w:val="546FBE8F"/>
    <w:rsid w:val="589033A6"/>
    <w:rsid w:val="60B2D47D"/>
    <w:rsid w:val="60C344CD"/>
    <w:rsid w:val="6146FB54"/>
    <w:rsid w:val="6433410C"/>
    <w:rsid w:val="666A6DA1"/>
    <w:rsid w:val="666B3577"/>
    <w:rsid w:val="69CFA07E"/>
    <w:rsid w:val="6B3A6697"/>
    <w:rsid w:val="6B70F766"/>
    <w:rsid w:val="6B84A235"/>
    <w:rsid w:val="6C79ACC9"/>
    <w:rsid w:val="6C85D61B"/>
    <w:rsid w:val="6D6ABF6F"/>
    <w:rsid w:val="6DDC3D4B"/>
    <w:rsid w:val="6F3C0BB8"/>
    <w:rsid w:val="72D72AA9"/>
    <w:rsid w:val="73C99581"/>
    <w:rsid w:val="76269BAD"/>
    <w:rsid w:val="7712711A"/>
    <w:rsid w:val="7A51FF62"/>
    <w:rsid w:val="7A83D278"/>
    <w:rsid w:val="7B181652"/>
    <w:rsid w:val="7C798DA6"/>
    <w:rsid w:val="7CAF41FC"/>
    <w:rsid w:val="7F0C4828"/>
    <w:rsid w:val="7F8C63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111DA"/>
  <w15:chartTrackingRefBased/>
  <w15:docId w15:val="{EB067FC3-F710-434A-9CC3-D21F8F6590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gov.wales/sites/default/files/publications/2019-06/child-poverty-strategy-for-wales-report.pdf" TargetMode="External" Id="Ra1f02a07093e4b26" /><Relationship Type="http://schemas.openxmlformats.org/officeDocument/2006/relationships/hyperlink" Target="https://hwb.gov.wales/professional-development/professional-standards/" TargetMode="External" Id="R732f58d29eb84597" /><Relationship Type="http://schemas.openxmlformats.org/officeDocument/2006/relationships/hyperlink" Target="https://explore-education-statistics.service.gov.uk/find-statistics/school-pupils-and-their-characteristics" TargetMode="External" Id="Rece363944c044f04" /><Relationship Type="http://schemas.openxmlformats.org/officeDocument/2006/relationships/header" Target="header.xml" Id="R5df60bd384fe48c1" /><Relationship Type="http://schemas.openxmlformats.org/officeDocument/2006/relationships/footer" Target="footer.xml" Id="Rda7d32ed6ebb42e3" /><Relationship Type="http://schemas.microsoft.com/office/2020/10/relationships/intelligence" Target="intelligence2.xml" Id="R994e159cb3be4c4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2022-11-06T17:54:52.3715161Z</dcterms:created>
  <dcterms:modified xsi:type="dcterms:W3CDTF">2022-11-06T18:26:23.2572395Z</dcterms:modified>
  <dc:creator>Ryan Craig-James (1901613)</dc:creator>
  <lastModifiedBy>Ryan Craig-James (1901613)</lastModifiedBy>
</coreProperties>
</file>