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28596" w14:textId="4ACF29A4" w:rsidR="00703809" w:rsidRPr="0049364A" w:rsidRDefault="4AC71AF6" w:rsidP="0AA3938D">
      <w:pPr>
        <w:ind w:right="-20"/>
        <w:rPr>
          <w:rFonts w:eastAsiaTheme="minorEastAsia"/>
          <w:sz w:val="24"/>
          <w:szCs w:val="24"/>
          <w:u w:val="single"/>
        </w:rPr>
      </w:pPr>
      <w:r w:rsidRPr="0049364A">
        <w:rPr>
          <w:rFonts w:eastAsiaTheme="minorEastAsia"/>
          <w:sz w:val="24"/>
          <w:szCs w:val="24"/>
          <w:u w:val="single"/>
        </w:rPr>
        <w:t xml:space="preserve">Consider the 3 pedagogic principles outlined below. Discuss these principles in relation to practices in education, showing secure understanding, identifying strengths and areas for development for each principle. </w:t>
      </w:r>
    </w:p>
    <w:p w14:paraId="4D662CF6" w14:textId="2C2A7A7E" w:rsidR="00703809" w:rsidRPr="0049364A" w:rsidRDefault="4AC71AF6" w:rsidP="0AA3938D">
      <w:pPr>
        <w:ind w:right="-20"/>
        <w:rPr>
          <w:rFonts w:eastAsiaTheme="minorEastAsia"/>
          <w:sz w:val="24"/>
          <w:szCs w:val="24"/>
        </w:rPr>
      </w:pPr>
      <w:r w:rsidRPr="0049364A">
        <w:rPr>
          <w:rFonts w:eastAsiaTheme="minorEastAsia"/>
          <w:sz w:val="24"/>
          <w:szCs w:val="24"/>
        </w:rPr>
        <w:t>Good teaching and learning:</w:t>
      </w:r>
    </w:p>
    <w:p w14:paraId="139FEDDD" w14:textId="7EA599DD" w:rsidR="00703809" w:rsidRPr="0049364A" w:rsidRDefault="2AFA4E14" w:rsidP="0AA3938D">
      <w:pPr>
        <w:ind w:right="-20"/>
        <w:rPr>
          <w:rFonts w:eastAsiaTheme="minorEastAsia"/>
          <w:color w:val="1F1F1F"/>
          <w:sz w:val="24"/>
          <w:szCs w:val="24"/>
        </w:rPr>
      </w:pPr>
      <w:r w:rsidRPr="0049364A">
        <w:rPr>
          <w:rFonts w:eastAsiaTheme="minorEastAsia"/>
          <w:color w:val="1F1F1F"/>
          <w:sz w:val="24"/>
          <w:szCs w:val="24"/>
        </w:rPr>
        <w:t xml:space="preserve">Principle 1 - </w:t>
      </w:r>
      <w:r w:rsidR="4AC71AF6" w:rsidRPr="0049364A">
        <w:rPr>
          <w:rFonts w:eastAsiaTheme="minorEastAsia"/>
          <w:color w:val="1F1F1F"/>
          <w:sz w:val="24"/>
          <w:szCs w:val="24"/>
        </w:rPr>
        <w:t>means employing a blend of approaches including direct teaching.</w:t>
      </w:r>
    </w:p>
    <w:p w14:paraId="42B9F20E" w14:textId="0518EA40" w:rsidR="00703809" w:rsidRPr="0049364A" w:rsidRDefault="40CBB5A8" w:rsidP="0AA3938D">
      <w:pPr>
        <w:ind w:right="-20"/>
        <w:rPr>
          <w:rFonts w:eastAsiaTheme="minorEastAsia"/>
          <w:color w:val="1F1F1F"/>
          <w:sz w:val="24"/>
          <w:szCs w:val="24"/>
        </w:rPr>
      </w:pPr>
      <w:r w:rsidRPr="0049364A">
        <w:rPr>
          <w:rFonts w:eastAsiaTheme="minorEastAsia"/>
          <w:sz w:val="24"/>
          <w:szCs w:val="24"/>
        </w:rPr>
        <w:t>Principle 2 -</w:t>
      </w:r>
      <w:r w:rsidR="4AC71AF6" w:rsidRPr="0049364A">
        <w:rPr>
          <w:rFonts w:eastAsiaTheme="minorEastAsia"/>
          <w:sz w:val="24"/>
          <w:szCs w:val="24"/>
        </w:rPr>
        <w:t>s</w:t>
      </w:r>
      <w:r w:rsidR="4AC71AF6" w:rsidRPr="0049364A">
        <w:rPr>
          <w:rFonts w:eastAsiaTheme="minorEastAsia"/>
          <w:color w:val="1F1F1F"/>
          <w:sz w:val="24"/>
          <w:szCs w:val="24"/>
        </w:rPr>
        <w:t>ets tasks and selects resources that build on previous knowledge and experience and engage interest.</w:t>
      </w:r>
    </w:p>
    <w:p w14:paraId="2E9373CF" w14:textId="6C7C82BC" w:rsidR="00703809" w:rsidRPr="0049364A" w:rsidRDefault="2D8D2183" w:rsidP="0AA3938D">
      <w:pPr>
        <w:ind w:right="-20"/>
        <w:rPr>
          <w:rFonts w:eastAsiaTheme="minorEastAsia"/>
          <w:sz w:val="24"/>
          <w:szCs w:val="24"/>
        </w:rPr>
      </w:pPr>
      <w:r w:rsidRPr="0049364A">
        <w:rPr>
          <w:rFonts w:eastAsiaTheme="minorEastAsia"/>
          <w:color w:val="1F1F1F"/>
          <w:sz w:val="24"/>
          <w:szCs w:val="24"/>
        </w:rPr>
        <w:t xml:space="preserve">Principle 3 - </w:t>
      </w:r>
      <w:r w:rsidR="4AC71AF6" w:rsidRPr="0049364A">
        <w:rPr>
          <w:rFonts w:eastAsiaTheme="minorEastAsia"/>
          <w:color w:val="1F1F1F"/>
          <w:sz w:val="24"/>
          <w:szCs w:val="24"/>
        </w:rPr>
        <w:t xml:space="preserve">ranges within and across Areas of Learning and Experience. </w:t>
      </w:r>
      <w:r w:rsidR="4AC71AF6" w:rsidRPr="0049364A">
        <w:rPr>
          <w:rFonts w:eastAsiaTheme="minorEastAsia"/>
          <w:sz w:val="24"/>
          <w:szCs w:val="24"/>
        </w:rPr>
        <w:t xml:space="preserve">     </w:t>
      </w:r>
    </w:p>
    <w:p w14:paraId="2B4CB3ED" w14:textId="1ED5A27A" w:rsidR="00703809" w:rsidRPr="0049364A" w:rsidRDefault="4AC71AF6" w:rsidP="0AA3938D">
      <w:pPr>
        <w:ind w:left="4320" w:right="-20"/>
        <w:rPr>
          <w:rFonts w:eastAsiaTheme="minorEastAsia"/>
          <w:sz w:val="24"/>
          <w:szCs w:val="24"/>
        </w:rPr>
      </w:pPr>
      <w:r w:rsidRPr="0049364A">
        <w:rPr>
          <w:rFonts w:eastAsiaTheme="minorEastAsia"/>
          <w:sz w:val="24"/>
          <w:szCs w:val="24"/>
        </w:rPr>
        <w:t xml:space="preserve">                             </w:t>
      </w:r>
      <w:r w:rsidRPr="0049364A">
        <w:rPr>
          <w:rFonts w:eastAsiaTheme="minorEastAsia"/>
          <w:color w:val="000000" w:themeColor="text1"/>
          <w:sz w:val="24"/>
          <w:szCs w:val="24"/>
        </w:rPr>
        <w:t>(</w:t>
      </w:r>
      <w:hyperlink r:id="rId5">
        <w:r w:rsidRPr="0049364A">
          <w:rPr>
            <w:rStyle w:val="Hyperlink"/>
            <w:rFonts w:eastAsiaTheme="minorEastAsia"/>
            <w:color w:val="000000" w:themeColor="text1"/>
            <w:sz w:val="24"/>
            <w:szCs w:val="24"/>
            <w:u w:val="none"/>
          </w:rPr>
          <w:t xml:space="preserve">Pedagogy - </w:t>
        </w:r>
        <w:proofErr w:type="spellStart"/>
        <w:r w:rsidRPr="0049364A">
          <w:rPr>
            <w:rStyle w:val="Hyperlink"/>
            <w:rFonts w:eastAsiaTheme="minorEastAsia"/>
            <w:color w:val="000000" w:themeColor="text1"/>
            <w:sz w:val="24"/>
            <w:szCs w:val="24"/>
            <w:u w:val="none"/>
          </w:rPr>
          <w:t>Hwb</w:t>
        </w:r>
        <w:proofErr w:type="spellEnd"/>
        <w:r w:rsidRPr="0049364A">
          <w:rPr>
            <w:rStyle w:val="Hyperlink"/>
            <w:rFonts w:eastAsiaTheme="minorEastAsia"/>
            <w:color w:val="000000" w:themeColor="text1"/>
            <w:sz w:val="24"/>
            <w:szCs w:val="24"/>
            <w:u w:val="none"/>
          </w:rPr>
          <w:t xml:space="preserve"> (gov.wales).</w:t>
        </w:r>
      </w:hyperlink>
    </w:p>
    <w:p w14:paraId="7B7F0796" w14:textId="68E2A729" w:rsidR="00703809" w:rsidRPr="0049364A" w:rsidRDefault="4A4B4640" w:rsidP="0AA3938D">
      <w:pPr>
        <w:rPr>
          <w:rFonts w:eastAsia="Calibri" w:cs="Calibri"/>
          <w:color w:val="000000" w:themeColor="text1"/>
          <w:sz w:val="24"/>
          <w:szCs w:val="24"/>
        </w:rPr>
      </w:pPr>
      <w:r w:rsidRPr="0049364A">
        <w:rPr>
          <w:rFonts w:eastAsia="Calibri" w:cs="Calibri"/>
          <w:color w:val="000000" w:themeColor="text1"/>
          <w:sz w:val="24"/>
          <w:szCs w:val="24"/>
        </w:rPr>
        <w:t>Targets from previous assignment -</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0AA3938D" w:rsidRPr="0049364A" w14:paraId="1A6468D8" w14:textId="77777777" w:rsidTr="0AA3938D">
        <w:trPr>
          <w:trHeight w:val="300"/>
        </w:trPr>
        <w:tc>
          <w:tcPr>
            <w:tcW w:w="4680" w:type="dxa"/>
            <w:tcBorders>
              <w:top w:val="single" w:sz="6" w:space="0" w:color="auto"/>
              <w:left w:val="single" w:sz="6" w:space="0" w:color="auto"/>
            </w:tcBorders>
            <w:tcMar>
              <w:left w:w="90" w:type="dxa"/>
              <w:right w:w="90" w:type="dxa"/>
            </w:tcMar>
          </w:tcPr>
          <w:p w14:paraId="5EC6170C" w14:textId="27EBE2B4" w:rsidR="0AA3938D" w:rsidRPr="0049364A" w:rsidRDefault="0AA3938D" w:rsidP="0AA3938D">
            <w:pPr>
              <w:pStyle w:val="ListParagraph"/>
              <w:numPr>
                <w:ilvl w:val="0"/>
                <w:numId w:val="2"/>
              </w:numPr>
              <w:spacing w:line="259" w:lineRule="auto"/>
              <w:rPr>
                <w:rFonts w:eastAsia="Calibri" w:cs="Calibri"/>
                <w:color w:val="283041"/>
                <w:sz w:val="24"/>
                <w:szCs w:val="24"/>
              </w:rPr>
            </w:pPr>
            <w:r w:rsidRPr="0049364A">
              <w:rPr>
                <w:rFonts w:eastAsia="Calibri" w:cs="Calibri"/>
                <w:color w:val="283041"/>
                <w:sz w:val="24"/>
                <w:szCs w:val="24"/>
              </w:rPr>
              <w:t>Continue to ensure a greater critical approach throughout, offering the opposing view whenever possible.</w:t>
            </w:r>
          </w:p>
        </w:tc>
        <w:tc>
          <w:tcPr>
            <w:tcW w:w="4680" w:type="dxa"/>
            <w:tcBorders>
              <w:top w:val="single" w:sz="6" w:space="0" w:color="auto"/>
              <w:right w:val="single" w:sz="6" w:space="0" w:color="auto"/>
            </w:tcBorders>
            <w:tcMar>
              <w:left w:w="90" w:type="dxa"/>
              <w:right w:w="90" w:type="dxa"/>
            </w:tcMar>
          </w:tcPr>
          <w:p w14:paraId="291F54DE" w14:textId="6840AD12" w:rsidR="0AA3938D" w:rsidRPr="0049364A" w:rsidRDefault="003D61E5" w:rsidP="0AA3938D">
            <w:pPr>
              <w:spacing w:line="259" w:lineRule="auto"/>
              <w:rPr>
                <w:rFonts w:eastAsia="Calibri" w:cs="Calibri"/>
                <w:sz w:val="24"/>
                <w:szCs w:val="24"/>
              </w:rPr>
            </w:pPr>
            <w:r>
              <w:rPr>
                <w:rFonts w:ascii="Segoe UI" w:eastAsia="Times New Roman" w:hAnsi="Segoe UI" w:cs="Segoe UI"/>
                <w:color w:val="0D0D0D"/>
                <w:shd w:val="clear" w:color="auto" w:fill="FFFFFF"/>
              </w:rPr>
              <w:t xml:space="preserve">Throughout my work, I consistently maintained a critical approach by presenting opposing views and perspectives from </w:t>
            </w:r>
            <w:r w:rsidR="00BC7F72">
              <w:rPr>
                <w:rFonts w:ascii="Segoe UI" w:eastAsia="Times New Roman" w:hAnsi="Segoe UI" w:cs="Segoe UI"/>
                <w:color w:val="0D0D0D"/>
                <w:shd w:val="clear" w:color="auto" w:fill="FFFFFF"/>
              </w:rPr>
              <w:t>prominent t</w:t>
            </w:r>
            <w:r>
              <w:rPr>
                <w:rFonts w:ascii="Segoe UI" w:eastAsia="Times New Roman" w:hAnsi="Segoe UI" w:cs="Segoe UI"/>
                <w:color w:val="0D0D0D"/>
                <w:shd w:val="clear" w:color="auto" w:fill="FFFFFF"/>
              </w:rPr>
              <w:t>heorists and psychologists.</w:t>
            </w:r>
          </w:p>
        </w:tc>
      </w:tr>
      <w:tr w:rsidR="0AA3938D" w:rsidRPr="0049364A" w14:paraId="52136BA3" w14:textId="77777777" w:rsidTr="0AA3938D">
        <w:trPr>
          <w:trHeight w:val="300"/>
        </w:trPr>
        <w:tc>
          <w:tcPr>
            <w:tcW w:w="4680" w:type="dxa"/>
            <w:tcBorders>
              <w:left w:val="single" w:sz="6" w:space="0" w:color="auto"/>
              <w:bottom w:val="single" w:sz="6" w:space="0" w:color="auto"/>
            </w:tcBorders>
            <w:tcMar>
              <w:left w:w="90" w:type="dxa"/>
              <w:right w:w="90" w:type="dxa"/>
            </w:tcMar>
          </w:tcPr>
          <w:p w14:paraId="42CFD38E" w14:textId="72127773" w:rsidR="0AA3938D" w:rsidRPr="0049364A" w:rsidRDefault="0AA3938D" w:rsidP="0AA3938D">
            <w:pPr>
              <w:pStyle w:val="ListParagraph"/>
              <w:numPr>
                <w:ilvl w:val="0"/>
                <w:numId w:val="2"/>
              </w:numPr>
              <w:spacing w:line="259" w:lineRule="auto"/>
              <w:rPr>
                <w:rFonts w:eastAsia="Calibri" w:cs="Calibri"/>
                <w:color w:val="283041"/>
                <w:sz w:val="24"/>
                <w:szCs w:val="24"/>
              </w:rPr>
            </w:pPr>
            <w:r w:rsidRPr="0049364A">
              <w:rPr>
                <w:rFonts w:eastAsia="Calibri" w:cs="Calibri"/>
                <w:color w:val="283041"/>
                <w:sz w:val="24"/>
                <w:szCs w:val="24"/>
              </w:rPr>
              <w:t>To develop further, make explicit links with the QTS standards.</w:t>
            </w:r>
          </w:p>
        </w:tc>
        <w:tc>
          <w:tcPr>
            <w:tcW w:w="4680" w:type="dxa"/>
            <w:tcBorders>
              <w:bottom w:val="single" w:sz="6" w:space="0" w:color="auto"/>
              <w:right w:val="single" w:sz="6" w:space="0" w:color="auto"/>
            </w:tcBorders>
            <w:tcMar>
              <w:left w:w="90" w:type="dxa"/>
              <w:right w:w="90" w:type="dxa"/>
            </w:tcMar>
          </w:tcPr>
          <w:p w14:paraId="4C895A07" w14:textId="66E2234F" w:rsidR="0AA3938D" w:rsidRPr="0049364A" w:rsidRDefault="00BF5E53" w:rsidP="0AA3938D">
            <w:pPr>
              <w:spacing w:line="259" w:lineRule="auto"/>
              <w:rPr>
                <w:rFonts w:eastAsia="Calibri" w:cs="Calibri"/>
                <w:sz w:val="24"/>
                <w:szCs w:val="24"/>
              </w:rPr>
            </w:pPr>
            <w:r>
              <w:rPr>
                <w:rFonts w:ascii="Segoe UI" w:eastAsia="Times New Roman" w:hAnsi="Segoe UI" w:cs="Segoe UI"/>
                <w:color w:val="0D0D0D"/>
                <w:shd w:val="clear" w:color="auto" w:fill="FFFFFF"/>
              </w:rPr>
              <w:t>In terms of linking with the QTS (Qualified Teacher Status) standards, I have explicitly connected my practices and observations with the relevant standards.</w:t>
            </w:r>
          </w:p>
        </w:tc>
      </w:tr>
    </w:tbl>
    <w:p w14:paraId="652D9655" w14:textId="6A377CFF" w:rsidR="00703809" w:rsidRPr="0049364A" w:rsidRDefault="00703809" w:rsidP="0AA3938D">
      <w:pPr>
        <w:ind w:right="-20"/>
        <w:rPr>
          <w:rFonts w:eastAsiaTheme="minorEastAsia"/>
          <w:sz w:val="24"/>
          <w:szCs w:val="24"/>
        </w:rPr>
      </w:pPr>
    </w:p>
    <w:p w14:paraId="2A85CED8" w14:textId="77777777" w:rsidR="00F55DCD"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 xml:space="preserve">Foundation learning takes a play-based approach, focusing on active, hands-on experiences in indoor and outdoor environments (Early Years Wales, 2020). Renowned psychologist Jean Piaget emphasised the importance of play in learning (Piaget, 1962). Piaget believed that a play-based approach to learning aided in developing children's cognitive development by providing opportunities to explore and experiment (Piaget, 1962), resulting in children's ability to construct their </w:t>
      </w:r>
      <w:r w:rsidR="003C3E83">
        <w:rPr>
          <w:rFonts w:eastAsiaTheme="minorEastAsia" w:cs="Times New Roman"/>
          <w:color w:val="0E101A"/>
          <w:sz w:val="24"/>
          <w:szCs w:val="24"/>
          <w:lang w:eastAsia="en-GB"/>
        </w:rPr>
        <w:t xml:space="preserve">own </w:t>
      </w:r>
      <w:r w:rsidRPr="003F7A80">
        <w:rPr>
          <w:rFonts w:eastAsiaTheme="minorEastAsia" w:cs="Times New Roman"/>
          <w:color w:val="0E101A"/>
          <w:sz w:val="24"/>
          <w:szCs w:val="24"/>
          <w:lang w:eastAsia="en-GB"/>
        </w:rPr>
        <w:t>understanding of things.</w:t>
      </w:r>
      <w:r w:rsidR="00F55DCD">
        <w:rPr>
          <w:rFonts w:eastAsiaTheme="minorEastAsia" w:cs="Times New Roman"/>
          <w:color w:val="0E101A"/>
          <w:sz w:val="24"/>
          <w:szCs w:val="24"/>
          <w:lang w:eastAsia="en-GB"/>
        </w:rPr>
        <w:t xml:space="preserve"> </w:t>
      </w:r>
      <w:r w:rsidRPr="003F7A80">
        <w:rPr>
          <w:rFonts w:eastAsiaTheme="minorEastAsia" w:cs="Times New Roman"/>
          <w:color w:val="0E101A"/>
          <w:sz w:val="24"/>
          <w:szCs w:val="24"/>
          <w:lang w:eastAsia="en-GB"/>
        </w:rPr>
        <w:t>Foundation learning also aims to provide high-quality education (OECD, 2020) in rich and stimulating learning environments that nurture children's holistic development (</w:t>
      </w:r>
      <w:proofErr w:type="spellStart"/>
      <w:r w:rsidRPr="003F7A80">
        <w:rPr>
          <w:rFonts w:eastAsiaTheme="minorEastAsia" w:cs="Times New Roman"/>
          <w:color w:val="0E101A"/>
          <w:sz w:val="24"/>
          <w:szCs w:val="24"/>
          <w:lang w:eastAsia="en-GB"/>
        </w:rPr>
        <w:t>Protheroe</w:t>
      </w:r>
      <w:proofErr w:type="spellEnd"/>
      <w:r w:rsidRPr="003F7A80">
        <w:rPr>
          <w:rFonts w:eastAsiaTheme="minorEastAsia" w:cs="Times New Roman"/>
          <w:color w:val="0E101A"/>
          <w:sz w:val="24"/>
          <w:szCs w:val="24"/>
          <w:lang w:eastAsia="en-GB"/>
        </w:rPr>
        <w:t xml:space="preserve">, 2022), supported by the work of Erik </w:t>
      </w:r>
      <w:proofErr w:type="spellStart"/>
      <w:r w:rsidRPr="003F7A80">
        <w:rPr>
          <w:rFonts w:eastAsiaTheme="minorEastAsia" w:cs="Times New Roman"/>
          <w:color w:val="0E101A"/>
          <w:sz w:val="24"/>
          <w:szCs w:val="24"/>
          <w:lang w:eastAsia="en-GB"/>
        </w:rPr>
        <w:t>Erikson's</w:t>
      </w:r>
      <w:proofErr w:type="spellEnd"/>
      <w:r w:rsidRPr="003F7A80">
        <w:rPr>
          <w:rFonts w:eastAsiaTheme="minorEastAsia" w:cs="Times New Roman"/>
          <w:color w:val="0E101A"/>
          <w:sz w:val="24"/>
          <w:szCs w:val="24"/>
          <w:lang w:eastAsia="en-GB"/>
        </w:rPr>
        <w:t xml:space="preserve"> psychosocial theory. </w:t>
      </w:r>
      <w:proofErr w:type="spellStart"/>
      <w:r w:rsidRPr="003F7A80">
        <w:rPr>
          <w:rFonts w:eastAsiaTheme="minorEastAsia" w:cs="Times New Roman"/>
          <w:color w:val="0E101A"/>
          <w:sz w:val="24"/>
          <w:szCs w:val="24"/>
          <w:lang w:eastAsia="en-GB"/>
        </w:rPr>
        <w:t>Erikson</w:t>
      </w:r>
      <w:proofErr w:type="spellEnd"/>
      <w:r w:rsidRPr="003F7A80">
        <w:rPr>
          <w:rFonts w:eastAsiaTheme="minorEastAsia" w:cs="Times New Roman"/>
          <w:color w:val="0E101A"/>
          <w:sz w:val="24"/>
          <w:szCs w:val="24"/>
          <w:lang w:eastAsia="en-GB"/>
        </w:rPr>
        <w:t xml:space="preserve"> advocated for the importance of addressing children's well-being and emotional needs (</w:t>
      </w:r>
      <w:proofErr w:type="spellStart"/>
      <w:r w:rsidRPr="003F7A80">
        <w:rPr>
          <w:rFonts w:eastAsiaTheme="minorEastAsia" w:cs="Times New Roman"/>
          <w:color w:val="0E101A"/>
          <w:sz w:val="24"/>
          <w:szCs w:val="24"/>
          <w:lang w:eastAsia="en-GB"/>
        </w:rPr>
        <w:t>Scheck</w:t>
      </w:r>
      <w:proofErr w:type="spellEnd"/>
      <w:r w:rsidRPr="003F7A80">
        <w:rPr>
          <w:rFonts w:eastAsiaTheme="minorEastAsia" w:cs="Times New Roman"/>
          <w:color w:val="0E101A"/>
          <w:sz w:val="24"/>
          <w:szCs w:val="24"/>
          <w:lang w:eastAsia="en-GB"/>
        </w:rPr>
        <w:t>, 2014), which is supported in the new curriculum for Wales by incorporating health and well-being as one of its key areas of learning and experience (Welsh Government, 2022).</w:t>
      </w:r>
      <w:r w:rsidR="00F55DCD">
        <w:rPr>
          <w:rFonts w:eastAsiaTheme="minorEastAsia" w:cs="Times New Roman"/>
          <w:color w:val="0E101A"/>
          <w:sz w:val="24"/>
          <w:szCs w:val="24"/>
          <w:lang w:eastAsia="en-GB"/>
        </w:rPr>
        <w:t xml:space="preserve"> </w:t>
      </w:r>
      <w:r w:rsidRPr="003F7A80">
        <w:rPr>
          <w:rFonts w:eastAsiaTheme="minorEastAsia" w:cs="Times New Roman"/>
          <w:color w:val="0E101A"/>
          <w:sz w:val="24"/>
          <w:szCs w:val="24"/>
          <w:lang w:eastAsia="en-GB"/>
        </w:rPr>
        <w:t>The foundation learning curriculum emphasises child-centred approaches to learning (Welsh Government, 2022), employing a pedagogical philosophy rooted in numerous educational theories and frameworks. These theories and frameworks support children's active participation in their learning journey, forming the foundation of the new curriculum and engaging children in the learning process (Donaldson, 2015). It is said that education should be based on the experiences and activities that are most meaningful and relevant to the learner, making learning child-centred by focusing on the interests and needs of the child (Dewey, 1975). </w:t>
      </w:r>
    </w:p>
    <w:p w14:paraId="1B48EDA7" w14:textId="6FE3BD8B" w:rsidR="003F7A80" w:rsidRPr="003F7A80" w:rsidRDefault="00AE72F5" w:rsidP="003F7A80">
      <w:pPr>
        <w:spacing w:after="0" w:line="240" w:lineRule="auto"/>
        <w:divId w:val="1506508290"/>
        <w:rPr>
          <w:rFonts w:eastAsiaTheme="minorEastAsia" w:cs="Times New Roman"/>
          <w:color w:val="0E101A"/>
          <w:sz w:val="24"/>
          <w:szCs w:val="24"/>
          <w:lang w:eastAsia="en-GB"/>
        </w:rPr>
      </w:pPr>
      <w:r>
        <w:rPr>
          <w:rFonts w:eastAsiaTheme="minorEastAsia" w:cs="Times New Roman"/>
          <w:color w:val="0E101A"/>
          <w:sz w:val="24"/>
          <w:szCs w:val="24"/>
          <w:lang w:eastAsia="en-GB"/>
        </w:rPr>
        <w:lastRenderedPageBreak/>
        <w:t xml:space="preserve"> </w:t>
      </w:r>
      <w:r w:rsidR="003F7A80" w:rsidRPr="003F7A80">
        <w:rPr>
          <w:rFonts w:eastAsiaTheme="minorEastAsia" w:cs="Times New Roman"/>
          <w:color w:val="0E101A"/>
          <w:sz w:val="24"/>
          <w:szCs w:val="24"/>
          <w:lang w:eastAsia="en-GB"/>
        </w:rPr>
        <w:t>The principles of foundation learning lay the groundwork for transforming the Welsh curriculum. Over the last five years, the Welsh curriculum has undergone a remarkable transformation, with a new curriculum introduced in 2020 (Government, 2020). However, in the years leading up to the new curriculum, the Welsh education system faced backlash with the Programme for International Student Assessment (PISA) results highlighting concerning trends in student performance scoring below average (OECD, 2016). With growing concerns that the current curriculum was outdated in a rapidly evolving modern world, the Welsh Government took inspiration from Scotland by enlisting the help of Graham Donaldson (Scottish Government, 2016). </w:t>
      </w:r>
    </w:p>
    <w:p w14:paraId="26CF0D6D" w14:textId="77777777" w:rsidR="003F7A80" w:rsidRP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With a track record of success in Scotland's education transformation, Donaldson visited every school in Wales to gather firsthand insights and feedback (Group, 2019). After his journey around the schools in Wales, Donaldson utilised the information he gathered and wrote 'Successful Futures', which laid the groundwork for Wales to embrace a holistic approach that nurtured learners' emotional and social development (Donaldson, 2015). Successful Futures outlined a bold vision that would shape the future of Welsh education by introducing collaboration initiatives such as Pioneer Schools Network and the National Academy for Educational Leadership (Government, 2015).</w:t>
      </w:r>
    </w:p>
    <w:p w14:paraId="7042DDCB" w14:textId="03EEAAAC" w:rsidR="003F7A80" w:rsidRP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 xml:space="preserve">The new Welsh curriculum is based on four purposes that act as a foundational guide on the representation, development and execution of the new </w:t>
      </w:r>
      <w:r w:rsidR="000721DE" w:rsidRPr="003F7A80">
        <w:rPr>
          <w:rFonts w:eastAsiaTheme="minorEastAsia" w:cs="Times New Roman"/>
          <w:color w:val="0E101A"/>
          <w:sz w:val="24"/>
          <w:szCs w:val="24"/>
          <w:lang w:eastAsia="en-GB"/>
        </w:rPr>
        <w:t>curriculum.</w:t>
      </w:r>
    </w:p>
    <w:p w14:paraId="5043B4B9" w14:textId="77777777" w:rsidR="003F7A80" w:rsidRPr="003F7A80" w:rsidRDefault="003F7A80" w:rsidP="003F7A80">
      <w:pPr>
        <w:numPr>
          <w:ilvl w:val="0"/>
          <w:numId w:val="10"/>
        </w:numPr>
        <w:spacing w:after="0" w:line="240" w:lineRule="auto"/>
        <w:divId w:val="1506508290"/>
        <w:rPr>
          <w:rFonts w:eastAsia="Times New Roman" w:cs="Times New Roman"/>
          <w:color w:val="0E101A"/>
          <w:sz w:val="24"/>
          <w:szCs w:val="24"/>
          <w:lang w:eastAsia="en-GB"/>
        </w:rPr>
      </w:pPr>
      <w:r w:rsidRPr="003F7A80">
        <w:rPr>
          <w:rFonts w:eastAsia="Times New Roman" w:cs="Times New Roman"/>
          <w:color w:val="0E101A"/>
          <w:sz w:val="24"/>
          <w:szCs w:val="24"/>
          <w:lang w:eastAsia="en-GB"/>
        </w:rPr>
        <w:t>"Ambitious, capable learners,</w:t>
      </w:r>
    </w:p>
    <w:p w14:paraId="50790056" w14:textId="77777777" w:rsidR="003F7A80" w:rsidRPr="003F7A80" w:rsidRDefault="003F7A80" w:rsidP="003F7A80">
      <w:pPr>
        <w:numPr>
          <w:ilvl w:val="0"/>
          <w:numId w:val="10"/>
        </w:numPr>
        <w:spacing w:after="0" w:line="240" w:lineRule="auto"/>
        <w:divId w:val="1506508290"/>
        <w:rPr>
          <w:rFonts w:eastAsia="Times New Roman" w:cs="Times New Roman"/>
          <w:color w:val="0E101A"/>
          <w:sz w:val="24"/>
          <w:szCs w:val="24"/>
          <w:lang w:eastAsia="en-GB"/>
        </w:rPr>
      </w:pPr>
      <w:r w:rsidRPr="003F7A80">
        <w:rPr>
          <w:rFonts w:eastAsia="Times New Roman" w:cs="Times New Roman"/>
          <w:color w:val="0E101A"/>
          <w:sz w:val="24"/>
          <w:szCs w:val="24"/>
          <w:lang w:eastAsia="en-GB"/>
        </w:rPr>
        <w:t>Enterprising, creative contributors,</w:t>
      </w:r>
    </w:p>
    <w:p w14:paraId="4D0EC8FF" w14:textId="77777777" w:rsidR="003F7A80" w:rsidRPr="003F7A80" w:rsidRDefault="003F7A80" w:rsidP="003F7A80">
      <w:pPr>
        <w:numPr>
          <w:ilvl w:val="0"/>
          <w:numId w:val="10"/>
        </w:numPr>
        <w:spacing w:after="0" w:line="240" w:lineRule="auto"/>
        <w:divId w:val="1506508290"/>
        <w:rPr>
          <w:rFonts w:eastAsia="Times New Roman" w:cs="Times New Roman"/>
          <w:color w:val="0E101A"/>
          <w:sz w:val="24"/>
          <w:szCs w:val="24"/>
          <w:lang w:eastAsia="en-GB"/>
        </w:rPr>
      </w:pPr>
      <w:r w:rsidRPr="003F7A80">
        <w:rPr>
          <w:rFonts w:eastAsia="Times New Roman" w:cs="Times New Roman"/>
          <w:color w:val="0E101A"/>
          <w:sz w:val="24"/>
          <w:szCs w:val="24"/>
          <w:lang w:eastAsia="en-GB"/>
        </w:rPr>
        <w:t>Ethical, informed citizens,</w:t>
      </w:r>
    </w:p>
    <w:p w14:paraId="4B41ABBD" w14:textId="77777777" w:rsidR="003F7A80" w:rsidRPr="003F7A80" w:rsidRDefault="003F7A80" w:rsidP="003F7A80">
      <w:pPr>
        <w:numPr>
          <w:ilvl w:val="0"/>
          <w:numId w:val="10"/>
        </w:numPr>
        <w:spacing w:after="0" w:line="240" w:lineRule="auto"/>
        <w:divId w:val="1506508290"/>
        <w:rPr>
          <w:rFonts w:eastAsia="Times New Roman" w:cs="Times New Roman"/>
          <w:color w:val="0E101A"/>
          <w:sz w:val="24"/>
          <w:szCs w:val="24"/>
          <w:lang w:eastAsia="en-GB"/>
        </w:rPr>
      </w:pPr>
      <w:r w:rsidRPr="003F7A80">
        <w:rPr>
          <w:rFonts w:eastAsia="Times New Roman" w:cs="Times New Roman"/>
          <w:color w:val="0E101A"/>
          <w:sz w:val="24"/>
          <w:szCs w:val="24"/>
          <w:lang w:eastAsia="en-GB"/>
        </w:rPr>
        <w:t>Healthy, confident individuals."</w:t>
      </w:r>
    </w:p>
    <w:p w14:paraId="316647FB" w14:textId="77777777" w:rsidR="003F7A80" w:rsidRP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(EQUAL, 2023).</w:t>
      </w:r>
    </w:p>
    <w:p w14:paraId="3BE42540" w14:textId="0E2C5E38" w:rsidR="003F7A80" w:rsidRP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 xml:space="preserve">Twelve pedagogical principles complement these purposes (See Appendix 1), highlighting the importance of progression, inclusivity, engagement, personalisation, assessment, and reflection. They enable teachers to create positive and inclusive learning environments that </w:t>
      </w:r>
      <w:r w:rsidR="006C6354">
        <w:rPr>
          <w:rFonts w:eastAsiaTheme="minorEastAsia" w:cs="Times New Roman"/>
          <w:color w:val="0E101A"/>
          <w:sz w:val="24"/>
          <w:szCs w:val="24"/>
          <w:lang w:eastAsia="en-GB"/>
        </w:rPr>
        <w:t>improve</w:t>
      </w:r>
      <w:r w:rsidRPr="003F7A80">
        <w:rPr>
          <w:rFonts w:eastAsiaTheme="minorEastAsia" w:cs="Times New Roman"/>
          <w:color w:val="0E101A"/>
          <w:sz w:val="24"/>
          <w:szCs w:val="24"/>
          <w:lang w:eastAsia="en-GB"/>
        </w:rPr>
        <w:t xml:space="preserve"> engagement and challenge learners to push themselves to a deeper understanding.</w:t>
      </w:r>
    </w:p>
    <w:p w14:paraId="3A75E383" w14:textId="4BCDF7A5" w:rsidR="003F7A80" w:rsidRP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 xml:space="preserve">The new curriculum is set into six critical areas of learning and experience (AOLES), encompassing a wide range of subjects, disciplines, and </w:t>
      </w:r>
      <w:r w:rsidR="000721DE" w:rsidRPr="003F7A80">
        <w:rPr>
          <w:rFonts w:eastAsiaTheme="minorEastAsia" w:cs="Times New Roman"/>
          <w:color w:val="0E101A"/>
          <w:sz w:val="24"/>
          <w:szCs w:val="24"/>
          <w:lang w:eastAsia="en-GB"/>
        </w:rPr>
        <w:t>themes.</w:t>
      </w:r>
    </w:p>
    <w:p w14:paraId="57A5FB92" w14:textId="77777777" w:rsidR="003F7A80" w:rsidRPr="003F7A80" w:rsidRDefault="003F7A80" w:rsidP="003F7A80">
      <w:pPr>
        <w:numPr>
          <w:ilvl w:val="0"/>
          <w:numId w:val="11"/>
        </w:numPr>
        <w:spacing w:after="0" w:line="240" w:lineRule="auto"/>
        <w:divId w:val="1506508290"/>
        <w:rPr>
          <w:rFonts w:eastAsia="Times New Roman" w:cs="Times New Roman"/>
          <w:color w:val="0E101A"/>
          <w:sz w:val="24"/>
          <w:szCs w:val="24"/>
          <w:lang w:eastAsia="en-GB"/>
        </w:rPr>
      </w:pPr>
      <w:r w:rsidRPr="003F7A80">
        <w:rPr>
          <w:rFonts w:eastAsia="Times New Roman" w:cs="Times New Roman"/>
          <w:color w:val="0E101A"/>
          <w:sz w:val="24"/>
          <w:szCs w:val="24"/>
          <w:lang w:eastAsia="en-GB"/>
        </w:rPr>
        <w:t>"Expressive arts,</w:t>
      </w:r>
    </w:p>
    <w:p w14:paraId="15B0E7DC" w14:textId="77777777" w:rsidR="003F7A80" w:rsidRPr="003F7A80" w:rsidRDefault="003F7A80" w:rsidP="003F7A80">
      <w:pPr>
        <w:numPr>
          <w:ilvl w:val="0"/>
          <w:numId w:val="11"/>
        </w:numPr>
        <w:spacing w:after="0" w:line="240" w:lineRule="auto"/>
        <w:divId w:val="1506508290"/>
        <w:rPr>
          <w:rFonts w:eastAsia="Times New Roman" w:cs="Times New Roman"/>
          <w:color w:val="0E101A"/>
          <w:sz w:val="24"/>
          <w:szCs w:val="24"/>
          <w:lang w:eastAsia="en-GB"/>
        </w:rPr>
      </w:pPr>
      <w:r w:rsidRPr="003F7A80">
        <w:rPr>
          <w:rFonts w:eastAsia="Times New Roman" w:cs="Times New Roman"/>
          <w:color w:val="0E101A"/>
          <w:sz w:val="24"/>
          <w:szCs w:val="24"/>
          <w:lang w:eastAsia="en-GB"/>
        </w:rPr>
        <w:t>Health and well-being,</w:t>
      </w:r>
    </w:p>
    <w:p w14:paraId="3EBB91E7" w14:textId="77777777" w:rsidR="003F7A80" w:rsidRPr="003F7A80" w:rsidRDefault="003F7A80" w:rsidP="003F7A80">
      <w:pPr>
        <w:numPr>
          <w:ilvl w:val="0"/>
          <w:numId w:val="11"/>
        </w:numPr>
        <w:spacing w:after="0" w:line="240" w:lineRule="auto"/>
        <w:divId w:val="1506508290"/>
        <w:rPr>
          <w:rFonts w:eastAsia="Times New Roman" w:cs="Times New Roman"/>
          <w:color w:val="0E101A"/>
          <w:sz w:val="24"/>
          <w:szCs w:val="24"/>
          <w:lang w:eastAsia="en-GB"/>
        </w:rPr>
      </w:pPr>
      <w:r w:rsidRPr="003F7A80">
        <w:rPr>
          <w:rFonts w:eastAsia="Times New Roman" w:cs="Times New Roman"/>
          <w:color w:val="0E101A"/>
          <w:sz w:val="24"/>
          <w:szCs w:val="24"/>
          <w:lang w:eastAsia="en-GB"/>
        </w:rPr>
        <w:t>Humanities, </w:t>
      </w:r>
    </w:p>
    <w:p w14:paraId="3CD9207D" w14:textId="77777777" w:rsidR="003F7A80" w:rsidRPr="003F7A80" w:rsidRDefault="003F7A80" w:rsidP="003F7A80">
      <w:pPr>
        <w:numPr>
          <w:ilvl w:val="0"/>
          <w:numId w:val="11"/>
        </w:numPr>
        <w:spacing w:after="0" w:line="240" w:lineRule="auto"/>
        <w:divId w:val="1506508290"/>
        <w:rPr>
          <w:rFonts w:eastAsia="Times New Roman" w:cs="Times New Roman"/>
          <w:color w:val="0E101A"/>
          <w:sz w:val="24"/>
          <w:szCs w:val="24"/>
          <w:lang w:eastAsia="en-GB"/>
        </w:rPr>
      </w:pPr>
      <w:r w:rsidRPr="003F7A80">
        <w:rPr>
          <w:rFonts w:eastAsia="Times New Roman" w:cs="Times New Roman"/>
          <w:color w:val="0E101A"/>
          <w:sz w:val="24"/>
          <w:szCs w:val="24"/>
          <w:lang w:eastAsia="en-GB"/>
        </w:rPr>
        <w:t>Languages, literacy, and communication, </w:t>
      </w:r>
    </w:p>
    <w:p w14:paraId="70C01F84" w14:textId="77777777" w:rsidR="003F7A80" w:rsidRPr="003F7A80" w:rsidRDefault="003F7A80" w:rsidP="003F7A80">
      <w:pPr>
        <w:numPr>
          <w:ilvl w:val="0"/>
          <w:numId w:val="11"/>
        </w:numPr>
        <w:spacing w:after="0" w:line="240" w:lineRule="auto"/>
        <w:divId w:val="1506508290"/>
        <w:rPr>
          <w:rFonts w:eastAsia="Times New Roman" w:cs="Times New Roman"/>
          <w:color w:val="0E101A"/>
          <w:sz w:val="24"/>
          <w:szCs w:val="24"/>
          <w:lang w:eastAsia="en-GB"/>
        </w:rPr>
      </w:pPr>
      <w:r w:rsidRPr="003F7A80">
        <w:rPr>
          <w:rFonts w:eastAsia="Times New Roman" w:cs="Times New Roman"/>
          <w:color w:val="0E101A"/>
          <w:sz w:val="24"/>
          <w:szCs w:val="24"/>
          <w:lang w:eastAsia="en-GB"/>
        </w:rPr>
        <w:t>Mathematics and numeracy,</w:t>
      </w:r>
    </w:p>
    <w:p w14:paraId="15860F6E" w14:textId="77777777" w:rsidR="003F7A80" w:rsidRPr="003F7A80" w:rsidRDefault="003F7A80" w:rsidP="003F7A80">
      <w:pPr>
        <w:numPr>
          <w:ilvl w:val="0"/>
          <w:numId w:val="11"/>
        </w:numPr>
        <w:spacing w:after="0" w:line="240" w:lineRule="auto"/>
        <w:divId w:val="1506508290"/>
        <w:rPr>
          <w:rFonts w:eastAsia="Times New Roman" w:cs="Times New Roman"/>
          <w:color w:val="0E101A"/>
          <w:sz w:val="24"/>
          <w:szCs w:val="24"/>
          <w:lang w:eastAsia="en-GB"/>
        </w:rPr>
      </w:pPr>
      <w:r w:rsidRPr="003F7A80">
        <w:rPr>
          <w:rFonts w:eastAsia="Times New Roman" w:cs="Times New Roman"/>
          <w:color w:val="0E101A"/>
          <w:sz w:val="24"/>
          <w:szCs w:val="24"/>
          <w:lang w:eastAsia="en-GB"/>
        </w:rPr>
        <w:t>Science and technology."</w:t>
      </w:r>
    </w:p>
    <w:p w14:paraId="530AA7D5" w14:textId="77777777" w:rsidR="003F7A80" w:rsidRP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(Welsh Government, 2022).</w:t>
      </w:r>
    </w:p>
    <w:p w14:paraId="5AD56B0C" w14:textId="77777777" w:rsidR="003F7A80" w:rsidRP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Setting out the curriculum this way ensures learners receive a broad and balanced education that encompasses essential life skills. The evolution of the Welsh education system driven by core values highlights a dedication to developing individuals who are well-rounded and prepared with the essential abilities and beliefs to succeed in a constantly changing world, paving the way for a better education future in Wales. </w:t>
      </w:r>
    </w:p>
    <w:p w14:paraId="48788EF0" w14:textId="77777777" w:rsidR="003F7A80" w:rsidRPr="003F7A80" w:rsidRDefault="003F7A80" w:rsidP="003F7A80">
      <w:pPr>
        <w:spacing w:after="0" w:line="240" w:lineRule="auto"/>
        <w:divId w:val="1506508290"/>
        <w:rPr>
          <w:rFonts w:eastAsiaTheme="minorEastAsia" w:cs="Times New Roman"/>
          <w:color w:val="0E101A"/>
          <w:sz w:val="24"/>
          <w:szCs w:val="24"/>
          <w:lang w:eastAsia="en-GB"/>
        </w:rPr>
      </w:pPr>
    </w:p>
    <w:p w14:paraId="54107663" w14:textId="77777777" w:rsidR="003F7A80" w:rsidRPr="00911FB9" w:rsidRDefault="003F7A80" w:rsidP="003F7A80">
      <w:pPr>
        <w:spacing w:after="0" w:line="240" w:lineRule="auto"/>
        <w:divId w:val="1506508290"/>
        <w:rPr>
          <w:rFonts w:eastAsiaTheme="minorEastAsia" w:cs="Times New Roman"/>
          <w:b/>
          <w:bCs/>
          <w:color w:val="0E101A"/>
          <w:sz w:val="24"/>
          <w:szCs w:val="24"/>
          <w:lang w:eastAsia="en-GB"/>
        </w:rPr>
      </w:pPr>
      <w:r w:rsidRPr="00911FB9">
        <w:rPr>
          <w:rFonts w:eastAsiaTheme="minorEastAsia" w:cs="Times New Roman"/>
          <w:b/>
          <w:bCs/>
          <w:color w:val="0E101A"/>
          <w:sz w:val="24"/>
          <w:szCs w:val="24"/>
          <w:lang w:eastAsia="en-GB"/>
        </w:rPr>
        <w:lastRenderedPageBreak/>
        <w:t>Good teaching and learning means employing a blend of approaches, including direct teaching.</w:t>
      </w:r>
    </w:p>
    <w:p w14:paraId="169A8EB5" w14:textId="77777777" w:rsidR="003F7A80" w:rsidRP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The first pedagogical focus will be on 'good teaching means employing a blend of approaches, including direct teaching'.  </w:t>
      </w:r>
    </w:p>
    <w:p w14:paraId="426167F5" w14:textId="737A1DCE" w:rsidR="003F7A80" w:rsidRP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 xml:space="preserve">It is said that employing a blend of approaches is needed to accommodate diverse learning needs and optimise educational outcomes; this approach acknowledges the different learning styles within learners in utilising the most effective teaching strategies that address these needs, such as direct teaching (Grant &amp; </w:t>
      </w:r>
      <w:proofErr w:type="spellStart"/>
      <w:r w:rsidRPr="003F7A80">
        <w:rPr>
          <w:rFonts w:eastAsiaTheme="minorEastAsia" w:cs="Times New Roman"/>
          <w:color w:val="0E101A"/>
          <w:sz w:val="24"/>
          <w:szCs w:val="24"/>
          <w:lang w:eastAsia="en-GB"/>
        </w:rPr>
        <w:t>Basye</w:t>
      </w:r>
      <w:proofErr w:type="spellEnd"/>
      <w:r w:rsidRPr="003F7A80">
        <w:rPr>
          <w:rFonts w:eastAsiaTheme="minorEastAsia" w:cs="Times New Roman"/>
          <w:color w:val="0E101A"/>
          <w:sz w:val="24"/>
          <w:szCs w:val="24"/>
          <w:lang w:eastAsia="en-GB"/>
        </w:rPr>
        <w:t xml:space="preserve">, 2014). This principle also embodies the transformative approach to education, as it seeks to promote social change, empower learners and </w:t>
      </w:r>
      <w:r w:rsidR="002278B5">
        <w:rPr>
          <w:rFonts w:eastAsiaTheme="minorEastAsia" w:cs="Times New Roman"/>
          <w:color w:val="0E101A"/>
          <w:sz w:val="24"/>
          <w:szCs w:val="24"/>
          <w:lang w:eastAsia="en-GB"/>
        </w:rPr>
        <w:t xml:space="preserve">encourage </w:t>
      </w:r>
      <w:r w:rsidRPr="003F7A80">
        <w:rPr>
          <w:rFonts w:eastAsiaTheme="minorEastAsia" w:cs="Times New Roman"/>
          <w:color w:val="0E101A"/>
          <w:sz w:val="24"/>
          <w:szCs w:val="24"/>
          <w:lang w:eastAsia="en-GB"/>
        </w:rPr>
        <w:t>critical thinking skills. Direct teaching is when teachers use specific techniques to teach individual skills with explicit content delivery (Ashman, 2021); it entails demonstrating, explaining, and modelling to facilitate understanding of knowledge and skills (</w:t>
      </w:r>
      <w:proofErr w:type="spellStart"/>
      <w:r w:rsidRPr="003F7A80">
        <w:rPr>
          <w:rFonts w:eastAsiaTheme="minorEastAsia" w:cs="Times New Roman"/>
          <w:color w:val="0E101A"/>
          <w:sz w:val="24"/>
          <w:szCs w:val="24"/>
          <w:lang w:eastAsia="en-GB"/>
        </w:rPr>
        <w:t>Rosenshine</w:t>
      </w:r>
      <w:proofErr w:type="spellEnd"/>
      <w:r w:rsidRPr="003F7A80">
        <w:rPr>
          <w:rFonts w:eastAsiaTheme="minorEastAsia" w:cs="Times New Roman"/>
          <w:color w:val="0E101A"/>
          <w:sz w:val="24"/>
          <w:szCs w:val="24"/>
          <w:lang w:eastAsia="en-GB"/>
        </w:rPr>
        <w:t>, 2012). Additionally, direct teaching is primarily used to teach complex subjects, as the teacher can provide structured guidance to assist students in grasping fundamental information efficiently (Hattie, 2008). Gardener suggests that integrating multiple approaches into teaching encourages a grasp of the subject matter and lasting retention (Gardner, 1993). On the other hand, Hirsch emphasises the importance of a strong foundation of background knowledge, arguing that without this foundation, students may struggle to make sense of the content regardless of the variety of teaching methods employed (Andrew Jones, 2021). During placement days (I was placed in year 2), this principle was observed during a mathematics and numeracy lesson. The teacher laid foundational knowledge to students by explaining the lesson concept to the entire class, followed by an online video to expand the idea further. The teacher leveraged the enhanced provision of multimedia resources to enhance the learning experience. The video's use of cartoon characters complemented the teacher's initial instruction and appealed to different learning styles, aligning with the principles of accommodating diverse learning needs (Donaldson, 2015). While students carried on with the set task, the teacher circulated the classroom, providing individualised support; this approach allowed the teacher to address any specific questions or misconceptions surrounding the lesson. In doing so, the teacher aligned alongside Richard Mayer's Cognitive Load Theory (CLT) by minimising students' extraneous cognitive load effectively; instead of being left struggling, the students receive targeted support that reduces cognitive strain, allowing for effective learning (</w:t>
      </w:r>
      <w:proofErr w:type="spellStart"/>
      <w:r w:rsidRPr="003F7A80">
        <w:rPr>
          <w:rFonts w:eastAsiaTheme="minorEastAsia" w:cs="Times New Roman"/>
          <w:color w:val="0E101A"/>
          <w:sz w:val="24"/>
          <w:szCs w:val="24"/>
          <w:lang w:eastAsia="en-GB"/>
        </w:rPr>
        <w:t>Plass</w:t>
      </w:r>
      <w:proofErr w:type="spellEnd"/>
      <w:r w:rsidRPr="003F7A80">
        <w:rPr>
          <w:rFonts w:eastAsiaTheme="minorEastAsia" w:cs="Times New Roman"/>
          <w:color w:val="0E101A"/>
          <w:sz w:val="24"/>
          <w:szCs w:val="24"/>
          <w:lang w:eastAsia="en-GB"/>
        </w:rPr>
        <w:t xml:space="preserve"> et al., 2010). </w:t>
      </w:r>
    </w:p>
    <w:p w14:paraId="3658B30F" w14:textId="77777777" w:rsidR="003F7A80" w:rsidRP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 xml:space="preserve">From a personal perspective, this pedagogical principle has many strengths and areas for improvement. A strength of this principle is that it recognises the diverse learning needs of learners, fostering inclusivity by ensuring all learners receive the same opportunities in the curriculum and spotlighting the dedication towards providing varied and effective learning experiences. With some students thriving in more hands-on and experimental learning and others in the more traditional format, integrating a blend of teaching approaches, including direct teaching, allows the teacher to cross into other areas of learning and experiences in the curriculum, promoting a deeper understanding of knowledge. An area for improvement noted is that while the principle acknowledges the importance of catering to diverse learning needs, it needs to provide teachers with specific strategies informed by transformative education principles. Without guidance, teachers may struggle to implement inclusive teaching practices for students; providing teachers with professional development opportunities and </w:t>
      </w:r>
      <w:r w:rsidRPr="003F7A80">
        <w:rPr>
          <w:rFonts w:eastAsiaTheme="minorEastAsia" w:cs="Times New Roman"/>
          <w:color w:val="0E101A"/>
          <w:sz w:val="24"/>
          <w:szCs w:val="24"/>
          <w:lang w:eastAsia="en-GB"/>
        </w:rPr>
        <w:lastRenderedPageBreak/>
        <w:t xml:space="preserve">incorporating transformative approaches into teacher training programs with examples and strategies for adapting instruction would enhance the principal's effectiveness (Berk &amp; </w:t>
      </w:r>
      <w:proofErr w:type="spellStart"/>
      <w:r w:rsidRPr="003F7A80">
        <w:rPr>
          <w:rFonts w:eastAsiaTheme="minorEastAsia" w:cs="Times New Roman"/>
          <w:color w:val="0E101A"/>
          <w:sz w:val="24"/>
          <w:szCs w:val="24"/>
          <w:lang w:eastAsia="en-GB"/>
        </w:rPr>
        <w:t>Winsler</w:t>
      </w:r>
      <w:proofErr w:type="spellEnd"/>
      <w:r w:rsidRPr="003F7A80">
        <w:rPr>
          <w:rFonts w:eastAsiaTheme="minorEastAsia" w:cs="Times New Roman"/>
          <w:color w:val="0E101A"/>
          <w:sz w:val="24"/>
          <w:szCs w:val="24"/>
          <w:lang w:eastAsia="en-GB"/>
        </w:rPr>
        <w:t>, 1995). To conclude this principle, it is evident that employing a blend of teaching approaches, including direct teaching, is essential for effective pedagogy.</w:t>
      </w:r>
    </w:p>
    <w:p w14:paraId="03DA0E4F" w14:textId="77777777" w:rsidR="003F7A80" w:rsidRPr="003F7A80" w:rsidRDefault="003F7A80" w:rsidP="003F7A80">
      <w:pPr>
        <w:spacing w:after="0" w:line="240" w:lineRule="auto"/>
        <w:divId w:val="1506508290"/>
        <w:rPr>
          <w:rFonts w:eastAsiaTheme="minorEastAsia" w:cs="Times New Roman"/>
          <w:color w:val="0E101A"/>
          <w:sz w:val="24"/>
          <w:szCs w:val="24"/>
          <w:lang w:eastAsia="en-GB"/>
        </w:rPr>
      </w:pPr>
    </w:p>
    <w:p w14:paraId="5F63A797" w14:textId="77777777" w:rsidR="003F7A80" w:rsidRPr="00911FB9" w:rsidRDefault="003F7A80" w:rsidP="003F7A80">
      <w:pPr>
        <w:spacing w:after="0" w:line="240" w:lineRule="auto"/>
        <w:divId w:val="1506508290"/>
        <w:rPr>
          <w:rFonts w:eastAsiaTheme="minorEastAsia" w:cs="Times New Roman"/>
          <w:b/>
          <w:bCs/>
          <w:color w:val="0E101A"/>
          <w:sz w:val="24"/>
          <w:szCs w:val="24"/>
          <w:lang w:eastAsia="en-GB"/>
        </w:rPr>
      </w:pPr>
      <w:r w:rsidRPr="00911FB9">
        <w:rPr>
          <w:rFonts w:eastAsiaTheme="minorEastAsia" w:cs="Times New Roman"/>
          <w:b/>
          <w:bCs/>
          <w:color w:val="0E101A"/>
          <w:sz w:val="24"/>
          <w:szCs w:val="24"/>
          <w:lang w:eastAsia="en-GB"/>
        </w:rPr>
        <w:t>Good teaching and learning set tasks and select resources that build on previous knowledge and experience and engage interest.</w:t>
      </w:r>
    </w:p>
    <w:p w14:paraId="0D214338" w14:textId="18B47617" w:rsidR="003F7A80" w:rsidRP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 xml:space="preserve">The second pedagogical principle I will focus on is 'good teaching and learning, setting tasks and </w:t>
      </w:r>
      <w:r w:rsidR="000721DE">
        <w:rPr>
          <w:rFonts w:eastAsiaTheme="minorEastAsia" w:cs="Times New Roman"/>
          <w:color w:val="0E101A"/>
          <w:sz w:val="24"/>
          <w:szCs w:val="24"/>
          <w:lang w:eastAsia="en-GB"/>
        </w:rPr>
        <w:t xml:space="preserve">select </w:t>
      </w:r>
      <w:r w:rsidRPr="003F7A80">
        <w:rPr>
          <w:rFonts w:eastAsiaTheme="minorEastAsia" w:cs="Times New Roman"/>
          <w:color w:val="0E101A"/>
          <w:sz w:val="24"/>
          <w:szCs w:val="24"/>
          <w:lang w:eastAsia="en-GB"/>
        </w:rPr>
        <w:t>recourses that build on previous knowledge and experience and engage interest'. To define this principle, building on previous knowledge and experiences means using what learners already know to help them learn new things more efficiently; it is about connecting information they already know with new information (Howard-Jones, 2019). Child psychologist Jean Piaget emphasised building upon previous knowledge, believing that learning is most effective when connected to prior knowledge and experiences (Piaget, 1962). Similarly, Jerome Bruner's theory on creating a spiral curriculum where concepts are revisited and built upon over time allows learners to deepen their understanding of the subject matter (</w:t>
      </w:r>
      <w:proofErr w:type="spellStart"/>
      <w:r w:rsidRPr="003F7A80">
        <w:rPr>
          <w:rFonts w:eastAsiaTheme="minorEastAsia" w:cs="Times New Roman"/>
          <w:color w:val="0E101A"/>
          <w:sz w:val="24"/>
          <w:szCs w:val="24"/>
          <w:lang w:eastAsia="en-GB"/>
        </w:rPr>
        <w:t>Okparaugo</w:t>
      </w:r>
      <w:proofErr w:type="spellEnd"/>
      <w:r w:rsidRPr="003F7A80">
        <w:rPr>
          <w:rFonts w:eastAsiaTheme="minorEastAsia" w:cs="Times New Roman"/>
          <w:color w:val="0E101A"/>
          <w:sz w:val="24"/>
          <w:szCs w:val="24"/>
          <w:lang w:eastAsia="en-GB"/>
        </w:rPr>
        <w:t xml:space="preserve">, 2021); both theorists emphasise the transformative power of connecting new learning with previous experiences. Assessment and feedback play a crucial role in building upon previous knowledge (Grant &amp; </w:t>
      </w:r>
      <w:proofErr w:type="spellStart"/>
      <w:r w:rsidRPr="003F7A80">
        <w:rPr>
          <w:rFonts w:eastAsiaTheme="minorEastAsia" w:cs="Times New Roman"/>
          <w:color w:val="0E101A"/>
          <w:sz w:val="24"/>
          <w:szCs w:val="24"/>
          <w:lang w:eastAsia="en-GB"/>
        </w:rPr>
        <w:t>Basye</w:t>
      </w:r>
      <w:proofErr w:type="spellEnd"/>
      <w:r w:rsidRPr="003F7A80">
        <w:rPr>
          <w:rFonts w:eastAsiaTheme="minorEastAsia" w:cs="Times New Roman"/>
          <w:color w:val="0E101A"/>
          <w:sz w:val="24"/>
          <w:szCs w:val="24"/>
          <w:lang w:eastAsia="en-GB"/>
        </w:rPr>
        <w:t>, 2014); regularly assessing learners by providing feedback allows teachers to identify gaps in knowledge and gain a comprehensive view of the level of prior knowledge and understanding of specific learners. Giving feedback to learners serves as a guide in addressing misconceptions and providing a valuable direction to deepen learning and correct their understanding.</w:t>
      </w:r>
    </w:p>
    <w:p w14:paraId="501C7C61" w14:textId="77777777" w:rsidR="003F7A80" w:rsidRP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During the placement days, I observed the teacher effectively applying this principle in a Welsh lesson. She began by reading a book on different seasons of the year, engaging the whole class in a circle formation on the carpet. Then, she concentrated on the clothing aspect within the book using both Welsh and English, prompting the children to identify the pictures of clothes while learning the corresponding Welsh words. As the lesson progressed, she further enhanced and built upon their knowledge using a hands-on activity. She brought examples of the enhanced provision (said clothing) and further discussed the colours, the use and texture in Welsh vocabulary with the children. This prompted questions and discussion amongst pupils, which, in turn, engaged pupils more effectively and sparked curiosity. The integration of different activities by the teacher reinforced their learning as she ensured that each step was built upon the previous one, resulting in a comprehensive and engaging experience.</w:t>
      </w:r>
    </w:p>
    <w:p w14:paraId="7A6F77F7" w14:textId="65B11431" w:rsidR="003F7A80" w:rsidRP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 xml:space="preserve">From a personal perspective, this principle is valuable towards teaching as it acknowledges the importance of connecting new learning to existing knowledge and experiences to ensure learners are not 'thrown in the deep end' but merely 'creeping into it slowly and gradually.' Using this principle in a classroom allows for a better understanding and retention of information, providing a scaffold for learning towards learners. A specific strength of this principle lies in selecting resources and tasks that resonate with student interest, as it captures attention and cultivates engagement. Learners are more likely to engage and participate in learning when taught something that aligns with their curiosity and excitement. In hindsight, the </w:t>
      </w:r>
      <w:r w:rsidR="00DD7D42" w:rsidRPr="003F7A80">
        <w:rPr>
          <w:rFonts w:eastAsiaTheme="minorEastAsia" w:cs="Times New Roman"/>
          <w:color w:val="0E101A"/>
          <w:sz w:val="24"/>
          <w:szCs w:val="24"/>
          <w:lang w:eastAsia="en-GB"/>
        </w:rPr>
        <w:t>princip</w:t>
      </w:r>
      <w:r w:rsidR="00DD7D42">
        <w:rPr>
          <w:rFonts w:eastAsiaTheme="minorEastAsia" w:cs="Times New Roman"/>
          <w:color w:val="0E101A"/>
          <w:sz w:val="24"/>
          <w:szCs w:val="24"/>
          <w:lang w:eastAsia="en-GB"/>
        </w:rPr>
        <w:t>le</w:t>
      </w:r>
      <w:r w:rsidRPr="003F7A80">
        <w:rPr>
          <w:rFonts w:eastAsiaTheme="minorEastAsia" w:cs="Times New Roman"/>
          <w:color w:val="0E101A"/>
          <w:sz w:val="24"/>
          <w:szCs w:val="24"/>
          <w:lang w:eastAsia="en-GB"/>
        </w:rPr>
        <w:t xml:space="preserve"> advocates for academic success, which inspires a love of learning. However, it is essential to note that building on previous knowledge enhances learning efficiency and </w:t>
      </w:r>
      <w:r w:rsidRPr="003F7A80">
        <w:rPr>
          <w:rFonts w:eastAsiaTheme="minorEastAsia" w:cs="Times New Roman"/>
          <w:color w:val="0E101A"/>
          <w:sz w:val="24"/>
          <w:szCs w:val="24"/>
          <w:lang w:eastAsia="en-GB"/>
        </w:rPr>
        <w:lastRenderedPageBreak/>
        <w:t>cultivates greater engagement and motivation among learners. If the knowledge learners have to build upon is incorrect or based on misconceptions, it could pose a disadvantage. In such cases, teachers must identify any misconceptions early on. Addressing them allows students to correct their understanding and progress further (Murray, 2017). Looking ahead, I am encouraged to implement similar tactics in my teaching practice. I understand the need to allow students to relate new learning to their existing knowledge and experiences and engage them in hands-on activities and meaningful conversations.</w:t>
      </w:r>
    </w:p>
    <w:p w14:paraId="215A2A68" w14:textId="77777777" w:rsidR="003F7A80" w:rsidRPr="003F7A80" w:rsidRDefault="003F7A80" w:rsidP="003F7A80">
      <w:pPr>
        <w:spacing w:after="0" w:line="240" w:lineRule="auto"/>
        <w:divId w:val="1506508290"/>
        <w:rPr>
          <w:rFonts w:eastAsiaTheme="minorEastAsia" w:cs="Times New Roman"/>
          <w:color w:val="0E101A"/>
          <w:sz w:val="24"/>
          <w:szCs w:val="24"/>
          <w:lang w:eastAsia="en-GB"/>
        </w:rPr>
      </w:pPr>
    </w:p>
    <w:p w14:paraId="52C45F6A" w14:textId="2413C115" w:rsidR="00584691" w:rsidRPr="00584691" w:rsidRDefault="003F7A80" w:rsidP="003F7A80">
      <w:pPr>
        <w:spacing w:after="0" w:line="240" w:lineRule="auto"/>
        <w:divId w:val="1506508290"/>
        <w:rPr>
          <w:rFonts w:eastAsiaTheme="minorEastAsia" w:cs="Times New Roman"/>
          <w:b/>
          <w:bCs/>
          <w:color w:val="0E101A"/>
          <w:sz w:val="24"/>
          <w:szCs w:val="24"/>
          <w:lang w:eastAsia="en-GB"/>
        </w:rPr>
      </w:pPr>
      <w:r w:rsidRPr="00584691">
        <w:rPr>
          <w:rFonts w:eastAsiaTheme="minorEastAsia" w:cs="Times New Roman"/>
          <w:b/>
          <w:bCs/>
          <w:color w:val="0E101A"/>
          <w:sz w:val="24"/>
          <w:szCs w:val="24"/>
          <w:lang w:eastAsia="en-GB"/>
        </w:rPr>
        <w:t>Good teaching and learning ranges within and across Areas of Learning and Experience. </w:t>
      </w:r>
    </w:p>
    <w:p w14:paraId="3E1CF35B" w14:textId="77777777" w:rsidR="003F7A80" w:rsidRP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In education, 'good teaching and learning ranges within and across areas of learning and experience' refers to an approach where learning is cross-curricular and involves content from multiple subject areas or disciplines (Barnes, 2015). This means that teachers integrate different content or skills from different subjects to create a cohesive learning experience embracing cross-curricular learning, which provides learners with a holistic understanding of different concepts. Lev Vygotsky's sociocultural theory supports the principle of cross-curricular learning in advocating for collaborative learning environments where students work together to solve problems across different subjects. Vygotsky believed that cross-curricular teaching and learning facilitate a deeper understanding and knowledge construction in enriching educational experiences (Lessa &amp; Liberali, 2012). Opposing views show concern about cross-curricular teaching and learning, as it is argued that a strictly cross-curricular approach could dilute the depth of understanding in individual subject areas (Greenwood, 2013). It is contended that attempting to cover multiple subjects within a single lesson or unit could lead to surface-level understanding, which poses a limitation.</w:t>
      </w:r>
    </w:p>
    <w:p w14:paraId="52D9A5EB" w14:textId="77777777" w:rsidR="003F7A80" w:rsidRP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During placement, I observed cross-curricular teaching in the year two classroom, as the month's subject was animals. Throughout various lessons, the integration of multiple AOLEs was evident. For instance, pupils painted their favourite animal during expressive art lessons, incorporating creativity and reinforcing knowledge of different species. In language and literacy, pupils were tasked with writing a descriptive paragraph about their favourite animals, which helped improve writing skills and allowed for a deepened understanding of animal characteristics. The teacher encouraged pupils to use descriptive language and built on their knowledge by introducing the term adjectives. In mathematics and numeracy, pupils were given the task in pairs to research everyone's favourite animal in the classroom and create a bar graph with the results. The class went to the zoo to end the module on animals for year two. This allowed the pupils to observe animals in their habitats, reinforcing concepts learned in the classroom through hands-on experience. Using a cross-curricular approach in this module provided pupils with a comprehensive understanding of animals; tying with different AOLE made learning more effective and engaging for the learner.</w:t>
      </w:r>
    </w:p>
    <w:p w14:paraId="02BEF746" w14:textId="77777777" w:rsidR="003F7A80" w:rsidRP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 xml:space="preserve">In reflecting on the cross-curricular approaches observed in placement, I believe that starting the module with the trip to the zoo would have benefited pupils more as it could have provided a foundation of knowledge for all pupils. This experience at the beginning of the module could have sparked curiosity and engagement among pupils as well as discussions and inquiries among pupils. Overall, whilst the cross-curricular approach observed was practical for pupils, incorporating the trip at the zoo would have enhanced the learning experience for pupils. In reflection, I also found that it accommodated the diverse learning needs and abilities of pupils </w:t>
      </w:r>
      <w:r w:rsidRPr="003F7A80">
        <w:rPr>
          <w:rFonts w:eastAsiaTheme="minorEastAsia" w:cs="Times New Roman"/>
          <w:color w:val="0E101A"/>
          <w:sz w:val="24"/>
          <w:szCs w:val="24"/>
          <w:lang w:eastAsia="en-GB"/>
        </w:rPr>
        <w:lastRenderedPageBreak/>
        <w:t>in the class, with the teacher supporting learners with varying levels of understanding or skills. One example of this is during the English lesson on descriptive writing; the teacher provided support for pupils needing additional assistance, which, in this case, was a 'help sheet' consisting of sentence starters, descriptive words, and punctuation help. To conclude, using cross-curricular learning witnessed in placement gave students a holistic understanding of the subject while accommodating diverse learning needs.</w:t>
      </w:r>
    </w:p>
    <w:p w14:paraId="7320F62B" w14:textId="77777777" w:rsidR="003F7A80" w:rsidRPr="003F7A80" w:rsidRDefault="003F7A80" w:rsidP="003F7A80">
      <w:pPr>
        <w:spacing w:after="0" w:line="240" w:lineRule="auto"/>
        <w:divId w:val="1506508290"/>
        <w:rPr>
          <w:rFonts w:eastAsiaTheme="minorEastAsia" w:cs="Times New Roman"/>
          <w:color w:val="0E101A"/>
          <w:sz w:val="24"/>
          <w:szCs w:val="24"/>
          <w:lang w:eastAsia="en-GB"/>
        </w:rPr>
      </w:pPr>
    </w:p>
    <w:p w14:paraId="1302B738" w14:textId="0A2D0202" w:rsidR="003F7A80" w:rsidRP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 xml:space="preserve">In conclusion, examining pedagogical principles in the framework of foundation learning in Wales with the addition of educational theorists such as Piaget and Vygotsky </w:t>
      </w:r>
      <w:r w:rsidR="000721DE" w:rsidRPr="003F7A80">
        <w:rPr>
          <w:rFonts w:eastAsiaTheme="minorEastAsia" w:cs="Times New Roman"/>
          <w:color w:val="0E101A"/>
          <w:sz w:val="24"/>
          <w:szCs w:val="24"/>
          <w:lang w:eastAsia="en-GB"/>
        </w:rPr>
        <w:t>offer</w:t>
      </w:r>
      <w:r w:rsidRPr="003F7A80">
        <w:rPr>
          <w:rFonts w:eastAsiaTheme="minorEastAsia" w:cs="Times New Roman"/>
          <w:color w:val="0E101A"/>
          <w:sz w:val="24"/>
          <w:szCs w:val="24"/>
          <w:lang w:eastAsia="en-GB"/>
        </w:rPr>
        <w:t xml:space="preserve"> valuable perspectives on effective teaching and learning approaches. Which teachers can use effectively in their recourses to implement in their curriculum for learners to develop their knowledge further.</w:t>
      </w:r>
      <w:r w:rsidR="00584691">
        <w:rPr>
          <w:rFonts w:eastAsiaTheme="minorEastAsia" w:cs="Times New Roman"/>
          <w:color w:val="0E101A"/>
          <w:sz w:val="24"/>
          <w:szCs w:val="24"/>
          <w:lang w:eastAsia="en-GB"/>
        </w:rPr>
        <w:t xml:space="preserve"> </w:t>
      </w:r>
      <w:r w:rsidRPr="003F7A80">
        <w:rPr>
          <w:rFonts w:eastAsiaTheme="minorEastAsia" w:cs="Times New Roman"/>
          <w:color w:val="0E101A"/>
          <w:sz w:val="24"/>
          <w:szCs w:val="24"/>
          <w:lang w:eastAsia="en-GB"/>
        </w:rPr>
        <w:t>We can learn more about how teachers can give students comprehensive and relevant learning experiences by looking at ideologies like combining different teaching concepts, building on prior knowledge and experiences, and supporting cross-curricular learning.</w:t>
      </w:r>
    </w:p>
    <w:p w14:paraId="5EA8117B" w14:textId="5924E882" w:rsid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 xml:space="preserve">These pedagogical principles highlight the significance of student-centred methods, which promote involvement, inclusion, and holistic development while recognising pupils' needs and interests. Through this principles analysis, I have gained a deeper understanding of how teachers create more effective learning experiences for </w:t>
      </w:r>
      <w:r w:rsidR="00584691" w:rsidRPr="003F7A80">
        <w:rPr>
          <w:rFonts w:eastAsiaTheme="minorEastAsia" w:cs="Times New Roman"/>
          <w:color w:val="0E101A"/>
          <w:sz w:val="24"/>
          <w:szCs w:val="24"/>
          <w:lang w:eastAsia="en-GB"/>
        </w:rPr>
        <w:t>pupils. It</w:t>
      </w:r>
      <w:r w:rsidRPr="003F7A80">
        <w:rPr>
          <w:rFonts w:eastAsiaTheme="minorEastAsia" w:cs="Times New Roman"/>
          <w:color w:val="0E101A"/>
          <w:sz w:val="24"/>
          <w:szCs w:val="24"/>
          <w:lang w:eastAsia="en-GB"/>
        </w:rPr>
        <w:t xml:space="preserve"> becomes evident during placement days that these ideas are not merely theoretical concepts but also beneficial resources that teachers can use to improve student learning performance. Teachers are essential in creating exciting and engaging learning environments; they can do this by planning cross-curricular activities that promote a more profound comprehension of subjects.</w:t>
      </w:r>
    </w:p>
    <w:p w14:paraId="396DBEA9" w14:textId="77777777" w:rsidR="00B439BE" w:rsidRPr="003F7A80" w:rsidRDefault="00B439BE" w:rsidP="003F7A80">
      <w:pPr>
        <w:spacing w:after="0" w:line="240" w:lineRule="auto"/>
        <w:divId w:val="1506508290"/>
        <w:rPr>
          <w:rFonts w:eastAsiaTheme="minorEastAsia" w:cs="Times New Roman"/>
          <w:color w:val="0E101A"/>
          <w:sz w:val="24"/>
          <w:szCs w:val="24"/>
          <w:lang w:eastAsia="en-GB"/>
        </w:rPr>
      </w:pPr>
    </w:p>
    <w:p w14:paraId="49CF2569" w14:textId="4EA47D52" w:rsidR="003F7A80" w:rsidRPr="003F7A80" w:rsidRDefault="003F7A80" w:rsidP="003F7A80">
      <w:pPr>
        <w:spacing w:after="0" w:line="240" w:lineRule="auto"/>
        <w:divId w:val="1506508290"/>
        <w:rPr>
          <w:rFonts w:eastAsiaTheme="minorEastAsia" w:cs="Times New Roman"/>
          <w:color w:val="0E101A"/>
          <w:sz w:val="24"/>
          <w:szCs w:val="24"/>
          <w:lang w:eastAsia="en-GB"/>
        </w:rPr>
      </w:pPr>
      <w:r w:rsidRPr="003F7A80">
        <w:rPr>
          <w:rFonts w:eastAsiaTheme="minorEastAsia" w:cs="Times New Roman"/>
          <w:color w:val="0E101A"/>
          <w:sz w:val="24"/>
          <w:szCs w:val="24"/>
          <w:lang w:eastAsia="en-GB"/>
        </w:rPr>
        <w:t>Furthermore, the analysis of the observed practices in placement identifies strengths and opportunities for development in applying these principles. It emphasises how crucial it is for teachers to continue professional development and adapt their teaching strategies to meet their pupils' ever-evolving needs (The National College, 2017). I intend to integrate these insights into my teaching practice by correctly applying pedagogical principles when planning lessons. In utilising and implementing a blend of teaching approaches and nurturing a supportive learning environment, I strive to develop engaging and welcoming opportunities that enable students to thrive.</w:t>
      </w:r>
      <w:r w:rsidR="00B439BE">
        <w:rPr>
          <w:rFonts w:eastAsiaTheme="minorEastAsia" w:cs="Times New Roman"/>
          <w:color w:val="0E101A"/>
          <w:sz w:val="24"/>
          <w:szCs w:val="24"/>
          <w:lang w:eastAsia="en-GB"/>
        </w:rPr>
        <w:t xml:space="preserve"> </w:t>
      </w:r>
      <w:r w:rsidRPr="003F7A80">
        <w:rPr>
          <w:rFonts w:eastAsiaTheme="minorEastAsia" w:cs="Times New Roman"/>
          <w:color w:val="0E101A"/>
          <w:sz w:val="24"/>
          <w:szCs w:val="24"/>
          <w:lang w:eastAsia="en-GB"/>
        </w:rPr>
        <w:t xml:space="preserve">Overall, examining pedagogical principles within the framework of foundational learning education in Wales highlights the dedication to offering excellent education that supports students' overall growth and development. By adopting these ideas and continually improving teaching strategies, teachers can create a culture of lifelong learning and equip students to succeed in a constantly changing world. I shall persistently evaluate my practice in the future, actively pursuing opportunities for development and improvement. </w:t>
      </w:r>
      <w:r w:rsidR="00180CDD" w:rsidRPr="00180CDD">
        <w:rPr>
          <w:rFonts w:eastAsiaTheme="minorEastAsia" w:cs="Times New Roman"/>
          <w:color w:val="0E101A"/>
          <w:sz w:val="24"/>
          <w:szCs w:val="24"/>
          <w:lang w:eastAsia="en-GB"/>
        </w:rPr>
        <w:t>By maintaining a dedication to student-centred pedagogy and engaging in continuous professional development, my goal is to contribute to the collaborative endeavour of improving the overall quality of education in Wales.</w:t>
      </w:r>
    </w:p>
    <w:p w14:paraId="6B9F1F9F" w14:textId="347E3629" w:rsidR="00D92EE6" w:rsidRDefault="00D92EE6" w:rsidP="598E1898">
      <w:pPr>
        <w:spacing w:after="0"/>
        <w:ind w:left="-20" w:right="-20"/>
        <w:rPr>
          <w:rFonts w:eastAsia="Calibri" w:cs="Calibri"/>
          <w:color w:val="0E101A"/>
          <w:sz w:val="24"/>
          <w:szCs w:val="24"/>
        </w:rPr>
      </w:pPr>
    </w:p>
    <w:p w14:paraId="68F08401" w14:textId="77777777" w:rsidR="00D92EE6" w:rsidRDefault="00D92EE6">
      <w:pPr>
        <w:rPr>
          <w:rFonts w:eastAsia="Calibri" w:cs="Calibri"/>
          <w:color w:val="0E101A"/>
          <w:sz w:val="24"/>
          <w:szCs w:val="24"/>
        </w:rPr>
      </w:pPr>
      <w:r>
        <w:rPr>
          <w:rFonts w:eastAsia="Calibri" w:cs="Calibri"/>
          <w:color w:val="0E101A"/>
          <w:sz w:val="24"/>
          <w:szCs w:val="24"/>
        </w:rPr>
        <w:br w:type="page"/>
      </w:r>
    </w:p>
    <w:p w14:paraId="6C397181" w14:textId="198071CE" w:rsidR="002139EE" w:rsidRDefault="00D92EE6" w:rsidP="002139EE">
      <w:pPr>
        <w:spacing w:after="0"/>
        <w:ind w:left="-20" w:right="-20"/>
        <w:rPr>
          <w:rFonts w:eastAsia="Calibri" w:cs="Calibri"/>
          <w:color w:val="0E101A"/>
          <w:sz w:val="24"/>
          <w:szCs w:val="24"/>
        </w:rPr>
      </w:pPr>
      <w:r>
        <w:rPr>
          <w:rFonts w:eastAsia="Calibri" w:cs="Calibri"/>
          <w:b/>
          <w:bCs/>
          <w:color w:val="0E101A"/>
          <w:sz w:val="24"/>
          <w:szCs w:val="24"/>
          <w:u w:val="single"/>
        </w:rPr>
        <w:lastRenderedPageBreak/>
        <w:t>Reference list</w:t>
      </w:r>
    </w:p>
    <w:p w14:paraId="1BEC9A12" w14:textId="77777777" w:rsidR="002139EE" w:rsidRPr="002139EE" w:rsidRDefault="002139EE" w:rsidP="002139EE">
      <w:pPr>
        <w:spacing w:after="0"/>
        <w:ind w:left="-20" w:right="-20"/>
        <w:rPr>
          <w:rFonts w:eastAsia="Calibri" w:cs="Calibri"/>
          <w:color w:val="0E101A"/>
          <w:sz w:val="24"/>
          <w:szCs w:val="24"/>
        </w:rPr>
      </w:pPr>
    </w:p>
    <w:p w14:paraId="72C44C7C" w14:textId="49B517DD" w:rsid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 xml:space="preserve">Andrew Jones (2021). E.D. Hirsch’s views on the curriculum: Popular but perpetually problematic. [online] Mr Jones’ Whiteboard. Available at: </w:t>
      </w:r>
      <w:hyperlink r:id="rId6" w:history="1">
        <w:r w:rsidRPr="002139EE">
          <w:rPr>
            <w:rStyle w:val="Hyperlink"/>
            <w:rFonts w:eastAsiaTheme="minorEastAsia" w:cs="Times New Roman"/>
            <w:sz w:val="24"/>
            <w:szCs w:val="24"/>
            <w:lang w:eastAsia="en-GB"/>
          </w:rPr>
          <w:t>https://mrjoneswhiteboard.blog/2021/07/26/e-d-hirschs-views-on-the-curriculum-popular-but-perpetually-problematic/</w:t>
        </w:r>
      </w:hyperlink>
      <w:r w:rsidRPr="002139EE">
        <w:rPr>
          <w:rFonts w:eastAsiaTheme="minorEastAsia" w:cs="Times New Roman"/>
          <w:color w:val="000000"/>
          <w:sz w:val="24"/>
          <w:szCs w:val="24"/>
          <w:lang w:eastAsia="en-GB"/>
        </w:rPr>
        <w:t>.</w:t>
      </w:r>
    </w:p>
    <w:p w14:paraId="3B290D24" w14:textId="2BC08DCC" w:rsidR="002139EE" w:rsidRPr="002139EE" w:rsidRDefault="00333C8B" w:rsidP="002139EE">
      <w:pPr>
        <w:spacing w:after="240" w:line="360" w:lineRule="atLeast"/>
        <w:divId w:val="215236848"/>
        <w:rPr>
          <w:rFonts w:eastAsiaTheme="minorEastAsia" w:cs="Times New Roman"/>
          <w:color w:val="000000"/>
          <w:sz w:val="24"/>
          <w:szCs w:val="24"/>
          <w:lang w:eastAsia="en-GB"/>
        </w:rPr>
      </w:pPr>
      <w:r>
        <w:rPr>
          <w:rFonts w:eastAsiaTheme="minorEastAsia" w:cs="Times New Roman"/>
          <w:color w:val="000000"/>
          <w:sz w:val="24"/>
          <w:szCs w:val="24"/>
          <w:lang w:eastAsia="en-GB"/>
        </w:rPr>
        <w:t>(</w:t>
      </w:r>
      <w:r w:rsidR="003B5495">
        <w:rPr>
          <w:rFonts w:eastAsiaTheme="minorEastAsia" w:cs="Times New Roman"/>
          <w:color w:val="000000"/>
          <w:sz w:val="24"/>
          <w:szCs w:val="24"/>
          <w:lang w:eastAsia="en-GB"/>
        </w:rPr>
        <w:t>Accessed</w:t>
      </w:r>
      <w:r>
        <w:rPr>
          <w:rFonts w:eastAsiaTheme="minorEastAsia" w:cs="Times New Roman"/>
          <w:color w:val="000000"/>
          <w:sz w:val="24"/>
          <w:szCs w:val="24"/>
          <w:lang w:eastAsia="en-GB"/>
        </w:rPr>
        <w:t xml:space="preserve"> </w:t>
      </w:r>
      <w:r w:rsidR="00716AA4">
        <w:rPr>
          <w:rFonts w:eastAsiaTheme="minorEastAsia" w:cs="Times New Roman"/>
          <w:color w:val="000000"/>
          <w:sz w:val="24"/>
          <w:szCs w:val="24"/>
          <w:lang w:eastAsia="en-GB"/>
        </w:rPr>
        <w:t>01 March 2024).</w:t>
      </w:r>
    </w:p>
    <w:p w14:paraId="6FB71D2A" w14:textId="77777777" w:rsidR="002139EE" w:rsidRP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Ashman, G. (2021). Power Of Explicit Teaching And Direct Instruction. S.L.: Sage Publications.</w:t>
      </w:r>
    </w:p>
    <w:p w14:paraId="5EE6D8A8" w14:textId="4B25A1A2" w:rsid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 xml:space="preserve">Barnes, J. (2015). An Introduction to Cross-Curricular Learning. [online] ResearchGate. Available at: </w:t>
      </w:r>
      <w:hyperlink r:id="rId7" w:history="1">
        <w:r w:rsidR="008020FC" w:rsidRPr="002139EE">
          <w:rPr>
            <w:rStyle w:val="Hyperlink"/>
            <w:rFonts w:eastAsiaTheme="minorEastAsia" w:cs="Times New Roman"/>
            <w:sz w:val="24"/>
            <w:szCs w:val="24"/>
            <w:lang w:eastAsia="en-GB"/>
          </w:rPr>
          <w:t>https://www.researchgate.net/publication/274313611_An_Introduction_to_Cross-Curricular_Learning</w:t>
        </w:r>
      </w:hyperlink>
      <w:r w:rsidRPr="002139EE">
        <w:rPr>
          <w:rFonts w:eastAsiaTheme="minorEastAsia" w:cs="Times New Roman"/>
          <w:color w:val="000000"/>
          <w:sz w:val="24"/>
          <w:szCs w:val="24"/>
          <w:lang w:eastAsia="en-GB"/>
        </w:rPr>
        <w:t>.</w:t>
      </w:r>
    </w:p>
    <w:p w14:paraId="12E49226" w14:textId="65139DE4" w:rsidR="008020FC" w:rsidRPr="002139EE" w:rsidRDefault="008020FC" w:rsidP="008020FC">
      <w:pPr>
        <w:spacing w:after="240" w:line="360" w:lineRule="atLeast"/>
        <w:rPr>
          <w:rFonts w:eastAsiaTheme="minorEastAsia" w:cs="Times New Roman"/>
          <w:color w:val="000000"/>
          <w:sz w:val="24"/>
          <w:szCs w:val="24"/>
          <w:lang w:eastAsia="en-GB"/>
        </w:rPr>
      </w:pPr>
      <w:r>
        <w:rPr>
          <w:rFonts w:eastAsiaTheme="minorEastAsia" w:cs="Times New Roman"/>
          <w:color w:val="000000"/>
          <w:sz w:val="24"/>
          <w:szCs w:val="24"/>
          <w:lang w:eastAsia="en-GB"/>
        </w:rPr>
        <w:t>(Accessed 27 February 2024).</w:t>
      </w:r>
    </w:p>
    <w:p w14:paraId="59127D5F" w14:textId="77777777" w:rsidR="002139EE" w:rsidRP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 xml:space="preserve">Berk, L.E. and </w:t>
      </w:r>
      <w:proofErr w:type="spellStart"/>
      <w:r w:rsidRPr="002139EE">
        <w:rPr>
          <w:rFonts w:eastAsiaTheme="minorEastAsia" w:cs="Times New Roman"/>
          <w:color w:val="000000"/>
          <w:sz w:val="24"/>
          <w:szCs w:val="24"/>
          <w:lang w:eastAsia="en-GB"/>
        </w:rPr>
        <w:t>Winsler</w:t>
      </w:r>
      <w:proofErr w:type="spellEnd"/>
      <w:r w:rsidRPr="002139EE">
        <w:rPr>
          <w:rFonts w:eastAsiaTheme="minorEastAsia" w:cs="Times New Roman"/>
          <w:color w:val="000000"/>
          <w:sz w:val="24"/>
          <w:szCs w:val="24"/>
          <w:lang w:eastAsia="en-GB"/>
        </w:rPr>
        <w:t>, A. (1995). Scaffolding Children’s Learning. National Assn for the Education.</w:t>
      </w:r>
    </w:p>
    <w:p w14:paraId="35608545" w14:textId="77777777" w:rsidR="002139EE" w:rsidRP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Dewey, J. (1975). Experience and education : by john dewey. London: Macmillan.</w:t>
      </w:r>
    </w:p>
    <w:p w14:paraId="52E58726" w14:textId="230BE4A5" w:rsid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 xml:space="preserve">Donaldson, G. (2015). Successful Futures Independent Review of Curriculum and Assessment Arrangements in Wales. [online] Available at: </w:t>
      </w:r>
      <w:hyperlink r:id="rId8" w:history="1">
        <w:r w:rsidR="00CE3A69" w:rsidRPr="002139EE">
          <w:rPr>
            <w:rStyle w:val="Hyperlink"/>
            <w:rFonts w:eastAsiaTheme="minorEastAsia" w:cs="Times New Roman"/>
            <w:sz w:val="24"/>
            <w:szCs w:val="24"/>
            <w:lang w:eastAsia="en-GB"/>
          </w:rPr>
          <w:t>https://www.gov.wales/sites/default/files/publications/2018-03/successful-futures.pdf</w:t>
        </w:r>
      </w:hyperlink>
      <w:r w:rsidRPr="002139EE">
        <w:rPr>
          <w:rFonts w:eastAsiaTheme="minorEastAsia" w:cs="Times New Roman"/>
          <w:color w:val="000000"/>
          <w:sz w:val="24"/>
          <w:szCs w:val="24"/>
          <w:lang w:eastAsia="en-GB"/>
        </w:rPr>
        <w:t>.</w:t>
      </w:r>
    </w:p>
    <w:p w14:paraId="29E83154" w14:textId="6F6D95A5" w:rsidR="00CE3A69" w:rsidRPr="002139EE" w:rsidRDefault="00CE3A69" w:rsidP="00CE3A69">
      <w:pPr>
        <w:spacing w:after="240" w:line="360" w:lineRule="atLeast"/>
        <w:rPr>
          <w:rFonts w:eastAsiaTheme="minorEastAsia" w:cs="Times New Roman"/>
          <w:color w:val="000000"/>
          <w:sz w:val="24"/>
          <w:szCs w:val="24"/>
          <w:lang w:eastAsia="en-GB"/>
        </w:rPr>
      </w:pPr>
      <w:r>
        <w:rPr>
          <w:rFonts w:eastAsiaTheme="minorEastAsia" w:cs="Times New Roman"/>
          <w:color w:val="000000"/>
          <w:sz w:val="24"/>
          <w:szCs w:val="24"/>
          <w:lang w:eastAsia="en-GB"/>
        </w:rPr>
        <w:t>(Accessed 27 February 2024).</w:t>
      </w:r>
    </w:p>
    <w:p w14:paraId="4A7EA9E6" w14:textId="4D627FA4" w:rsid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 xml:space="preserve">Early Years Wales (2020). Foundation Learning. [online] Early Years Wales. Available at: </w:t>
      </w:r>
      <w:hyperlink r:id="rId9" w:history="1">
        <w:r w:rsidR="00CE3A69" w:rsidRPr="002139EE">
          <w:rPr>
            <w:rStyle w:val="Hyperlink"/>
            <w:rFonts w:eastAsiaTheme="minorEastAsia" w:cs="Times New Roman"/>
            <w:sz w:val="24"/>
            <w:szCs w:val="24"/>
            <w:lang w:eastAsia="en-GB"/>
          </w:rPr>
          <w:t>https://www.earlyyears.wales/en/foundation-learning</w:t>
        </w:r>
      </w:hyperlink>
      <w:r w:rsidRPr="002139EE">
        <w:rPr>
          <w:rFonts w:eastAsiaTheme="minorEastAsia" w:cs="Times New Roman"/>
          <w:color w:val="000000"/>
          <w:sz w:val="24"/>
          <w:szCs w:val="24"/>
          <w:lang w:eastAsia="en-GB"/>
        </w:rPr>
        <w:t>.</w:t>
      </w:r>
    </w:p>
    <w:p w14:paraId="20540D48" w14:textId="19AF3A68" w:rsidR="00CE3A69" w:rsidRPr="002139EE" w:rsidRDefault="00CE3A69" w:rsidP="00CE3A69">
      <w:pPr>
        <w:spacing w:after="240" w:line="360" w:lineRule="atLeast"/>
        <w:rPr>
          <w:rFonts w:eastAsiaTheme="minorEastAsia" w:cs="Times New Roman"/>
          <w:color w:val="000000"/>
          <w:sz w:val="24"/>
          <w:szCs w:val="24"/>
          <w:lang w:eastAsia="en-GB"/>
        </w:rPr>
      </w:pPr>
      <w:r>
        <w:rPr>
          <w:rFonts w:eastAsiaTheme="minorEastAsia" w:cs="Times New Roman"/>
          <w:color w:val="000000"/>
          <w:sz w:val="24"/>
          <w:szCs w:val="24"/>
          <w:lang w:eastAsia="en-GB"/>
        </w:rPr>
        <w:t>(Accessed 27 February 2024).</w:t>
      </w:r>
    </w:p>
    <w:p w14:paraId="7848C860" w14:textId="6DBC56B0" w:rsid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 xml:space="preserve">EQUAL (2023). Curriculum for Wales: The Four Purposes. [online] Equal Education Partners. Available at: </w:t>
      </w:r>
      <w:hyperlink r:id="rId10" w:anchor=":~:text=Ambitious%2C%20capable%20learners%20ready%20to" w:history="1">
        <w:r w:rsidR="00CE3A69" w:rsidRPr="002139EE">
          <w:rPr>
            <w:rStyle w:val="Hyperlink"/>
            <w:rFonts w:eastAsiaTheme="minorEastAsia" w:cs="Times New Roman"/>
            <w:sz w:val="24"/>
            <w:szCs w:val="24"/>
            <w:lang w:eastAsia="en-GB"/>
          </w:rPr>
          <w:t>https://equaleducationpartners.com/blog/curriculum-for-wales-the-four-purposes/#:~:text=Ambitious%2C%20capable%20learners%20ready%20to</w:t>
        </w:r>
      </w:hyperlink>
      <w:r w:rsidRPr="002139EE">
        <w:rPr>
          <w:rFonts w:eastAsiaTheme="minorEastAsia" w:cs="Times New Roman"/>
          <w:color w:val="000000"/>
          <w:sz w:val="24"/>
          <w:szCs w:val="24"/>
          <w:lang w:eastAsia="en-GB"/>
        </w:rPr>
        <w:t>.</w:t>
      </w:r>
    </w:p>
    <w:p w14:paraId="7A0651B1" w14:textId="2D82288F" w:rsidR="00CE3A69" w:rsidRPr="002139EE" w:rsidRDefault="00CE3A69" w:rsidP="00CE3A69">
      <w:pPr>
        <w:spacing w:after="240" w:line="360" w:lineRule="atLeast"/>
        <w:rPr>
          <w:rFonts w:eastAsiaTheme="minorEastAsia" w:cs="Times New Roman"/>
          <w:color w:val="000000"/>
          <w:sz w:val="24"/>
          <w:szCs w:val="24"/>
          <w:lang w:eastAsia="en-GB"/>
        </w:rPr>
      </w:pPr>
      <w:r>
        <w:rPr>
          <w:rFonts w:eastAsiaTheme="minorEastAsia" w:cs="Times New Roman"/>
          <w:color w:val="000000"/>
          <w:sz w:val="24"/>
          <w:szCs w:val="24"/>
          <w:lang w:eastAsia="en-GB"/>
        </w:rPr>
        <w:t>(Accessed 27 February 2024).</w:t>
      </w:r>
    </w:p>
    <w:p w14:paraId="1B3BF354" w14:textId="77777777" w:rsidR="002139EE" w:rsidRP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Gardner, H. (1993). Multiple intelligences: The theory in practice. New York: Basic Books.</w:t>
      </w:r>
    </w:p>
    <w:p w14:paraId="65F298EF" w14:textId="65182CBC" w:rsid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lastRenderedPageBreak/>
        <w:t xml:space="preserve">Government, W. (2015). Written Statement - Announcement of Pioneer Schools (5 November 2015) | GOV.WALES. [online] www.gov.wales. Available at: </w:t>
      </w:r>
      <w:hyperlink r:id="rId11" w:history="1">
        <w:r w:rsidR="0012761D" w:rsidRPr="002139EE">
          <w:rPr>
            <w:rStyle w:val="Hyperlink"/>
            <w:rFonts w:eastAsiaTheme="minorEastAsia" w:cs="Times New Roman"/>
            <w:sz w:val="24"/>
            <w:szCs w:val="24"/>
            <w:lang w:eastAsia="en-GB"/>
          </w:rPr>
          <w:t>https://www.gov.wales/written-statement-announcement-pioneer-schools</w:t>
        </w:r>
      </w:hyperlink>
    </w:p>
    <w:p w14:paraId="2DF28103" w14:textId="7832A730" w:rsidR="0012761D" w:rsidRPr="002139EE" w:rsidRDefault="0012761D" w:rsidP="0012761D">
      <w:pPr>
        <w:spacing w:after="240" w:line="360" w:lineRule="atLeast"/>
        <w:rPr>
          <w:rFonts w:eastAsiaTheme="minorEastAsia" w:cs="Times New Roman"/>
          <w:color w:val="000000"/>
          <w:sz w:val="24"/>
          <w:szCs w:val="24"/>
          <w:lang w:eastAsia="en-GB"/>
        </w:rPr>
      </w:pPr>
      <w:r>
        <w:rPr>
          <w:rFonts w:eastAsiaTheme="minorEastAsia" w:cs="Times New Roman"/>
          <w:color w:val="000000"/>
          <w:sz w:val="24"/>
          <w:szCs w:val="24"/>
          <w:lang w:eastAsia="en-GB"/>
        </w:rPr>
        <w:t>(Accessed 06 March 2024).</w:t>
      </w:r>
    </w:p>
    <w:p w14:paraId="26E1E43D" w14:textId="6F0301C9" w:rsid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 xml:space="preserve">Government, W. (2020). Education is changing | GOV.WALES. [online] www.gov.wales. Available at: </w:t>
      </w:r>
      <w:hyperlink r:id="rId12" w:history="1">
        <w:r w:rsidR="0012761D" w:rsidRPr="002139EE">
          <w:rPr>
            <w:rStyle w:val="Hyperlink"/>
            <w:rFonts w:eastAsiaTheme="minorEastAsia" w:cs="Times New Roman"/>
            <w:sz w:val="24"/>
            <w:szCs w:val="24"/>
            <w:lang w:eastAsia="en-GB"/>
          </w:rPr>
          <w:t>https://www.gov.wales/education-changing?utm_source=google&amp;utm_medium=cpc&amp;utm_campaign=rse&amp;gad_source=1&amp;gclid=CjwKCAiA0bWvBhBjEiwAtEsoW3mu-i1xo4z4SQKIDrD95UFYltdKtsezl6ez4DqO7EsNJFdks_-rohoCnHoQAvD_BwE</w:t>
        </w:r>
      </w:hyperlink>
    </w:p>
    <w:p w14:paraId="797D9442" w14:textId="48060392" w:rsidR="0012761D" w:rsidRPr="002139EE" w:rsidRDefault="0012761D" w:rsidP="0012761D">
      <w:pPr>
        <w:spacing w:after="240" w:line="360" w:lineRule="atLeast"/>
        <w:rPr>
          <w:rFonts w:eastAsiaTheme="minorEastAsia" w:cs="Times New Roman"/>
          <w:color w:val="000000"/>
          <w:sz w:val="24"/>
          <w:szCs w:val="24"/>
          <w:lang w:eastAsia="en-GB"/>
        </w:rPr>
      </w:pPr>
      <w:r>
        <w:rPr>
          <w:rFonts w:eastAsiaTheme="minorEastAsia" w:cs="Times New Roman"/>
          <w:color w:val="000000"/>
          <w:sz w:val="24"/>
          <w:szCs w:val="24"/>
          <w:lang w:eastAsia="en-GB"/>
        </w:rPr>
        <w:t>(Accessed 06 March 2024).</w:t>
      </w:r>
    </w:p>
    <w:p w14:paraId="42FDC2B7" w14:textId="77777777" w:rsidR="002139EE" w:rsidRP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 xml:space="preserve">Grant, P. and </w:t>
      </w:r>
      <w:proofErr w:type="spellStart"/>
      <w:r w:rsidRPr="002139EE">
        <w:rPr>
          <w:rFonts w:eastAsiaTheme="minorEastAsia" w:cs="Times New Roman"/>
          <w:color w:val="000000"/>
          <w:sz w:val="24"/>
          <w:szCs w:val="24"/>
          <w:lang w:eastAsia="en-GB"/>
        </w:rPr>
        <w:t>Basye</w:t>
      </w:r>
      <w:proofErr w:type="spellEnd"/>
      <w:r w:rsidRPr="002139EE">
        <w:rPr>
          <w:rFonts w:eastAsiaTheme="minorEastAsia" w:cs="Times New Roman"/>
          <w:color w:val="000000"/>
          <w:sz w:val="24"/>
          <w:szCs w:val="24"/>
          <w:lang w:eastAsia="en-GB"/>
        </w:rPr>
        <w:t>, D. (2014). </w:t>
      </w:r>
      <w:proofErr w:type="spellStart"/>
      <w:r w:rsidRPr="002139EE">
        <w:rPr>
          <w:rFonts w:eastAsiaTheme="minorEastAsia" w:cs="Times New Roman"/>
          <w:color w:val="000000"/>
          <w:sz w:val="24"/>
          <w:szCs w:val="24"/>
          <w:lang w:eastAsia="en-GB"/>
        </w:rPr>
        <w:t>Personalized</w:t>
      </w:r>
      <w:proofErr w:type="spellEnd"/>
      <w:r w:rsidRPr="002139EE">
        <w:rPr>
          <w:rFonts w:eastAsiaTheme="minorEastAsia" w:cs="Times New Roman"/>
          <w:color w:val="000000"/>
          <w:sz w:val="24"/>
          <w:szCs w:val="24"/>
          <w:lang w:eastAsia="en-GB"/>
        </w:rPr>
        <w:t xml:space="preserve"> learning. Eugene.</w:t>
      </w:r>
    </w:p>
    <w:p w14:paraId="1C23B60F" w14:textId="77777777" w:rsid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 xml:space="preserve">Greenwood, R. (2013). Subject-based and cross-curricular approaches within the revised primary curriculum in Northern Ireland: teachers’ concerns and preferred approaches. Education 3-13, [online] 41(4), pp.443–458. </w:t>
      </w:r>
      <w:proofErr w:type="spellStart"/>
      <w:r w:rsidRPr="002139EE">
        <w:rPr>
          <w:rFonts w:eastAsiaTheme="minorEastAsia" w:cs="Times New Roman"/>
          <w:color w:val="000000"/>
          <w:sz w:val="24"/>
          <w:szCs w:val="24"/>
          <w:lang w:eastAsia="en-GB"/>
        </w:rPr>
        <w:t>doi:https</w:t>
      </w:r>
      <w:proofErr w:type="spellEnd"/>
      <w:r w:rsidRPr="002139EE">
        <w:rPr>
          <w:rFonts w:eastAsiaTheme="minorEastAsia" w:cs="Times New Roman"/>
          <w:color w:val="000000"/>
          <w:sz w:val="24"/>
          <w:szCs w:val="24"/>
          <w:lang w:eastAsia="en-GB"/>
        </w:rPr>
        <w:t>://doi.org/10.1080/03004279.2013.819618.</w:t>
      </w:r>
    </w:p>
    <w:p w14:paraId="7F27CBA4" w14:textId="51D26F83" w:rsidR="00716AA4" w:rsidRPr="002139EE" w:rsidRDefault="00716AA4" w:rsidP="00716AA4">
      <w:pPr>
        <w:spacing w:after="240" w:line="360" w:lineRule="atLeast"/>
        <w:rPr>
          <w:rFonts w:eastAsiaTheme="minorEastAsia" w:cs="Times New Roman"/>
          <w:color w:val="000000"/>
          <w:sz w:val="24"/>
          <w:szCs w:val="24"/>
          <w:lang w:eastAsia="en-GB"/>
        </w:rPr>
      </w:pPr>
      <w:r>
        <w:rPr>
          <w:rFonts w:eastAsiaTheme="minorEastAsia" w:cs="Times New Roman"/>
          <w:color w:val="000000"/>
          <w:sz w:val="24"/>
          <w:szCs w:val="24"/>
          <w:lang w:eastAsia="en-GB"/>
        </w:rPr>
        <w:t>(Accessed 01 March 2024).</w:t>
      </w:r>
    </w:p>
    <w:p w14:paraId="502DB82B" w14:textId="53FED3BF" w:rsidR="00020B4F"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 xml:space="preserve">Group, E. (2019). What You Need to Know About the Donaldson Report. [online] Educate Group. Available at: </w:t>
      </w:r>
      <w:hyperlink r:id="rId13" w:anchor=":~:text=Professor%20Donaldson%20and%20his%20team" w:history="1">
        <w:r w:rsidR="00020B4F" w:rsidRPr="002139EE">
          <w:rPr>
            <w:rStyle w:val="Hyperlink"/>
            <w:rFonts w:eastAsiaTheme="minorEastAsia" w:cs="Times New Roman"/>
            <w:sz w:val="24"/>
            <w:szCs w:val="24"/>
            <w:lang w:eastAsia="en-GB"/>
          </w:rPr>
          <w:t>https://educate-group.co.uk/2019/09/24/what-you-need-to-know-about-the-donaldson-report/#:~:text=Professor%20Donaldson%20and%20his%20team</w:t>
        </w:r>
      </w:hyperlink>
    </w:p>
    <w:p w14:paraId="59A86A84" w14:textId="5C01931B" w:rsidR="00020B4F" w:rsidRPr="002139EE" w:rsidRDefault="00020B4F" w:rsidP="00020B4F">
      <w:pPr>
        <w:spacing w:after="240" w:line="360" w:lineRule="atLeast"/>
        <w:rPr>
          <w:rFonts w:eastAsiaTheme="minorEastAsia" w:cs="Times New Roman"/>
          <w:color w:val="000000"/>
          <w:sz w:val="24"/>
          <w:szCs w:val="24"/>
          <w:lang w:eastAsia="en-GB"/>
        </w:rPr>
      </w:pPr>
      <w:r>
        <w:rPr>
          <w:rFonts w:eastAsiaTheme="minorEastAsia" w:cs="Times New Roman"/>
          <w:color w:val="000000"/>
          <w:sz w:val="24"/>
          <w:szCs w:val="24"/>
          <w:lang w:eastAsia="en-GB"/>
        </w:rPr>
        <w:t>(Accessed 26 February 2024).</w:t>
      </w:r>
    </w:p>
    <w:p w14:paraId="66626C3C" w14:textId="77777777" w:rsidR="002139EE" w:rsidRP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 xml:space="preserve">Hattie, J. (2008). Visible learning : A synthesis of over 800 meta-analyses relating to achievement. </w:t>
      </w:r>
      <w:proofErr w:type="spellStart"/>
      <w:r w:rsidRPr="002139EE">
        <w:rPr>
          <w:rFonts w:eastAsiaTheme="minorEastAsia" w:cs="Times New Roman"/>
          <w:color w:val="000000"/>
          <w:sz w:val="24"/>
          <w:szCs w:val="24"/>
          <w:lang w:eastAsia="en-GB"/>
        </w:rPr>
        <w:t>Erscheinungsort</w:t>
      </w:r>
      <w:proofErr w:type="spellEnd"/>
      <w:r w:rsidRPr="002139EE">
        <w:rPr>
          <w:rFonts w:eastAsiaTheme="minorEastAsia" w:cs="Times New Roman"/>
          <w:color w:val="000000"/>
          <w:sz w:val="24"/>
          <w:szCs w:val="24"/>
          <w:lang w:eastAsia="en-GB"/>
        </w:rPr>
        <w:t xml:space="preserve"> </w:t>
      </w:r>
      <w:proofErr w:type="spellStart"/>
      <w:r w:rsidRPr="002139EE">
        <w:rPr>
          <w:rFonts w:eastAsiaTheme="minorEastAsia" w:cs="Times New Roman"/>
          <w:color w:val="000000"/>
          <w:sz w:val="24"/>
          <w:szCs w:val="24"/>
          <w:lang w:eastAsia="en-GB"/>
        </w:rPr>
        <w:t>Nicht</w:t>
      </w:r>
      <w:proofErr w:type="spellEnd"/>
      <w:r w:rsidRPr="002139EE">
        <w:rPr>
          <w:rFonts w:eastAsiaTheme="minorEastAsia" w:cs="Times New Roman"/>
          <w:color w:val="000000"/>
          <w:sz w:val="24"/>
          <w:szCs w:val="24"/>
          <w:lang w:eastAsia="en-GB"/>
        </w:rPr>
        <w:t xml:space="preserve"> </w:t>
      </w:r>
      <w:proofErr w:type="spellStart"/>
      <w:r w:rsidRPr="002139EE">
        <w:rPr>
          <w:rFonts w:eastAsiaTheme="minorEastAsia" w:cs="Times New Roman"/>
          <w:color w:val="000000"/>
          <w:sz w:val="24"/>
          <w:szCs w:val="24"/>
          <w:lang w:eastAsia="en-GB"/>
        </w:rPr>
        <w:t>Ermittelbar</w:t>
      </w:r>
      <w:proofErr w:type="spellEnd"/>
      <w:r w:rsidRPr="002139EE">
        <w:rPr>
          <w:rFonts w:eastAsiaTheme="minorEastAsia" w:cs="Times New Roman"/>
          <w:color w:val="000000"/>
          <w:sz w:val="24"/>
          <w:szCs w:val="24"/>
          <w:lang w:eastAsia="en-GB"/>
        </w:rPr>
        <w:t>: Taylor &amp; Francis Ltd.</w:t>
      </w:r>
    </w:p>
    <w:p w14:paraId="68DF216C" w14:textId="42412C05" w:rsid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 xml:space="preserve">Howard-Jones, P. (2019). IBE — Science of learning portal — Building knowledge and understanding. [online] IBE — Science of learning portal. Available at: </w:t>
      </w:r>
      <w:hyperlink r:id="rId14" w:history="1">
        <w:r w:rsidR="00020B4F" w:rsidRPr="002139EE">
          <w:rPr>
            <w:rStyle w:val="Hyperlink"/>
            <w:rFonts w:eastAsiaTheme="minorEastAsia" w:cs="Times New Roman"/>
            <w:sz w:val="24"/>
            <w:szCs w:val="24"/>
            <w:lang w:eastAsia="en-GB"/>
          </w:rPr>
          <w:t>https://solportal.ibe-unesco.org/articles/building-knowledge-and-understanding/</w:t>
        </w:r>
      </w:hyperlink>
      <w:r w:rsidRPr="002139EE">
        <w:rPr>
          <w:rFonts w:eastAsiaTheme="minorEastAsia" w:cs="Times New Roman"/>
          <w:color w:val="000000"/>
          <w:sz w:val="24"/>
          <w:szCs w:val="24"/>
          <w:lang w:eastAsia="en-GB"/>
        </w:rPr>
        <w:t>.</w:t>
      </w:r>
    </w:p>
    <w:p w14:paraId="1E4EC73B" w14:textId="4A441447" w:rsidR="00020B4F" w:rsidRPr="002139EE" w:rsidRDefault="00020B4F" w:rsidP="00020B4F">
      <w:pPr>
        <w:spacing w:after="240" w:line="360" w:lineRule="atLeast"/>
        <w:rPr>
          <w:rFonts w:eastAsiaTheme="minorEastAsia" w:cs="Times New Roman"/>
          <w:color w:val="000000"/>
          <w:sz w:val="24"/>
          <w:szCs w:val="24"/>
          <w:lang w:eastAsia="en-GB"/>
        </w:rPr>
      </w:pPr>
      <w:r>
        <w:rPr>
          <w:rFonts w:eastAsiaTheme="minorEastAsia" w:cs="Times New Roman"/>
          <w:color w:val="000000"/>
          <w:sz w:val="24"/>
          <w:szCs w:val="24"/>
          <w:lang w:eastAsia="en-GB"/>
        </w:rPr>
        <w:t>(Accessed 26 February 2024).</w:t>
      </w:r>
    </w:p>
    <w:p w14:paraId="53120E17" w14:textId="77777777" w:rsid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lastRenderedPageBreak/>
        <w:t xml:space="preserve">Lessa, A.B.C.T. and Liberali, F.C. (2012). Critical literacy: a cross-curricular tool-and-result in the teaching-learning activity. DELTA: </w:t>
      </w:r>
      <w:proofErr w:type="spellStart"/>
      <w:r w:rsidRPr="002139EE">
        <w:rPr>
          <w:rFonts w:eastAsiaTheme="minorEastAsia" w:cs="Times New Roman"/>
          <w:color w:val="000000"/>
          <w:sz w:val="24"/>
          <w:szCs w:val="24"/>
          <w:lang w:eastAsia="en-GB"/>
        </w:rPr>
        <w:t>Documentação</w:t>
      </w:r>
      <w:proofErr w:type="spellEnd"/>
      <w:r w:rsidRPr="002139EE">
        <w:rPr>
          <w:rFonts w:eastAsiaTheme="minorEastAsia" w:cs="Times New Roman"/>
          <w:color w:val="000000"/>
          <w:sz w:val="24"/>
          <w:szCs w:val="24"/>
          <w:lang w:eastAsia="en-GB"/>
        </w:rPr>
        <w:t xml:space="preserve"> de </w:t>
      </w:r>
      <w:proofErr w:type="spellStart"/>
      <w:r w:rsidRPr="002139EE">
        <w:rPr>
          <w:rFonts w:eastAsiaTheme="minorEastAsia" w:cs="Times New Roman"/>
          <w:color w:val="000000"/>
          <w:sz w:val="24"/>
          <w:szCs w:val="24"/>
          <w:lang w:eastAsia="en-GB"/>
        </w:rPr>
        <w:t>Estudos</w:t>
      </w:r>
      <w:proofErr w:type="spellEnd"/>
      <w:r w:rsidRPr="002139EE">
        <w:rPr>
          <w:rFonts w:eastAsiaTheme="minorEastAsia" w:cs="Times New Roman"/>
          <w:color w:val="000000"/>
          <w:sz w:val="24"/>
          <w:szCs w:val="24"/>
          <w:lang w:eastAsia="en-GB"/>
        </w:rPr>
        <w:t xml:space="preserve"> em </w:t>
      </w:r>
      <w:proofErr w:type="spellStart"/>
      <w:r w:rsidRPr="002139EE">
        <w:rPr>
          <w:rFonts w:eastAsiaTheme="minorEastAsia" w:cs="Times New Roman"/>
          <w:color w:val="000000"/>
          <w:sz w:val="24"/>
          <w:szCs w:val="24"/>
          <w:lang w:eastAsia="en-GB"/>
        </w:rPr>
        <w:t>Lingüística</w:t>
      </w:r>
      <w:proofErr w:type="spellEnd"/>
      <w:r w:rsidRPr="002139EE">
        <w:rPr>
          <w:rFonts w:eastAsiaTheme="minorEastAsia" w:cs="Times New Roman"/>
          <w:color w:val="000000"/>
          <w:sz w:val="24"/>
          <w:szCs w:val="24"/>
          <w:lang w:eastAsia="en-GB"/>
        </w:rPr>
        <w:t xml:space="preserve"> </w:t>
      </w:r>
      <w:proofErr w:type="spellStart"/>
      <w:r w:rsidRPr="002139EE">
        <w:rPr>
          <w:rFonts w:eastAsiaTheme="minorEastAsia" w:cs="Times New Roman"/>
          <w:color w:val="000000"/>
          <w:sz w:val="24"/>
          <w:szCs w:val="24"/>
          <w:lang w:eastAsia="en-GB"/>
        </w:rPr>
        <w:t>Teórica</w:t>
      </w:r>
      <w:proofErr w:type="spellEnd"/>
      <w:r w:rsidRPr="002139EE">
        <w:rPr>
          <w:rFonts w:eastAsiaTheme="minorEastAsia" w:cs="Times New Roman"/>
          <w:color w:val="000000"/>
          <w:sz w:val="24"/>
          <w:szCs w:val="24"/>
          <w:lang w:eastAsia="en-GB"/>
        </w:rPr>
        <w:t xml:space="preserve"> e </w:t>
      </w:r>
      <w:proofErr w:type="spellStart"/>
      <w:r w:rsidRPr="002139EE">
        <w:rPr>
          <w:rFonts w:eastAsiaTheme="minorEastAsia" w:cs="Times New Roman"/>
          <w:color w:val="000000"/>
          <w:sz w:val="24"/>
          <w:szCs w:val="24"/>
          <w:lang w:eastAsia="en-GB"/>
        </w:rPr>
        <w:t>Aplicada</w:t>
      </w:r>
      <w:proofErr w:type="spellEnd"/>
      <w:r w:rsidRPr="002139EE">
        <w:rPr>
          <w:rFonts w:eastAsiaTheme="minorEastAsia" w:cs="Times New Roman"/>
          <w:color w:val="000000"/>
          <w:sz w:val="24"/>
          <w:szCs w:val="24"/>
          <w:lang w:eastAsia="en-GB"/>
        </w:rPr>
        <w:t xml:space="preserve">, 28(2), pp.331–352. </w:t>
      </w:r>
      <w:proofErr w:type="spellStart"/>
      <w:r w:rsidRPr="002139EE">
        <w:rPr>
          <w:rFonts w:eastAsiaTheme="minorEastAsia" w:cs="Times New Roman"/>
          <w:color w:val="000000"/>
          <w:sz w:val="24"/>
          <w:szCs w:val="24"/>
          <w:lang w:eastAsia="en-GB"/>
        </w:rPr>
        <w:t>doi:https</w:t>
      </w:r>
      <w:proofErr w:type="spellEnd"/>
      <w:r w:rsidRPr="002139EE">
        <w:rPr>
          <w:rFonts w:eastAsiaTheme="minorEastAsia" w:cs="Times New Roman"/>
          <w:color w:val="000000"/>
          <w:sz w:val="24"/>
          <w:szCs w:val="24"/>
          <w:lang w:eastAsia="en-GB"/>
        </w:rPr>
        <w:t>://doi.org/10.1590/s0102-44502012000200006.</w:t>
      </w:r>
    </w:p>
    <w:p w14:paraId="469126A9" w14:textId="2DB9FA6F" w:rsidR="00020B4F" w:rsidRPr="002139EE" w:rsidRDefault="00020B4F" w:rsidP="00020B4F">
      <w:pPr>
        <w:spacing w:after="240" w:line="360" w:lineRule="atLeast"/>
        <w:rPr>
          <w:rFonts w:eastAsiaTheme="minorEastAsia" w:cs="Times New Roman"/>
          <w:color w:val="000000"/>
          <w:sz w:val="24"/>
          <w:szCs w:val="24"/>
          <w:lang w:eastAsia="en-GB"/>
        </w:rPr>
      </w:pPr>
      <w:r>
        <w:rPr>
          <w:rFonts w:eastAsiaTheme="minorEastAsia" w:cs="Times New Roman"/>
          <w:color w:val="000000"/>
          <w:sz w:val="24"/>
          <w:szCs w:val="24"/>
          <w:lang w:eastAsia="en-GB"/>
        </w:rPr>
        <w:t>(Accessed 26 February 2024).</w:t>
      </w:r>
    </w:p>
    <w:p w14:paraId="76B36ABC" w14:textId="77777777" w:rsidR="002139EE" w:rsidRP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Murray, J. (2017). Building Knowledge in Early Childhood Education. Taylor &amp; Francis.</w:t>
      </w:r>
    </w:p>
    <w:p w14:paraId="5C129B17" w14:textId="32FCD03D" w:rsid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 xml:space="preserve">OECD (2016). PISA 2015 United Kingdom. [online] Available at: </w:t>
      </w:r>
      <w:hyperlink r:id="rId15" w:history="1">
        <w:r w:rsidR="00020B4F" w:rsidRPr="002139EE">
          <w:rPr>
            <w:rStyle w:val="Hyperlink"/>
            <w:rFonts w:eastAsiaTheme="minorEastAsia" w:cs="Times New Roman"/>
            <w:sz w:val="24"/>
            <w:szCs w:val="24"/>
            <w:lang w:eastAsia="en-GB"/>
          </w:rPr>
          <w:t>https://www.oecd.org/pisa/pisa-2015-United-Kingdom.pdf</w:t>
        </w:r>
      </w:hyperlink>
      <w:r w:rsidRPr="002139EE">
        <w:rPr>
          <w:rFonts w:eastAsiaTheme="minorEastAsia" w:cs="Times New Roman"/>
          <w:color w:val="000000"/>
          <w:sz w:val="24"/>
          <w:szCs w:val="24"/>
          <w:lang w:eastAsia="en-GB"/>
        </w:rPr>
        <w:t>.</w:t>
      </w:r>
    </w:p>
    <w:p w14:paraId="48B8BA66" w14:textId="34F07C3B" w:rsidR="00020B4F" w:rsidRPr="002139EE" w:rsidRDefault="00020B4F" w:rsidP="00020B4F">
      <w:pPr>
        <w:spacing w:after="240" w:line="360" w:lineRule="atLeast"/>
        <w:rPr>
          <w:rFonts w:eastAsiaTheme="minorEastAsia" w:cs="Times New Roman"/>
          <w:color w:val="000000"/>
          <w:sz w:val="24"/>
          <w:szCs w:val="24"/>
          <w:lang w:eastAsia="en-GB"/>
        </w:rPr>
      </w:pPr>
      <w:r>
        <w:rPr>
          <w:rFonts w:eastAsiaTheme="minorEastAsia" w:cs="Times New Roman"/>
          <w:color w:val="000000"/>
          <w:sz w:val="24"/>
          <w:szCs w:val="24"/>
          <w:lang w:eastAsia="en-GB"/>
        </w:rPr>
        <w:t>(Accessed 13 March 2024).</w:t>
      </w:r>
    </w:p>
    <w:p w14:paraId="50D4B7AB" w14:textId="77777777" w:rsidR="002139EE" w:rsidRP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OECD (2020). Achieving the new curriculum for Wales. Paris: OECD Publishing.</w:t>
      </w:r>
    </w:p>
    <w:p w14:paraId="0B96EDB2" w14:textId="6EA5733A" w:rsidR="002139EE" w:rsidRDefault="002139EE" w:rsidP="002139EE">
      <w:pPr>
        <w:spacing w:after="240" w:line="360" w:lineRule="atLeast"/>
        <w:divId w:val="215236848"/>
        <w:rPr>
          <w:rFonts w:eastAsiaTheme="minorEastAsia" w:cs="Times New Roman"/>
          <w:color w:val="000000"/>
          <w:sz w:val="24"/>
          <w:szCs w:val="24"/>
          <w:lang w:eastAsia="en-GB"/>
        </w:rPr>
      </w:pPr>
      <w:proofErr w:type="spellStart"/>
      <w:r w:rsidRPr="002139EE">
        <w:rPr>
          <w:rFonts w:eastAsiaTheme="minorEastAsia" w:cs="Times New Roman"/>
          <w:color w:val="000000"/>
          <w:sz w:val="24"/>
          <w:szCs w:val="24"/>
          <w:lang w:eastAsia="en-GB"/>
        </w:rPr>
        <w:t>OKPARAUGO</w:t>
      </w:r>
      <w:proofErr w:type="spellEnd"/>
      <w:r w:rsidRPr="002139EE">
        <w:rPr>
          <w:rFonts w:eastAsiaTheme="minorEastAsia" w:cs="Times New Roman"/>
          <w:color w:val="000000"/>
          <w:sz w:val="24"/>
          <w:szCs w:val="24"/>
          <w:lang w:eastAsia="en-GB"/>
        </w:rPr>
        <w:t xml:space="preserve"> , J. (2021). A PRESENTATION ON BRUNER’S CURRICULUM MODEL. [Dissertation] Available at: </w:t>
      </w:r>
      <w:hyperlink r:id="rId16" w:history="1">
        <w:r w:rsidR="00716AA4" w:rsidRPr="002139EE">
          <w:rPr>
            <w:rStyle w:val="Hyperlink"/>
            <w:rFonts w:eastAsiaTheme="minorEastAsia" w:cs="Times New Roman"/>
            <w:sz w:val="24"/>
            <w:szCs w:val="24"/>
            <w:lang w:eastAsia="en-GB"/>
          </w:rPr>
          <w:t>https://d1wqtxts1xzle7.cloudfront.net/69818633/CDE_812_Curriculum_Models-libre.pdf?1631908965=&amp;response-content-disposition=inline%3B+filename%3DBruners_Curriculum_Model_Spiral_Curricul.pdf&amp;Expires=1710347005&amp;Signature=Ohth6YUIEBIYLz2ssDbmRHR~rFuRNWnxKmHTs1ku-9Jf6ohwWCEyRB9se1jnRWgG6FZhdq-ul1YrOb6az3y52hXRFNbow6f8N-9DlRW03cDmPTDn2rkB-Lvz5nDtxSpPt6oVp6w2ZtJM-TN8erxJxHBZzYHitBqjpKnn4q-JlyXQs48FosvO9z5~rT0rxlG73gPoYkhHw~mPKBHIkJO~qULxfl2Pz2EpMJUaoNdE0dA76LcAj87QKVv9Q1T-ucC3NCaQlfUouy3vMQWV4H-wANPdZyRuVw3b2SpzHPVNMh95RIWC3Yc00NTO5DFfRVvAlwcsRtobUHb9WXl4XI7Xtg__&amp;Key-Pair-Id=APKAJLOHF5GGSLRBV4ZA</w:t>
        </w:r>
      </w:hyperlink>
      <w:r w:rsidRPr="002139EE">
        <w:rPr>
          <w:rFonts w:eastAsiaTheme="minorEastAsia" w:cs="Times New Roman"/>
          <w:color w:val="000000"/>
          <w:sz w:val="24"/>
          <w:szCs w:val="24"/>
          <w:lang w:eastAsia="en-GB"/>
        </w:rPr>
        <w:t>.</w:t>
      </w:r>
    </w:p>
    <w:p w14:paraId="34C81314" w14:textId="52CC3183" w:rsidR="00716AA4" w:rsidRPr="002139EE" w:rsidRDefault="00716AA4" w:rsidP="00716AA4">
      <w:pPr>
        <w:spacing w:after="240" w:line="360" w:lineRule="atLeast"/>
        <w:rPr>
          <w:rFonts w:eastAsiaTheme="minorEastAsia" w:cs="Times New Roman"/>
          <w:color w:val="000000"/>
          <w:sz w:val="24"/>
          <w:szCs w:val="24"/>
          <w:lang w:eastAsia="en-GB"/>
        </w:rPr>
      </w:pPr>
      <w:r>
        <w:rPr>
          <w:rFonts w:eastAsiaTheme="minorEastAsia" w:cs="Times New Roman"/>
          <w:color w:val="000000"/>
          <w:sz w:val="24"/>
          <w:szCs w:val="24"/>
          <w:lang w:eastAsia="en-GB"/>
        </w:rPr>
        <w:t>(Accessed 01 March 2024).</w:t>
      </w:r>
    </w:p>
    <w:p w14:paraId="38297F96" w14:textId="77777777" w:rsidR="002139EE" w:rsidRP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 xml:space="preserve">Piaget, J. (1962). Play, dreams, and imitation in childhood. New York: </w:t>
      </w:r>
      <w:proofErr w:type="spellStart"/>
      <w:r w:rsidRPr="002139EE">
        <w:rPr>
          <w:rFonts w:eastAsiaTheme="minorEastAsia" w:cs="Times New Roman"/>
          <w:color w:val="000000"/>
          <w:sz w:val="24"/>
          <w:szCs w:val="24"/>
          <w:lang w:eastAsia="en-GB"/>
        </w:rPr>
        <w:t>Routledge</w:t>
      </w:r>
      <w:proofErr w:type="spellEnd"/>
      <w:r w:rsidRPr="002139EE">
        <w:rPr>
          <w:rFonts w:eastAsiaTheme="minorEastAsia" w:cs="Times New Roman"/>
          <w:color w:val="000000"/>
          <w:sz w:val="24"/>
          <w:szCs w:val="24"/>
          <w:lang w:eastAsia="en-GB"/>
        </w:rPr>
        <w:t>.</w:t>
      </w:r>
    </w:p>
    <w:p w14:paraId="2B1060A1" w14:textId="77777777" w:rsidR="002139EE" w:rsidRPr="002139EE" w:rsidRDefault="002139EE" w:rsidP="002139EE">
      <w:pPr>
        <w:spacing w:after="240" w:line="360" w:lineRule="atLeast"/>
        <w:divId w:val="215236848"/>
        <w:rPr>
          <w:rFonts w:eastAsiaTheme="minorEastAsia" w:cs="Times New Roman"/>
          <w:color w:val="000000"/>
          <w:sz w:val="24"/>
          <w:szCs w:val="24"/>
          <w:lang w:eastAsia="en-GB"/>
        </w:rPr>
      </w:pPr>
      <w:proofErr w:type="spellStart"/>
      <w:r w:rsidRPr="002139EE">
        <w:rPr>
          <w:rFonts w:eastAsiaTheme="minorEastAsia" w:cs="Times New Roman"/>
          <w:color w:val="000000"/>
          <w:sz w:val="24"/>
          <w:szCs w:val="24"/>
          <w:lang w:eastAsia="en-GB"/>
        </w:rPr>
        <w:t>Plass</w:t>
      </w:r>
      <w:proofErr w:type="spellEnd"/>
      <w:r w:rsidRPr="002139EE">
        <w:rPr>
          <w:rFonts w:eastAsiaTheme="minorEastAsia" w:cs="Times New Roman"/>
          <w:color w:val="000000"/>
          <w:sz w:val="24"/>
          <w:szCs w:val="24"/>
          <w:lang w:eastAsia="en-GB"/>
        </w:rPr>
        <w:t xml:space="preserve">, J.L., Moreno, R. and </w:t>
      </w:r>
      <w:proofErr w:type="spellStart"/>
      <w:r w:rsidRPr="002139EE">
        <w:rPr>
          <w:rFonts w:eastAsiaTheme="minorEastAsia" w:cs="Times New Roman"/>
          <w:color w:val="000000"/>
          <w:sz w:val="24"/>
          <w:szCs w:val="24"/>
          <w:lang w:eastAsia="en-GB"/>
        </w:rPr>
        <w:t>Brünken</w:t>
      </w:r>
      <w:proofErr w:type="spellEnd"/>
      <w:r w:rsidRPr="002139EE">
        <w:rPr>
          <w:rFonts w:eastAsiaTheme="minorEastAsia" w:cs="Times New Roman"/>
          <w:color w:val="000000"/>
          <w:sz w:val="24"/>
          <w:szCs w:val="24"/>
          <w:lang w:eastAsia="en-GB"/>
        </w:rPr>
        <w:t>, R. (2010). Cognitive Load Theory. Cambridge: Cambridge University Press.</w:t>
      </w:r>
    </w:p>
    <w:p w14:paraId="2E57D0BD" w14:textId="6D9D16C2" w:rsidR="002139EE" w:rsidRDefault="002139EE" w:rsidP="002139EE">
      <w:pPr>
        <w:spacing w:after="240" w:line="360" w:lineRule="atLeast"/>
        <w:divId w:val="215236848"/>
        <w:rPr>
          <w:rFonts w:eastAsiaTheme="minorEastAsia" w:cs="Times New Roman"/>
          <w:color w:val="000000"/>
          <w:sz w:val="24"/>
          <w:szCs w:val="24"/>
          <w:lang w:eastAsia="en-GB"/>
        </w:rPr>
      </w:pPr>
      <w:proofErr w:type="spellStart"/>
      <w:r w:rsidRPr="002139EE">
        <w:rPr>
          <w:rFonts w:eastAsiaTheme="minorEastAsia" w:cs="Times New Roman"/>
          <w:color w:val="000000"/>
          <w:sz w:val="24"/>
          <w:szCs w:val="24"/>
          <w:lang w:eastAsia="en-GB"/>
        </w:rPr>
        <w:t>Protheroe</w:t>
      </w:r>
      <w:proofErr w:type="spellEnd"/>
      <w:r w:rsidRPr="002139EE">
        <w:rPr>
          <w:rFonts w:eastAsiaTheme="minorEastAsia" w:cs="Times New Roman"/>
          <w:color w:val="000000"/>
          <w:sz w:val="24"/>
          <w:szCs w:val="24"/>
          <w:lang w:eastAsia="en-GB"/>
        </w:rPr>
        <w:t xml:space="preserve">, C. (2022). Early Years New Curriculum for Wales 2022 Guidance. [online] </w:t>
      </w:r>
      <w:proofErr w:type="spellStart"/>
      <w:r w:rsidRPr="002139EE">
        <w:rPr>
          <w:rFonts w:eastAsiaTheme="minorEastAsia" w:cs="Times New Roman"/>
          <w:color w:val="000000"/>
          <w:sz w:val="24"/>
          <w:szCs w:val="24"/>
          <w:lang w:eastAsia="en-GB"/>
        </w:rPr>
        <w:t>Kinderly</w:t>
      </w:r>
      <w:proofErr w:type="spellEnd"/>
      <w:r w:rsidRPr="002139EE">
        <w:rPr>
          <w:rFonts w:eastAsiaTheme="minorEastAsia" w:cs="Times New Roman"/>
          <w:color w:val="000000"/>
          <w:sz w:val="24"/>
          <w:szCs w:val="24"/>
          <w:lang w:eastAsia="en-GB"/>
        </w:rPr>
        <w:t xml:space="preserve">. Available at: </w:t>
      </w:r>
      <w:hyperlink r:id="rId17" w:history="1">
        <w:r w:rsidR="00716AA4" w:rsidRPr="002139EE">
          <w:rPr>
            <w:rStyle w:val="Hyperlink"/>
            <w:rFonts w:eastAsiaTheme="minorEastAsia" w:cs="Times New Roman"/>
            <w:sz w:val="24"/>
            <w:szCs w:val="24"/>
            <w:lang w:eastAsia="en-GB"/>
          </w:rPr>
          <w:t>https://kinderly.co.uk/2022/06/07/a-new-curriculum-for-wales-2022-all-you-need-to-know/</w:t>
        </w:r>
      </w:hyperlink>
      <w:r w:rsidRPr="002139EE">
        <w:rPr>
          <w:rFonts w:eastAsiaTheme="minorEastAsia" w:cs="Times New Roman"/>
          <w:color w:val="000000"/>
          <w:sz w:val="24"/>
          <w:szCs w:val="24"/>
          <w:lang w:eastAsia="en-GB"/>
        </w:rPr>
        <w:t>.</w:t>
      </w:r>
    </w:p>
    <w:p w14:paraId="564703EC" w14:textId="12971210" w:rsidR="00716AA4" w:rsidRPr="002139EE" w:rsidRDefault="00716AA4" w:rsidP="00716AA4">
      <w:pPr>
        <w:spacing w:after="240" w:line="360" w:lineRule="atLeast"/>
        <w:rPr>
          <w:rFonts w:eastAsiaTheme="minorEastAsia" w:cs="Times New Roman"/>
          <w:color w:val="000000"/>
          <w:sz w:val="24"/>
          <w:szCs w:val="24"/>
          <w:lang w:eastAsia="en-GB"/>
        </w:rPr>
      </w:pPr>
      <w:r>
        <w:rPr>
          <w:rFonts w:eastAsiaTheme="minorEastAsia" w:cs="Times New Roman"/>
          <w:color w:val="000000"/>
          <w:sz w:val="24"/>
          <w:szCs w:val="24"/>
          <w:lang w:eastAsia="en-GB"/>
        </w:rPr>
        <w:t>(Accessed 13 March 2024).</w:t>
      </w:r>
    </w:p>
    <w:p w14:paraId="79EFAABD" w14:textId="05FA123D" w:rsidR="002139EE" w:rsidRDefault="002139EE" w:rsidP="002139EE">
      <w:pPr>
        <w:spacing w:after="240" w:line="360" w:lineRule="atLeast"/>
        <w:divId w:val="215236848"/>
        <w:rPr>
          <w:rFonts w:eastAsiaTheme="minorEastAsia" w:cs="Times New Roman"/>
          <w:color w:val="000000"/>
          <w:sz w:val="24"/>
          <w:szCs w:val="24"/>
          <w:lang w:eastAsia="en-GB"/>
        </w:rPr>
      </w:pPr>
      <w:proofErr w:type="spellStart"/>
      <w:r w:rsidRPr="002139EE">
        <w:rPr>
          <w:rFonts w:eastAsiaTheme="minorEastAsia" w:cs="Times New Roman"/>
          <w:color w:val="000000"/>
          <w:sz w:val="24"/>
          <w:szCs w:val="24"/>
          <w:lang w:eastAsia="en-GB"/>
        </w:rPr>
        <w:lastRenderedPageBreak/>
        <w:t>Rosenshine</w:t>
      </w:r>
      <w:proofErr w:type="spellEnd"/>
      <w:r w:rsidRPr="002139EE">
        <w:rPr>
          <w:rFonts w:eastAsiaTheme="minorEastAsia" w:cs="Times New Roman"/>
          <w:color w:val="000000"/>
          <w:sz w:val="24"/>
          <w:szCs w:val="24"/>
          <w:lang w:eastAsia="en-GB"/>
        </w:rPr>
        <w:t xml:space="preserve">, B. (2012). Principles of instruction: Research-based strategies that all teachers should know. [online] American Educator, pp.12–39. Available at: </w:t>
      </w:r>
      <w:hyperlink r:id="rId18" w:history="1">
        <w:r w:rsidR="00716AA4" w:rsidRPr="002139EE">
          <w:rPr>
            <w:rStyle w:val="Hyperlink"/>
            <w:rFonts w:eastAsiaTheme="minorEastAsia" w:cs="Times New Roman"/>
            <w:sz w:val="24"/>
            <w:szCs w:val="24"/>
            <w:lang w:eastAsia="en-GB"/>
          </w:rPr>
          <w:t>https://www.aft.org/sites/default/files/Rosenshine.pdf</w:t>
        </w:r>
      </w:hyperlink>
      <w:r w:rsidRPr="002139EE">
        <w:rPr>
          <w:rFonts w:eastAsiaTheme="minorEastAsia" w:cs="Times New Roman"/>
          <w:color w:val="000000"/>
          <w:sz w:val="24"/>
          <w:szCs w:val="24"/>
          <w:lang w:eastAsia="en-GB"/>
        </w:rPr>
        <w:t>.</w:t>
      </w:r>
    </w:p>
    <w:p w14:paraId="4A3B97CE" w14:textId="6C2D00C1" w:rsidR="00716AA4" w:rsidRPr="002139EE" w:rsidRDefault="00716AA4" w:rsidP="00716AA4">
      <w:pPr>
        <w:spacing w:after="240" w:line="360" w:lineRule="atLeast"/>
        <w:rPr>
          <w:rFonts w:eastAsiaTheme="minorEastAsia" w:cs="Times New Roman"/>
          <w:color w:val="000000"/>
          <w:sz w:val="24"/>
          <w:szCs w:val="24"/>
          <w:lang w:eastAsia="en-GB"/>
        </w:rPr>
      </w:pPr>
      <w:r>
        <w:rPr>
          <w:rFonts w:eastAsiaTheme="minorEastAsia" w:cs="Times New Roman"/>
          <w:color w:val="000000"/>
          <w:sz w:val="24"/>
          <w:szCs w:val="24"/>
          <w:lang w:eastAsia="en-GB"/>
        </w:rPr>
        <w:t>(Accessed 07 March 2024).</w:t>
      </w:r>
    </w:p>
    <w:p w14:paraId="7A760AD2" w14:textId="77777777" w:rsidR="002139EE" w:rsidRPr="002139EE" w:rsidRDefault="002139EE" w:rsidP="002139EE">
      <w:pPr>
        <w:spacing w:after="240" w:line="360" w:lineRule="atLeast"/>
        <w:divId w:val="215236848"/>
        <w:rPr>
          <w:rFonts w:eastAsiaTheme="minorEastAsia" w:cs="Times New Roman"/>
          <w:color w:val="000000"/>
          <w:sz w:val="24"/>
          <w:szCs w:val="24"/>
          <w:lang w:eastAsia="en-GB"/>
        </w:rPr>
      </w:pPr>
      <w:proofErr w:type="spellStart"/>
      <w:r w:rsidRPr="002139EE">
        <w:rPr>
          <w:rFonts w:eastAsiaTheme="minorEastAsia" w:cs="Times New Roman"/>
          <w:color w:val="000000"/>
          <w:sz w:val="24"/>
          <w:szCs w:val="24"/>
          <w:lang w:eastAsia="en-GB"/>
        </w:rPr>
        <w:t>Scheck</w:t>
      </w:r>
      <w:proofErr w:type="spellEnd"/>
      <w:r w:rsidRPr="002139EE">
        <w:rPr>
          <w:rFonts w:eastAsiaTheme="minorEastAsia" w:cs="Times New Roman"/>
          <w:color w:val="000000"/>
          <w:sz w:val="24"/>
          <w:szCs w:val="24"/>
          <w:lang w:eastAsia="en-GB"/>
        </w:rPr>
        <w:t xml:space="preserve">, S. (2014). Stages of psychosocial development according to Erik H. </w:t>
      </w:r>
      <w:proofErr w:type="spellStart"/>
      <w:r w:rsidRPr="002139EE">
        <w:rPr>
          <w:rFonts w:eastAsiaTheme="minorEastAsia" w:cs="Times New Roman"/>
          <w:color w:val="000000"/>
          <w:sz w:val="24"/>
          <w:szCs w:val="24"/>
          <w:lang w:eastAsia="en-GB"/>
        </w:rPr>
        <w:t>Erikson</w:t>
      </w:r>
      <w:proofErr w:type="spellEnd"/>
      <w:r w:rsidRPr="002139EE">
        <w:rPr>
          <w:rFonts w:eastAsiaTheme="minorEastAsia" w:cs="Times New Roman"/>
          <w:color w:val="000000"/>
          <w:sz w:val="24"/>
          <w:szCs w:val="24"/>
          <w:lang w:eastAsia="en-GB"/>
        </w:rPr>
        <w:t>. Munich, Germany: Grin Publishing.</w:t>
      </w:r>
    </w:p>
    <w:p w14:paraId="1D8A055D" w14:textId="7084DFCF" w:rsid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 xml:space="preserve">Scottish Government (2016). Evaluation of the Impact of the Implementation of Teaching Scotland’s Future - gov.scot. [online] www.gov.scot. Available at: </w:t>
      </w:r>
      <w:hyperlink r:id="rId19" w:history="1">
        <w:r w:rsidR="00716AA4" w:rsidRPr="002139EE">
          <w:rPr>
            <w:rStyle w:val="Hyperlink"/>
            <w:rFonts w:eastAsiaTheme="minorEastAsia" w:cs="Times New Roman"/>
            <w:sz w:val="24"/>
            <w:szCs w:val="24"/>
            <w:lang w:eastAsia="en-GB"/>
          </w:rPr>
          <w:t>https://www.gov.scot/publications/evaluation-impact-implementation-teaching-scotlands-future/pages/3/</w:t>
        </w:r>
      </w:hyperlink>
      <w:r w:rsidRPr="002139EE">
        <w:rPr>
          <w:rFonts w:eastAsiaTheme="minorEastAsia" w:cs="Times New Roman"/>
          <w:color w:val="000000"/>
          <w:sz w:val="24"/>
          <w:szCs w:val="24"/>
          <w:lang w:eastAsia="en-GB"/>
        </w:rPr>
        <w:t>.</w:t>
      </w:r>
    </w:p>
    <w:p w14:paraId="1D93C8A1" w14:textId="17DC61E8" w:rsidR="00716AA4" w:rsidRPr="002139EE" w:rsidRDefault="00716AA4" w:rsidP="00716AA4">
      <w:pPr>
        <w:spacing w:after="240" w:line="360" w:lineRule="atLeast"/>
        <w:rPr>
          <w:rFonts w:eastAsiaTheme="minorEastAsia" w:cs="Times New Roman"/>
          <w:color w:val="000000"/>
          <w:sz w:val="24"/>
          <w:szCs w:val="24"/>
          <w:lang w:eastAsia="en-GB"/>
        </w:rPr>
      </w:pPr>
      <w:r>
        <w:rPr>
          <w:rFonts w:eastAsiaTheme="minorEastAsia" w:cs="Times New Roman"/>
          <w:color w:val="000000"/>
          <w:sz w:val="24"/>
          <w:szCs w:val="24"/>
          <w:lang w:eastAsia="en-GB"/>
        </w:rPr>
        <w:t>(Accessed 01 March 2024).</w:t>
      </w:r>
    </w:p>
    <w:p w14:paraId="52FC89FD" w14:textId="2F245ABD" w:rsid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 xml:space="preserve">The National College (2017). What is Adaptive Teaching and Why is it so Important? [online] nationalcollege.com. Available at: </w:t>
      </w:r>
      <w:hyperlink r:id="rId20" w:anchor=":~:text=They%2527ll%2520all%2520do%2520the" w:history="1">
        <w:r w:rsidR="00716AA4" w:rsidRPr="002139EE">
          <w:rPr>
            <w:rStyle w:val="Hyperlink"/>
            <w:rFonts w:eastAsiaTheme="minorEastAsia" w:cs="Times New Roman"/>
            <w:sz w:val="24"/>
            <w:szCs w:val="24"/>
            <w:lang w:eastAsia="en-GB"/>
          </w:rPr>
          <w:t>https://nationalcollege.com/news/what-is-adaptive-teaching-and-why-is-it-so-important#:~:text=They%2527ll%2520all%2520do%2520the</w:t>
        </w:r>
      </w:hyperlink>
    </w:p>
    <w:p w14:paraId="0AA8BCF5" w14:textId="6100A214" w:rsidR="00716AA4" w:rsidRPr="002139EE" w:rsidRDefault="00716AA4" w:rsidP="00716AA4">
      <w:pPr>
        <w:spacing w:after="240" w:line="360" w:lineRule="atLeast"/>
        <w:rPr>
          <w:rFonts w:eastAsiaTheme="minorEastAsia" w:cs="Times New Roman"/>
          <w:color w:val="000000"/>
          <w:sz w:val="24"/>
          <w:szCs w:val="24"/>
          <w:lang w:eastAsia="en-GB"/>
        </w:rPr>
      </w:pPr>
      <w:r>
        <w:rPr>
          <w:rFonts w:eastAsiaTheme="minorEastAsia" w:cs="Times New Roman"/>
          <w:color w:val="000000"/>
          <w:sz w:val="24"/>
          <w:szCs w:val="24"/>
          <w:lang w:eastAsia="en-GB"/>
        </w:rPr>
        <w:t>(Accessed 07 March 2024).</w:t>
      </w:r>
    </w:p>
    <w:p w14:paraId="3D469A82" w14:textId="33B9F360" w:rsidR="002139EE" w:rsidRDefault="002139EE" w:rsidP="002139EE">
      <w:pPr>
        <w:spacing w:after="240" w:line="360" w:lineRule="atLeast"/>
        <w:divId w:val="215236848"/>
        <w:rPr>
          <w:rFonts w:eastAsiaTheme="minorEastAsia" w:cs="Times New Roman"/>
          <w:color w:val="000000"/>
          <w:sz w:val="24"/>
          <w:szCs w:val="24"/>
          <w:lang w:eastAsia="en-GB"/>
        </w:rPr>
      </w:pPr>
      <w:r w:rsidRPr="002139EE">
        <w:rPr>
          <w:rFonts w:eastAsiaTheme="minorEastAsia" w:cs="Times New Roman"/>
          <w:color w:val="000000"/>
          <w:sz w:val="24"/>
          <w:szCs w:val="24"/>
          <w:lang w:eastAsia="en-GB"/>
        </w:rPr>
        <w:t xml:space="preserve">Welsh Government (2022). Curriculum for Wales - </w:t>
      </w:r>
      <w:proofErr w:type="spellStart"/>
      <w:r w:rsidRPr="002139EE">
        <w:rPr>
          <w:rFonts w:eastAsiaTheme="minorEastAsia" w:cs="Times New Roman"/>
          <w:color w:val="000000"/>
          <w:sz w:val="24"/>
          <w:szCs w:val="24"/>
          <w:lang w:eastAsia="en-GB"/>
        </w:rPr>
        <w:t>Hwb</w:t>
      </w:r>
      <w:proofErr w:type="spellEnd"/>
      <w:r w:rsidRPr="002139EE">
        <w:rPr>
          <w:rFonts w:eastAsiaTheme="minorEastAsia" w:cs="Times New Roman"/>
          <w:color w:val="000000"/>
          <w:sz w:val="24"/>
          <w:szCs w:val="24"/>
          <w:lang w:eastAsia="en-GB"/>
        </w:rPr>
        <w:t xml:space="preserve">. [online] </w:t>
      </w:r>
      <w:proofErr w:type="spellStart"/>
      <w:r w:rsidRPr="002139EE">
        <w:rPr>
          <w:rFonts w:eastAsiaTheme="minorEastAsia" w:cs="Times New Roman"/>
          <w:color w:val="000000"/>
          <w:sz w:val="24"/>
          <w:szCs w:val="24"/>
          <w:lang w:eastAsia="en-GB"/>
        </w:rPr>
        <w:t>hwb.gov.wales</w:t>
      </w:r>
      <w:proofErr w:type="spellEnd"/>
      <w:r w:rsidRPr="002139EE">
        <w:rPr>
          <w:rFonts w:eastAsiaTheme="minorEastAsia" w:cs="Times New Roman"/>
          <w:color w:val="000000"/>
          <w:sz w:val="24"/>
          <w:szCs w:val="24"/>
          <w:lang w:eastAsia="en-GB"/>
        </w:rPr>
        <w:t xml:space="preserve">. Available at: </w:t>
      </w:r>
      <w:hyperlink r:id="rId21" w:history="1">
        <w:r w:rsidR="00716AA4" w:rsidRPr="002139EE">
          <w:rPr>
            <w:rStyle w:val="Hyperlink"/>
            <w:rFonts w:eastAsiaTheme="minorEastAsia" w:cs="Times New Roman"/>
            <w:sz w:val="24"/>
            <w:szCs w:val="24"/>
            <w:lang w:eastAsia="en-GB"/>
          </w:rPr>
          <w:t>https://hwb.gov.wales/curriculum-for-wales</w:t>
        </w:r>
      </w:hyperlink>
      <w:r w:rsidRPr="002139EE">
        <w:rPr>
          <w:rFonts w:eastAsiaTheme="minorEastAsia" w:cs="Times New Roman"/>
          <w:color w:val="000000"/>
          <w:sz w:val="24"/>
          <w:szCs w:val="24"/>
          <w:lang w:eastAsia="en-GB"/>
        </w:rPr>
        <w:t>.</w:t>
      </w:r>
    </w:p>
    <w:p w14:paraId="1C66FCBD" w14:textId="62654C11" w:rsidR="00D5210E" w:rsidRDefault="00716AA4" w:rsidP="000A4C30">
      <w:pPr>
        <w:spacing w:after="240" w:line="360" w:lineRule="atLeast"/>
        <w:rPr>
          <w:rFonts w:eastAsiaTheme="minorEastAsia" w:cs="Times New Roman"/>
          <w:color w:val="000000"/>
          <w:sz w:val="24"/>
          <w:szCs w:val="24"/>
          <w:lang w:eastAsia="en-GB"/>
        </w:rPr>
      </w:pPr>
      <w:r>
        <w:rPr>
          <w:rFonts w:eastAsiaTheme="minorEastAsia" w:cs="Times New Roman"/>
          <w:color w:val="000000"/>
          <w:sz w:val="24"/>
          <w:szCs w:val="24"/>
          <w:lang w:eastAsia="en-GB"/>
        </w:rPr>
        <w:t>(Accessed 07 March 2024).</w:t>
      </w:r>
    </w:p>
    <w:p w14:paraId="6324121F" w14:textId="77777777" w:rsidR="00D5210E" w:rsidRDefault="00D5210E">
      <w:pPr>
        <w:rPr>
          <w:rFonts w:eastAsiaTheme="minorEastAsia" w:cs="Times New Roman"/>
          <w:color w:val="000000"/>
          <w:sz w:val="24"/>
          <w:szCs w:val="24"/>
          <w:lang w:eastAsia="en-GB"/>
        </w:rPr>
      </w:pPr>
      <w:r>
        <w:rPr>
          <w:rFonts w:eastAsiaTheme="minorEastAsia" w:cs="Times New Roman"/>
          <w:color w:val="000000"/>
          <w:sz w:val="24"/>
          <w:szCs w:val="24"/>
          <w:lang w:eastAsia="en-GB"/>
        </w:rPr>
        <w:br w:type="page"/>
      </w:r>
    </w:p>
    <w:p w14:paraId="565051F7" w14:textId="35D1C88B" w:rsidR="00716AA4" w:rsidRDefault="00BF3268" w:rsidP="000A4C30">
      <w:pPr>
        <w:spacing w:after="240" w:line="360" w:lineRule="atLeast"/>
        <w:rPr>
          <w:rFonts w:eastAsiaTheme="minorEastAsia" w:cs="Times New Roman"/>
          <w:b/>
          <w:bCs/>
          <w:color w:val="000000"/>
          <w:sz w:val="24"/>
          <w:szCs w:val="24"/>
          <w:u w:val="single"/>
          <w:lang w:eastAsia="en-GB"/>
        </w:rPr>
      </w:pPr>
      <w:r>
        <w:rPr>
          <w:noProof/>
        </w:rPr>
        <w:lastRenderedPageBreak/>
        <w:drawing>
          <wp:anchor distT="0" distB="0" distL="114300" distR="114300" simplePos="0" relativeHeight="251659264" behindDoc="0" locked="0" layoutInCell="1" allowOverlap="1" wp14:anchorId="06F4CA48" wp14:editId="7B2F255F">
            <wp:simplePos x="0" y="0"/>
            <wp:positionH relativeFrom="column">
              <wp:posOffset>-123825</wp:posOffset>
            </wp:positionH>
            <wp:positionV relativeFrom="paragraph">
              <wp:posOffset>428625</wp:posOffset>
            </wp:positionV>
            <wp:extent cx="3409950" cy="2893695"/>
            <wp:effectExtent l="0" t="0" r="635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409950" cy="2893695"/>
                    </a:xfrm>
                    <a:prstGeom prst="rect">
                      <a:avLst/>
                    </a:prstGeom>
                  </pic:spPr>
                </pic:pic>
              </a:graphicData>
            </a:graphic>
            <wp14:sizeRelH relativeFrom="margin">
              <wp14:pctWidth>0</wp14:pctWidth>
            </wp14:sizeRelH>
            <wp14:sizeRelV relativeFrom="margin">
              <wp14:pctHeight>0</wp14:pctHeight>
            </wp14:sizeRelV>
          </wp:anchor>
        </w:drawing>
      </w:r>
      <w:r w:rsidR="00E27527">
        <w:rPr>
          <w:rFonts w:eastAsiaTheme="minorEastAsia" w:cs="Times New Roman"/>
          <w:b/>
          <w:bCs/>
          <w:color w:val="000000"/>
          <w:sz w:val="24"/>
          <w:szCs w:val="24"/>
          <w:u w:val="single"/>
          <w:lang w:eastAsia="en-GB"/>
        </w:rPr>
        <w:t>Appendix</w:t>
      </w:r>
    </w:p>
    <w:p w14:paraId="5A07167C" w14:textId="5A3B6939" w:rsidR="00716AA4" w:rsidRDefault="00BF3268" w:rsidP="002139EE">
      <w:pPr>
        <w:spacing w:after="240" w:line="360" w:lineRule="atLeast"/>
        <w:divId w:val="215236848"/>
        <w:rPr>
          <w:rFonts w:eastAsiaTheme="minorEastAsia" w:cs="Times New Roman"/>
          <w:color w:val="000000"/>
          <w:sz w:val="24"/>
          <w:szCs w:val="24"/>
          <w:lang w:eastAsia="en-GB"/>
        </w:rPr>
      </w:pPr>
      <w:r>
        <w:rPr>
          <w:rFonts w:eastAsiaTheme="minorEastAsia" w:cs="Times New Roman"/>
          <w:color w:val="000000"/>
          <w:sz w:val="24"/>
          <w:szCs w:val="24"/>
          <w:lang w:eastAsia="en-GB"/>
        </w:rPr>
        <w:t xml:space="preserve">Appendix 1 </w:t>
      </w:r>
      <w:r w:rsidR="00470D59">
        <w:rPr>
          <w:rFonts w:eastAsiaTheme="minorEastAsia" w:cs="Times New Roman"/>
          <w:color w:val="000000"/>
          <w:sz w:val="24"/>
          <w:szCs w:val="24"/>
          <w:lang w:eastAsia="en-GB"/>
        </w:rPr>
        <w:t>– 12 Pedagogical Principles.</w:t>
      </w:r>
    </w:p>
    <w:p w14:paraId="38F7BBD5" w14:textId="3FB6CA99" w:rsidR="000A5CA2" w:rsidRDefault="000A5CA2" w:rsidP="002139EE">
      <w:pPr>
        <w:spacing w:after="240" w:line="360" w:lineRule="atLeast"/>
        <w:divId w:val="215236848"/>
        <w:rPr>
          <w:rFonts w:eastAsiaTheme="minorEastAsia" w:cs="Times New Roman"/>
          <w:color w:val="000000"/>
          <w:sz w:val="24"/>
          <w:szCs w:val="24"/>
          <w:lang w:eastAsia="en-GB"/>
        </w:rPr>
      </w:pPr>
      <w:r>
        <w:rPr>
          <w:rFonts w:eastAsia="Times New Roman"/>
          <w:color w:val="000000"/>
        </w:rPr>
        <w:t>(Impact Wales, 2024)</w:t>
      </w:r>
    </w:p>
    <w:p w14:paraId="2EA106BA" w14:textId="77777777" w:rsidR="00470D59" w:rsidRPr="00BF3268" w:rsidRDefault="00470D59" w:rsidP="002139EE">
      <w:pPr>
        <w:spacing w:after="240" w:line="360" w:lineRule="atLeast"/>
        <w:divId w:val="215236848"/>
        <w:rPr>
          <w:rFonts w:eastAsiaTheme="minorEastAsia" w:cs="Times New Roman"/>
          <w:color w:val="000000"/>
          <w:sz w:val="24"/>
          <w:szCs w:val="24"/>
          <w:lang w:eastAsia="en-GB"/>
        </w:rPr>
      </w:pPr>
    </w:p>
    <w:p w14:paraId="3A54B93C" w14:textId="77777777" w:rsidR="002139EE" w:rsidRPr="002139EE" w:rsidRDefault="002139EE" w:rsidP="598E1898">
      <w:pPr>
        <w:spacing w:after="0"/>
        <w:ind w:left="-20" w:right="-20"/>
        <w:rPr>
          <w:rFonts w:eastAsia="Calibri" w:cs="Calibri"/>
          <w:color w:val="0E101A"/>
          <w:sz w:val="24"/>
          <w:szCs w:val="24"/>
        </w:rPr>
      </w:pPr>
    </w:p>
    <w:sectPr w:rsidR="002139EE" w:rsidRPr="002139E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quot;Courier New&quot;">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Me2gnaHqBhFQ6j" int2:id="yHgQDCay">
      <int2:state int2:value="Rejected" int2:type="AugLoop_Text_Critique"/>
    </int2:textHash>
    <int2:textHash int2:hashCode="NFAkMoQHy4BMsl" int2:id="C4IvuZ0u">
      <int2:state int2:value="Rejected" int2:type="AugLoop_Text_Critique"/>
    </int2:textHash>
    <int2:textHash int2:hashCode="+TMAvG75hU3G25" int2:id="NsMDovbh">
      <int2:state int2:value="Rejected" int2:type="AugLoop_Text_Critique"/>
    </int2:textHash>
    <int2:textHash int2:hashCode="kFafeHqOH15PpK" int2:id="EoecdvJ2">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B7F85"/>
    <w:multiLevelType w:val="hybridMultilevel"/>
    <w:tmpl w:val="FFFFFFFF"/>
    <w:lvl w:ilvl="0" w:tplc="57408DF4">
      <w:start w:val="1"/>
      <w:numFmt w:val="bullet"/>
      <w:lvlText w:val="o"/>
      <w:lvlJc w:val="left"/>
      <w:pPr>
        <w:ind w:left="720" w:hanging="360"/>
      </w:pPr>
      <w:rPr>
        <w:rFonts w:ascii="&quot;Courier New&quot;" w:hAnsi="&quot;Courier New&quot;" w:hint="default"/>
      </w:rPr>
    </w:lvl>
    <w:lvl w:ilvl="1" w:tplc="76CCD1B0">
      <w:start w:val="1"/>
      <w:numFmt w:val="bullet"/>
      <w:lvlText w:val="o"/>
      <w:lvlJc w:val="left"/>
      <w:pPr>
        <w:ind w:left="1440" w:hanging="360"/>
      </w:pPr>
      <w:rPr>
        <w:rFonts w:ascii="Courier New" w:hAnsi="Courier New" w:hint="default"/>
      </w:rPr>
    </w:lvl>
    <w:lvl w:ilvl="2" w:tplc="ECE2487A">
      <w:start w:val="1"/>
      <w:numFmt w:val="bullet"/>
      <w:lvlText w:val=""/>
      <w:lvlJc w:val="left"/>
      <w:pPr>
        <w:ind w:left="2160" w:hanging="360"/>
      </w:pPr>
      <w:rPr>
        <w:rFonts w:ascii="Wingdings" w:hAnsi="Wingdings" w:hint="default"/>
      </w:rPr>
    </w:lvl>
    <w:lvl w:ilvl="3" w:tplc="0622CA18">
      <w:start w:val="1"/>
      <w:numFmt w:val="bullet"/>
      <w:lvlText w:val=""/>
      <w:lvlJc w:val="left"/>
      <w:pPr>
        <w:ind w:left="2880" w:hanging="360"/>
      </w:pPr>
      <w:rPr>
        <w:rFonts w:ascii="Symbol" w:hAnsi="Symbol" w:hint="default"/>
      </w:rPr>
    </w:lvl>
    <w:lvl w:ilvl="4" w:tplc="9FDEB486">
      <w:start w:val="1"/>
      <w:numFmt w:val="bullet"/>
      <w:lvlText w:val="o"/>
      <w:lvlJc w:val="left"/>
      <w:pPr>
        <w:ind w:left="3600" w:hanging="360"/>
      </w:pPr>
      <w:rPr>
        <w:rFonts w:ascii="Courier New" w:hAnsi="Courier New" w:hint="default"/>
      </w:rPr>
    </w:lvl>
    <w:lvl w:ilvl="5" w:tplc="0D667F50">
      <w:start w:val="1"/>
      <w:numFmt w:val="bullet"/>
      <w:lvlText w:val=""/>
      <w:lvlJc w:val="left"/>
      <w:pPr>
        <w:ind w:left="4320" w:hanging="360"/>
      </w:pPr>
      <w:rPr>
        <w:rFonts w:ascii="Wingdings" w:hAnsi="Wingdings" w:hint="default"/>
      </w:rPr>
    </w:lvl>
    <w:lvl w:ilvl="6" w:tplc="97F89C66">
      <w:start w:val="1"/>
      <w:numFmt w:val="bullet"/>
      <w:lvlText w:val=""/>
      <w:lvlJc w:val="left"/>
      <w:pPr>
        <w:ind w:left="5040" w:hanging="360"/>
      </w:pPr>
      <w:rPr>
        <w:rFonts w:ascii="Symbol" w:hAnsi="Symbol" w:hint="default"/>
      </w:rPr>
    </w:lvl>
    <w:lvl w:ilvl="7" w:tplc="9DA8DB9E">
      <w:start w:val="1"/>
      <w:numFmt w:val="bullet"/>
      <w:lvlText w:val="o"/>
      <w:lvlJc w:val="left"/>
      <w:pPr>
        <w:ind w:left="5760" w:hanging="360"/>
      </w:pPr>
      <w:rPr>
        <w:rFonts w:ascii="Courier New" w:hAnsi="Courier New" w:hint="default"/>
      </w:rPr>
    </w:lvl>
    <w:lvl w:ilvl="8" w:tplc="FC0286FC">
      <w:start w:val="1"/>
      <w:numFmt w:val="bullet"/>
      <w:lvlText w:val=""/>
      <w:lvlJc w:val="left"/>
      <w:pPr>
        <w:ind w:left="6480" w:hanging="360"/>
      </w:pPr>
      <w:rPr>
        <w:rFonts w:ascii="Wingdings" w:hAnsi="Wingdings" w:hint="default"/>
      </w:rPr>
    </w:lvl>
  </w:abstractNum>
  <w:abstractNum w:abstractNumId="1" w15:restartNumberingAfterBreak="0">
    <w:nsid w:val="1C191B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E92B2F"/>
    <w:multiLevelType w:val="hybridMultilevel"/>
    <w:tmpl w:val="FFFFFFFF"/>
    <w:lvl w:ilvl="0" w:tplc="CCEE3B04">
      <w:start w:val="1"/>
      <w:numFmt w:val="decimal"/>
      <w:lvlText w:val="%1."/>
      <w:lvlJc w:val="left"/>
      <w:pPr>
        <w:ind w:left="720" w:hanging="360"/>
      </w:pPr>
      <w:rPr>
        <w:rFonts w:ascii="Calibri" w:hAnsi="Calibri" w:hint="default"/>
      </w:rPr>
    </w:lvl>
    <w:lvl w:ilvl="1" w:tplc="87402E58">
      <w:start w:val="1"/>
      <w:numFmt w:val="lowerLetter"/>
      <w:lvlText w:val="%2."/>
      <w:lvlJc w:val="left"/>
      <w:pPr>
        <w:ind w:left="1440" w:hanging="360"/>
      </w:pPr>
    </w:lvl>
    <w:lvl w:ilvl="2" w:tplc="4F3C2E5A">
      <w:start w:val="1"/>
      <w:numFmt w:val="lowerRoman"/>
      <w:lvlText w:val="%3."/>
      <w:lvlJc w:val="right"/>
      <w:pPr>
        <w:ind w:left="2160" w:hanging="180"/>
      </w:pPr>
    </w:lvl>
    <w:lvl w:ilvl="3" w:tplc="95D6AD9C">
      <w:start w:val="1"/>
      <w:numFmt w:val="decimal"/>
      <w:lvlText w:val="%4."/>
      <w:lvlJc w:val="left"/>
      <w:pPr>
        <w:ind w:left="2880" w:hanging="360"/>
      </w:pPr>
    </w:lvl>
    <w:lvl w:ilvl="4" w:tplc="E8D02A7C">
      <w:start w:val="1"/>
      <w:numFmt w:val="lowerLetter"/>
      <w:lvlText w:val="%5."/>
      <w:lvlJc w:val="left"/>
      <w:pPr>
        <w:ind w:left="3600" w:hanging="360"/>
      </w:pPr>
    </w:lvl>
    <w:lvl w:ilvl="5" w:tplc="3316350C">
      <w:start w:val="1"/>
      <w:numFmt w:val="lowerRoman"/>
      <w:lvlText w:val="%6."/>
      <w:lvlJc w:val="right"/>
      <w:pPr>
        <w:ind w:left="4320" w:hanging="180"/>
      </w:pPr>
    </w:lvl>
    <w:lvl w:ilvl="6" w:tplc="6546C688">
      <w:start w:val="1"/>
      <w:numFmt w:val="decimal"/>
      <w:lvlText w:val="%7."/>
      <w:lvlJc w:val="left"/>
      <w:pPr>
        <w:ind w:left="5040" w:hanging="360"/>
      </w:pPr>
    </w:lvl>
    <w:lvl w:ilvl="7" w:tplc="E946AD8C">
      <w:start w:val="1"/>
      <w:numFmt w:val="lowerLetter"/>
      <w:lvlText w:val="%8."/>
      <w:lvlJc w:val="left"/>
      <w:pPr>
        <w:ind w:left="5760" w:hanging="360"/>
      </w:pPr>
    </w:lvl>
    <w:lvl w:ilvl="8" w:tplc="7C4616A0">
      <w:start w:val="1"/>
      <w:numFmt w:val="lowerRoman"/>
      <w:lvlText w:val="%9."/>
      <w:lvlJc w:val="right"/>
      <w:pPr>
        <w:ind w:left="6480" w:hanging="180"/>
      </w:pPr>
    </w:lvl>
  </w:abstractNum>
  <w:abstractNum w:abstractNumId="3" w15:restartNumberingAfterBreak="0">
    <w:nsid w:val="298F11C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293086"/>
    <w:multiLevelType w:val="hybridMultilevel"/>
    <w:tmpl w:val="FFFFFFFF"/>
    <w:lvl w:ilvl="0" w:tplc="4BCC2DE4">
      <w:start w:val="1"/>
      <w:numFmt w:val="bullet"/>
      <w:lvlText w:val="-"/>
      <w:lvlJc w:val="left"/>
      <w:pPr>
        <w:ind w:left="720" w:hanging="360"/>
      </w:pPr>
      <w:rPr>
        <w:rFonts w:ascii="Calibri" w:hAnsi="Calibri" w:hint="default"/>
      </w:rPr>
    </w:lvl>
    <w:lvl w:ilvl="1" w:tplc="FA44A342">
      <w:start w:val="1"/>
      <w:numFmt w:val="bullet"/>
      <w:lvlText w:val="o"/>
      <w:lvlJc w:val="left"/>
      <w:pPr>
        <w:ind w:left="1440" w:hanging="360"/>
      </w:pPr>
      <w:rPr>
        <w:rFonts w:ascii="Courier New" w:hAnsi="Courier New" w:hint="default"/>
      </w:rPr>
    </w:lvl>
    <w:lvl w:ilvl="2" w:tplc="BC383FDA">
      <w:start w:val="1"/>
      <w:numFmt w:val="bullet"/>
      <w:lvlText w:val=""/>
      <w:lvlJc w:val="left"/>
      <w:pPr>
        <w:ind w:left="2160" w:hanging="360"/>
      </w:pPr>
      <w:rPr>
        <w:rFonts w:ascii="Wingdings" w:hAnsi="Wingdings" w:hint="default"/>
      </w:rPr>
    </w:lvl>
    <w:lvl w:ilvl="3" w:tplc="01D0C38A">
      <w:start w:val="1"/>
      <w:numFmt w:val="bullet"/>
      <w:lvlText w:val=""/>
      <w:lvlJc w:val="left"/>
      <w:pPr>
        <w:ind w:left="2880" w:hanging="360"/>
      </w:pPr>
      <w:rPr>
        <w:rFonts w:ascii="Symbol" w:hAnsi="Symbol" w:hint="default"/>
      </w:rPr>
    </w:lvl>
    <w:lvl w:ilvl="4" w:tplc="1C5C4126">
      <w:start w:val="1"/>
      <w:numFmt w:val="bullet"/>
      <w:lvlText w:val="o"/>
      <w:lvlJc w:val="left"/>
      <w:pPr>
        <w:ind w:left="3600" w:hanging="360"/>
      </w:pPr>
      <w:rPr>
        <w:rFonts w:ascii="Courier New" w:hAnsi="Courier New" w:hint="default"/>
      </w:rPr>
    </w:lvl>
    <w:lvl w:ilvl="5" w:tplc="B2BA34D0">
      <w:start w:val="1"/>
      <w:numFmt w:val="bullet"/>
      <w:lvlText w:val=""/>
      <w:lvlJc w:val="left"/>
      <w:pPr>
        <w:ind w:left="4320" w:hanging="360"/>
      </w:pPr>
      <w:rPr>
        <w:rFonts w:ascii="Wingdings" w:hAnsi="Wingdings" w:hint="default"/>
      </w:rPr>
    </w:lvl>
    <w:lvl w:ilvl="6" w:tplc="9D20701C">
      <w:start w:val="1"/>
      <w:numFmt w:val="bullet"/>
      <w:lvlText w:val=""/>
      <w:lvlJc w:val="left"/>
      <w:pPr>
        <w:ind w:left="5040" w:hanging="360"/>
      </w:pPr>
      <w:rPr>
        <w:rFonts w:ascii="Symbol" w:hAnsi="Symbol" w:hint="default"/>
      </w:rPr>
    </w:lvl>
    <w:lvl w:ilvl="7" w:tplc="4D2C21BC">
      <w:start w:val="1"/>
      <w:numFmt w:val="bullet"/>
      <w:lvlText w:val="o"/>
      <w:lvlJc w:val="left"/>
      <w:pPr>
        <w:ind w:left="5760" w:hanging="360"/>
      </w:pPr>
      <w:rPr>
        <w:rFonts w:ascii="Courier New" w:hAnsi="Courier New" w:hint="default"/>
      </w:rPr>
    </w:lvl>
    <w:lvl w:ilvl="8" w:tplc="848EAF50">
      <w:start w:val="1"/>
      <w:numFmt w:val="bullet"/>
      <w:lvlText w:val=""/>
      <w:lvlJc w:val="left"/>
      <w:pPr>
        <w:ind w:left="6480" w:hanging="360"/>
      </w:pPr>
      <w:rPr>
        <w:rFonts w:ascii="Wingdings" w:hAnsi="Wingdings" w:hint="default"/>
      </w:rPr>
    </w:lvl>
  </w:abstractNum>
  <w:abstractNum w:abstractNumId="5" w15:restartNumberingAfterBreak="0">
    <w:nsid w:val="4C0C0214"/>
    <w:multiLevelType w:val="hybridMultilevel"/>
    <w:tmpl w:val="FFFFFFFF"/>
    <w:lvl w:ilvl="0" w:tplc="AB2C25D4">
      <w:start w:val="1"/>
      <w:numFmt w:val="bullet"/>
      <w:lvlText w:val="o"/>
      <w:lvlJc w:val="left"/>
      <w:pPr>
        <w:ind w:left="720" w:hanging="360"/>
      </w:pPr>
      <w:rPr>
        <w:rFonts w:ascii="&quot;Courier New&quot;" w:hAnsi="&quot;Courier New&quot;" w:hint="default"/>
      </w:rPr>
    </w:lvl>
    <w:lvl w:ilvl="1" w:tplc="9B30FB92">
      <w:start w:val="1"/>
      <w:numFmt w:val="bullet"/>
      <w:lvlText w:val="o"/>
      <w:lvlJc w:val="left"/>
      <w:pPr>
        <w:ind w:left="1440" w:hanging="360"/>
      </w:pPr>
      <w:rPr>
        <w:rFonts w:ascii="Courier New" w:hAnsi="Courier New" w:hint="default"/>
      </w:rPr>
    </w:lvl>
    <w:lvl w:ilvl="2" w:tplc="D13A4E1A">
      <w:start w:val="1"/>
      <w:numFmt w:val="bullet"/>
      <w:lvlText w:val=""/>
      <w:lvlJc w:val="left"/>
      <w:pPr>
        <w:ind w:left="2160" w:hanging="360"/>
      </w:pPr>
      <w:rPr>
        <w:rFonts w:ascii="Wingdings" w:hAnsi="Wingdings" w:hint="default"/>
      </w:rPr>
    </w:lvl>
    <w:lvl w:ilvl="3" w:tplc="9F9A441E">
      <w:start w:val="1"/>
      <w:numFmt w:val="bullet"/>
      <w:lvlText w:val=""/>
      <w:lvlJc w:val="left"/>
      <w:pPr>
        <w:ind w:left="2880" w:hanging="360"/>
      </w:pPr>
      <w:rPr>
        <w:rFonts w:ascii="Symbol" w:hAnsi="Symbol" w:hint="default"/>
      </w:rPr>
    </w:lvl>
    <w:lvl w:ilvl="4" w:tplc="B638F87A">
      <w:start w:val="1"/>
      <w:numFmt w:val="bullet"/>
      <w:lvlText w:val="o"/>
      <w:lvlJc w:val="left"/>
      <w:pPr>
        <w:ind w:left="3600" w:hanging="360"/>
      </w:pPr>
      <w:rPr>
        <w:rFonts w:ascii="Courier New" w:hAnsi="Courier New" w:hint="default"/>
      </w:rPr>
    </w:lvl>
    <w:lvl w:ilvl="5" w:tplc="0E1244BC">
      <w:start w:val="1"/>
      <w:numFmt w:val="bullet"/>
      <w:lvlText w:val=""/>
      <w:lvlJc w:val="left"/>
      <w:pPr>
        <w:ind w:left="4320" w:hanging="360"/>
      </w:pPr>
      <w:rPr>
        <w:rFonts w:ascii="Wingdings" w:hAnsi="Wingdings" w:hint="default"/>
      </w:rPr>
    </w:lvl>
    <w:lvl w:ilvl="6" w:tplc="2CDC4EA8">
      <w:start w:val="1"/>
      <w:numFmt w:val="bullet"/>
      <w:lvlText w:val=""/>
      <w:lvlJc w:val="left"/>
      <w:pPr>
        <w:ind w:left="5040" w:hanging="360"/>
      </w:pPr>
      <w:rPr>
        <w:rFonts w:ascii="Symbol" w:hAnsi="Symbol" w:hint="default"/>
      </w:rPr>
    </w:lvl>
    <w:lvl w:ilvl="7" w:tplc="13723D32">
      <w:start w:val="1"/>
      <w:numFmt w:val="bullet"/>
      <w:lvlText w:val="o"/>
      <w:lvlJc w:val="left"/>
      <w:pPr>
        <w:ind w:left="5760" w:hanging="360"/>
      </w:pPr>
      <w:rPr>
        <w:rFonts w:ascii="Courier New" w:hAnsi="Courier New" w:hint="default"/>
      </w:rPr>
    </w:lvl>
    <w:lvl w:ilvl="8" w:tplc="EFCE489C">
      <w:start w:val="1"/>
      <w:numFmt w:val="bullet"/>
      <w:lvlText w:val=""/>
      <w:lvlJc w:val="left"/>
      <w:pPr>
        <w:ind w:left="6480" w:hanging="360"/>
      </w:pPr>
      <w:rPr>
        <w:rFonts w:ascii="Wingdings" w:hAnsi="Wingdings" w:hint="default"/>
      </w:rPr>
    </w:lvl>
  </w:abstractNum>
  <w:abstractNum w:abstractNumId="6" w15:restartNumberingAfterBreak="0">
    <w:nsid w:val="4C94B68C"/>
    <w:multiLevelType w:val="hybridMultilevel"/>
    <w:tmpl w:val="FFFFFFFF"/>
    <w:lvl w:ilvl="0" w:tplc="A03219F0">
      <w:start w:val="1"/>
      <w:numFmt w:val="bullet"/>
      <w:lvlText w:val=""/>
      <w:lvlJc w:val="left"/>
      <w:pPr>
        <w:ind w:left="720" w:hanging="360"/>
      </w:pPr>
      <w:rPr>
        <w:rFonts w:ascii="Symbol" w:hAnsi="Symbol" w:hint="default"/>
      </w:rPr>
    </w:lvl>
    <w:lvl w:ilvl="1" w:tplc="57E8B7EC">
      <w:start w:val="1"/>
      <w:numFmt w:val="bullet"/>
      <w:lvlText w:val="o"/>
      <w:lvlJc w:val="left"/>
      <w:pPr>
        <w:ind w:left="1440" w:hanging="360"/>
      </w:pPr>
      <w:rPr>
        <w:rFonts w:ascii="Courier New" w:hAnsi="Courier New" w:hint="default"/>
      </w:rPr>
    </w:lvl>
    <w:lvl w:ilvl="2" w:tplc="78D63476">
      <w:start w:val="1"/>
      <w:numFmt w:val="bullet"/>
      <w:lvlText w:val=""/>
      <w:lvlJc w:val="left"/>
      <w:pPr>
        <w:ind w:left="2160" w:hanging="360"/>
      </w:pPr>
      <w:rPr>
        <w:rFonts w:ascii="Wingdings" w:hAnsi="Wingdings" w:hint="default"/>
      </w:rPr>
    </w:lvl>
    <w:lvl w:ilvl="3" w:tplc="F19CA5AC">
      <w:start w:val="1"/>
      <w:numFmt w:val="bullet"/>
      <w:lvlText w:val=""/>
      <w:lvlJc w:val="left"/>
      <w:pPr>
        <w:ind w:left="2880" w:hanging="360"/>
      </w:pPr>
      <w:rPr>
        <w:rFonts w:ascii="Symbol" w:hAnsi="Symbol" w:hint="default"/>
      </w:rPr>
    </w:lvl>
    <w:lvl w:ilvl="4" w:tplc="358CB4B6">
      <w:start w:val="1"/>
      <w:numFmt w:val="bullet"/>
      <w:lvlText w:val="o"/>
      <w:lvlJc w:val="left"/>
      <w:pPr>
        <w:ind w:left="3600" w:hanging="360"/>
      </w:pPr>
      <w:rPr>
        <w:rFonts w:ascii="Courier New" w:hAnsi="Courier New" w:hint="default"/>
      </w:rPr>
    </w:lvl>
    <w:lvl w:ilvl="5" w:tplc="50DCA1BE">
      <w:start w:val="1"/>
      <w:numFmt w:val="bullet"/>
      <w:lvlText w:val=""/>
      <w:lvlJc w:val="left"/>
      <w:pPr>
        <w:ind w:left="4320" w:hanging="360"/>
      </w:pPr>
      <w:rPr>
        <w:rFonts w:ascii="Wingdings" w:hAnsi="Wingdings" w:hint="default"/>
      </w:rPr>
    </w:lvl>
    <w:lvl w:ilvl="6" w:tplc="89A6173A">
      <w:start w:val="1"/>
      <w:numFmt w:val="bullet"/>
      <w:lvlText w:val=""/>
      <w:lvlJc w:val="left"/>
      <w:pPr>
        <w:ind w:left="5040" w:hanging="360"/>
      </w:pPr>
      <w:rPr>
        <w:rFonts w:ascii="Symbol" w:hAnsi="Symbol" w:hint="default"/>
      </w:rPr>
    </w:lvl>
    <w:lvl w:ilvl="7" w:tplc="5F1C1C6E">
      <w:start w:val="1"/>
      <w:numFmt w:val="bullet"/>
      <w:lvlText w:val="o"/>
      <w:lvlJc w:val="left"/>
      <w:pPr>
        <w:ind w:left="5760" w:hanging="360"/>
      </w:pPr>
      <w:rPr>
        <w:rFonts w:ascii="Courier New" w:hAnsi="Courier New" w:hint="default"/>
      </w:rPr>
    </w:lvl>
    <w:lvl w:ilvl="8" w:tplc="EB20E58C">
      <w:start w:val="1"/>
      <w:numFmt w:val="bullet"/>
      <w:lvlText w:val=""/>
      <w:lvlJc w:val="left"/>
      <w:pPr>
        <w:ind w:left="6480" w:hanging="360"/>
      </w:pPr>
      <w:rPr>
        <w:rFonts w:ascii="Wingdings" w:hAnsi="Wingdings" w:hint="default"/>
      </w:rPr>
    </w:lvl>
  </w:abstractNum>
  <w:abstractNum w:abstractNumId="7" w15:restartNumberingAfterBreak="0">
    <w:nsid w:val="4CD67804"/>
    <w:multiLevelType w:val="hybridMultilevel"/>
    <w:tmpl w:val="FFFFFFFF"/>
    <w:lvl w:ilvl="0" w:tplc="9022D5F0">
      <w:start w:val="2"/>
      <w:numFmt w:val="decimal"/>
      <w:lvlText w:val="%1."/>
      <w:lvlJc w:val="left"/>
      <w:pPr>
        <w:ind w:left="720" w:hanging="360"/>
      </w:pPr>
      <w:rPr>
        <w:rFonts w:ascii="Calibri" w:hAnsi="Calibri" w:hint="default"/>
      </w:rPr>
    </w:lvl>
    <w:lvl w:ilvl="1" w:tplc="E1868BDA">
      <w:start w:val="1"/>
      <w:numFmt w:val="lowerLetter"/>
      <w:lvlText w:val="%2."/>
      <w:lvlJc w:val="left"/>
      <w:pPr>
        <w:ind w:left="1440" w:hanging="360"/>
      </w:pPr>
    </w:lvl>
    <w:lvl w:ilvl="2" w:tplc="D456A792">
      <w:start w:val="1"/>
      <w:numFmt w:val="lowerRoman"/>
      <w:lvlText w:val="%3."/>
      <w:lvlJc w:val="right"/>
      <w:pPr>
        <w:ind w:left="2160" w:hanging="180"/>
      </w:pPr>
    </w:lvl>
    <w:lvl w:ilvl="3" w:tplc="38A8F778">
      <w:start w:val="1"/>
      <w:numFmt w:val="decimal"/>
      <w:lvlText w:val="%4."/>
      <w:lvlJc w:val="left"/>
      <w:pPr>
        <w:ind w:left="2880" w:hanging="360"/>
      </w:pPr>
    </w:lvl>
    <w:lvl w:ilvl="4" w:tplc="7EF4E00A">
      <w:start w:val="1"/>
      <w:numFmt w:val="lowerLetter"/>
      <w:lvlText w:val="%5."/>
      <w:lvlJc w:val="left"/>
      <w:pPr>
        <w:ind w:left="3600" w:hanging="360"/>
      </w:pPr>
    </w:lvl>
    <w:lvl w:ilvl="5" w:tplc="6C7EBB5E">
      <w:start w:val="1"/>
      <w:numFmt w:val="lowerRoman"/>
      <w:lvlText w:val="%6."/>
      <w:lvlJc w:val="right"/>
      <w:pPr>
        <w:ind w:left="4320" w:hanging="180"/>
      </w:pPr>
    </w:lvl>
    <w:lvl w:ilvl="6" w:tplc="8690AAF0">
      <w:start w:val="1"/>
      <w:numFmt w:val="decimal"/>
      <w:lvlText w:val="%7."/>
      <w:lvlJc w:val="left"/>
      <w:pPr>
        <w:ind w:left="5040" w:hanging="360"/>
      </w:pPr>
    </w:lvl>
    <w:lvl w:ilvl="7" w:tplc="62DAB4F2">
      <w:start w:val="1"/>
      <w:numFmt w:val="lowerLetter"/>
      <w:lvlText w:val="%8."/>
      <w:lvlJc w:val="left"/>
      <w:pPr>
        <w:ind w:left="5760" w:hanging="360"/>
      </w:pPr>
    </w:lvl>
    <w:lvl w:ilvl="8" w:tplc="18F4B1F2">
      <w:start w:val="1"/>
      <w:numFmt w:val="lowerRoman"/>
      <w:lvlText w:val="%9."/>
      <w:lvlJc w:val="right"/>
      <w:pPr>
        <w:ind w:left="6480" w:hanging="180"/>
      </w:pPr>
    </w:lvl>
  </w:abstractNum>
  <w:abstractNum w:abstractNumId="8" w15:restartNumberingAfterBreak="0">
    <w:nsid w:val="5E4924F7"/>
    <w:multiLevelType w:val="hybridMultilevel"/>
    <w:tmpl w:val="FFFFFFFF"/>
    <w:lvl w:ilvl="0" w:tplc="536481A0">
      <w:start w:val="1"/>
      <w:numFmt w:val="bullet"/>
      <w:lvlText w:val="o"/>
      <w:lvlJc w:val="left"/>
      <w:pPr>
        <w:ind w:left="720" w:hanging="360"/>
      </w:pPr>
      <w:rPr>
        <w:rFonts w:ascii="&quot;Courier New&quot;" w:hAnsi="&quot;Courier New&quot;" w:hint="default"/>
      </w:rPr>
    </w:lvl>
    <w:lvl w:ilvl="1" w:tplc="5D5E4A1E">
      <w:start w:val="1"/>
      <w:numFmt w:val="bullet"/>
      <w:lvlText w:val="o"/>
      <w:lvlJc w:val="left"/>
      <w:pPr>
        <w:ind w:left="1440" w:hanging="360"/>
      </w:pPr>
      <w:rPr>
        <w:rFonts w:ascii="Courier New" w:hAnsi="Courier New" w:hint="default"/>
      </w:rPr>
    </w:lvl>
    <w:lvl w:ilvl="2" w:tplc="B6BA7D9C">
      <w:start w:val="1"/>
      <w:numFmt w:val="bullet"/>
      <w:lvlText w:val=""/>
      <w:lvlJc w:val="left"/>
      <w:pPr>
        <w:ind w:left="2160" w:hanging="360"/>
      </w:pPr>
      <w:rPr>
        <w:rFonts w:ascii="Wingdings" w:hAnsi="Wingdings" w:hint="default"/>
      </w:rPr>
    </w:lvl>
    <w:lvl w:ilvl="3" w:tplc="3424919A">
      <w:start w:val="1"/>
      <w:numFmt w:val="bullet"/>
      <w:lvlText w:val=""/>
      <w:lvlJc w:val="left"/>
      <w:pPr>
        <w:ind w:left="2880" w:hanging="360"/>
      </w:pPr>
      <w:rPr>
        <w:rFonts w:ascii="Symbol" w:hAnsi="Symbol" w:hint="default"/>
      </w:rPr>
    </w:lvl>
    <w:lvl w:ilvl="4" w:tplc="25360F74">
      <w:start w:val="1"/>
      <w:numFmt w:val="bullet"/>
      <w:lvlText w:val="o"/>
      <w:lvlJc w:val="left"/>
      <w:pPr>
        <w:ind w:left="3600" w:hanging="360"/>
      </w:pPr>
      <w:rPr>
        <w:rFonts w:ascii="Courier New" w:hAnsi="Courier New" w:hint="default"/>
      </w:rPr>
    </w:lvl>
    <w:lvl w:ilvl="5" w:tplc="29307CC2">
      <w:start w:val="1"/>
      <w:numFmt w:val="bullet"/>
      <w:lvlText w:val=""/>
      <w:lvlJc w:val="left"/>
      <w:pPr>
        <w:ind w:left="4320" w:hanging="360"/>
      </w:pPr>
      <w:rPr>
        <w:rFonts w:ascii="Wingdings" w:hAnsi="Wingdings" w:hint="default"/>
      </w:rPr>
    </w:lvl>
    <w:lvl w:ilvl="6" w:tplc="A436232E">
      <w:start w:val="1"/>
      <w:numFmt w:val="bullet"/>
      <w:lvlText w:val=""/>
      <w:lvlJc w:val="left"/>
      <w:pPr>
        <w:ind w:left="5040" w:hanging="360"/>
      </w:pPr>
      <w:rPr>
        <w:rFonts w:ascii="Symbol" w:hAnsi="Symbol" w:hint="default"/>
      </w:rPr>
    </w:lvl>
    <w:lvl w:ilvl="7" w:tplc="23E679DE">
      <w:start w:val="1"/>
      <w:numFmt w:val="bullet"/>
      <w:lvlText w:val="o"/>
      <w:lvlJc w:val="left"/>
      <w:pPr>
        <w:ind w:left="5760" w:hanging="360"/>
      </w:pPr>
      <w:rPr>
        <w:rFonts w:ascii="Courier New" w:hAnsi="Courier New" w:hint="default"/>
      </w:rPr>
    </w:lvl>
    <w:lvl w:ilvl="8" w:tplc="B12C8976">
      <w:start w:val="1"/>
      <w:numFmt w:val="bullet"/>
      <w:lvlText w:val=""/>
      <w:lvlJc w:val="left"/>
      <w:pPr>
        <w:ind w:left="6480" w:hanging="360"/>
      </w:pPr>
      <w:rPr>
        <w:rFonts w:ascii="Wingdings" w:hAnsi="Wingdings" w:hint="default"/>
      </w:rPr>
    </w:lvl>
  </w:abstractNum>
  <w:abstractNum w:abstractNumId="9" w15:restartNumberingAfterBreak="0">
    <w:nsid w:val="63086DC6"/>
    <w:multiLevelType w:val="hybridMultilevel"/>
    <w:tmpl w:val="FFFFFFFF"/>
    <w:lvl w:ilvl="0" w:tplc="37E0F9A0">
      <w:start w:val="1"/>
      <w:numFmt w:val="bullet"/>
      <w:lvlText w:val="-"/>
      <w:lvlJc w:val="left"/>
      <w:pPr>
        <w:ind w:left="720" w:hanging="360"/>
      </w:pPr>
      <w:rPr>
        <w:rFonts w:ascii="Calibri" w:hAnsi="Calibri" w:hint="default"/>
      </w:rPr>
    </w:lvl>
    <w:lvl w:ilvl="1" w:tplc="05A87D68">
      <w:start w:val="1"/>
      <w:numFmt w:val="bullet"/>
      <w:lvlText w:val="o"/>
      <w:lvlJc w:val="left"/>
      <w:pPr>
        <w:ind w:left="1440" w:hanging="360"/>
      </w:pPr>
      <w:rPr>
        <w:rFonts w:ascii="Courier New" w:hAnsi="Courier New" w:hint="default"/>
      </w:rPr>
    </w:lvl>
    <w:lvl w:ilvl="2" w:tplc="69F69CDE">
      <w:start w:val="1"/>
      <w:numFmt w:val="bullet"/>
      <w:lvlText w:val=""/>
      <w:lvlJc w:val="left"/>
      <w:pPr>
        <w:ind w:left="2160" w:hanging="360"/>
      </w:pPr>
      <w:rPr>
        <w:rFonts w:ascii="Wingdings" w:hAnsi="Wingdings" w:hint="default"/>
      </w:rPr>
    </w:lvl>
    <w:lvl w:ilvl="3" w:tplc="59269064">
      <w:start w:val="1"/>
      <w:numFmt w:val="bullet"/>
      <w:lvlText w:val=""/>
      <w:lvlJc w:val="left"/>
      <w:pPr>
        <w:ind w:left="2880" w:hanging="360"/>
      </w:pPr>
      <w:rPr>
        <w:rFonts w:ascii="Symbol" w:hAnsi="Symbol" w:hint="default"/>
      </w:rPr>
    </w:lvl>
    <w:lvl w:ilvl="4" w:tplc="C2CA5986">
      <w:start w:val="1"/>
      <w:numFmt w:val="bullet"/>
      <w:lvlText w:val="o"/>
      <w:lvlJc w:val="left"/>
      <w:pPr>
        <w:ind w:left="3600" w:hanging="360"/>
      </w:pPr>
      <w:rPr>
        <w:rFonts w:ascii="Courier New" w:hAnsi="Courier New" w:hint="default"/>
      </w:rPr>
    </w:lvl>
    <w:lvl w:ilvl="5" w:tplc="E1FAE6DC">
      <w:start w:val="1"/>
      <w:numFmt w:val="bullet"/>
      <w:lvlText w:val=""/>
      <w:lvlJc w:val="left"/>
      <w:pPr>
        <w:ind w:left="4320" w:hanging="360"/>
      </w:pPr>
      <w:rPr>
        <w:rFonts w:ascii="Wingdings" w:hAnsi="Wingdings" w:hint="default"/>
      </w:rPr>
    </w:lvl>
    <w:lvl w:ilvl="6" w:tplc="2ACC3A74">
      <w:start w:val="1"/>
      <w:numFmt w:val="bullet"/>
      <w:lvlText w:val=""/>
      <w:lvlJc w:val="left"/>
      <w:pPr>
        <w:ind w:left="5040" w:hanging="360"/>
      </w:pPr>
      <w:rPr>
        <w:rFonts w:ascii="Symbol" w:hAnsi="Symbol" w:hint="default"/>
      </w:rPr>
    </w:lvl>
    <w:lvl w:ilvl="7" w:tplc="C82E1C70">
      <w:start w:val="1"/>
      <w:numFmt w:val="bullet"/>
      <w:lvlText w:val="o"/>
      <w:lvlJc w:val="left"/>
      <w:pPr>
        <w:ind w:left="5760" w:hanging="360"/>
      </w:pPr>
      <w:rPr>
        <w:rFonts w:ascii="Courier New" w:hAnsi="Courier New" w:hint="default"/>
      </w:rPr>
    </w:lvl>
    <w:lvl w:ilvl="8" w:tplc="4DE4B65C">
      <w:start w:val="1"/>
      <w:numFmt w:val="bullet"/>
      <w:lvlText w:val=""/>
      <w:lvlJc w:val="left"/>
      <w:pPr>
        <w:ind w:left="6480" w:hanging="360"/>
      </w:pPr>
      <w:rPr>
        <w:rFonts w:ascii="Wingdings" w:hAnsi="Wingdings" w:hint="default"/>
      </w:rPr>
    </w:lvl>
  </w:abstractNum>
  <w:abstractNum w:abstractNumId="10" w15:restartNumberingAfterBreak="0">
    <w:nsid w:val="6E093B3E"/>
    <w:multiLevelType w:val="hybridMultilevel"/>
    <w:tmpl w:val="FFFFFFFF"/>
    <w:lvl w:ilvl="0" w:tplc="648E29F8">
      <w:start w:val="1"/>
      <w:numFmt w:val="bullet"/>
      <w:lvlText w:val="-"/>
      <w:lvlJc w:val="left"/>
      <w:pPr>
        <w:ind w:left="720" w:hanging="360"/>
      </w:pPr>
      <w:rPr>
        <w:rFonts w:ascii="Calibri" w:hAnsi="Calibri" w:hint="default"/>
      </w:rPr>
    </w:lvl>
    <w:lvl w:ilvl="1" w:tplc="599E8E82">
      <w:start w:val="1"/>
      <w:numFmt w:val="bullet"/>
      <w:lvlText w:val="o"/>
      <w:lvlJc w:val="left"/>
      <w:pPr>
        <w:ind w:left="1440" w:hanging="360"/>
      </w:pPr>
      <w:rPr>
        <w:rFonts w:ascii="Courier New" w:hAnsi="Courier New" w:hint="default"/>
      </w:rPr>
    </w:lvl>
    <w:lvl w:ilvl="2" w:tplc="AB267124">
      <w:start w:val="1"/>
      <w:numFmt w:val="bullet"/>
      <w:lvlText w:val=""/>
      <w:lvlJc w:val="left"/>
      <w:pPr>
        <w:ind w:left="2160" w:hanging="360"/>
      </w:pPr>
      <w:rPr>
        <w:rFonts w:ascii="Wingdings" w:hAnsi="Wingdings" w:hint="default"/>
      </w:rPr>
    </w:lvl>
    <w:lvl w:ilvl="3" w:tplc="0C5C83CA">
      <w:start w:val="1"/>
      <w:numFmt w:val="bullet"/>
      <w:lvlText w:val=""/>
      <w:lvlJc w:val="left"/>
      <w:pPr>
        <w:ind w:left="2880" w:hanging="360"/>
      </w:pPr>
      <w:rPr>
        <w:rFonts w:ascii="Symbol" w:hAnsi="Symbol" w:hint="default"/>
      </w:rPr>
    </w:lvl>
    <w:lvl w:ilvl="4" w:tplc="6A409138">
      <w:start w:val="1"/>
      <w:numFmt w:val="bullet"/>
      <w:lvlText w:val="o"/>
      <w:lvlJc w:val="left"/>
      <w:pPr>
        <w:ind w:left="3600" w:hanging="360"/>
      </w:pPr>
      <w:rPr>
        <w:rFonts w:ascii="Courier New" w:hAnsi="Courier New" w:hint="default"/>
      </w:rPr>
    </w:lvl>
    <w:lvl w:ilvl="5" w:tplc="8E62C0C8">
      <w:start w:val="1"/>
      <w:numFmt w:val="bullet"/>
      <w:lvlText w:val=""/>
      <w:lvlJc w:val="left"/>
      <w:pPr>
        <w:ind w:left="4320" w:hanging="360"/>
      </w:pPr>
      <w:rPr>
        <w:rFonts w:ascii="Wingdings" w:hAnsi="Wingdings" w:hint="default"/>
      </w:rPr>
    </w:lvl>
    <w:lvl w:ilvl="6" w:tplc="59E28BE8">
      <w:start w:val="1"/>
      <w:numFmt w:val="bullet"/>
      <w:lvlText w:val=""/>
      <w:lvlJc w:val="left"/>
      <w:pPr>
        <w:ind w:left="5040" w:hanging="360"/>
      </w:pPr>
      <w:rPr>
        <w:rFonts w:ascii="Symbol" w:hAnsi="Symbol" w:hint="default"/>
      </w:rPr>
    </w:lvl>
    <w:lvl w:ilvl="7" w:tplc="CE7CF3C8">
      <w:start w:val="1"/>
      <w:numFmt w:val="bullet"/>
      <w:lvlText w:val="o"/>
      <w:lvlJc w:val="left"/>
      <w:pPr>
        <w:ind w:left="5760" w:hanging="360"/>
      </w:pPr>
      <w:rPr>
        <w:rFonts w:ascii="Courier New" w:hAnsi="Courier New" w:hint="default"/>
      </w:rPr>
    </w:lvl>
    <w:lvl w:ilvl="8" w:tplc="DE3C4612">
      <w:start w:val="1"/>
      <w:numFmt w:val="bullet"/>
      <w:lvlText w:val=""/>
      <w:lvlJc w:val="left"/>
      <w:pPr>
        <w:ind w:left="6480" w:hanging="360"/>
      </w:pPr>
      <w:rPr>
        <w:rFonts w:ascii="Wingdings" w:hAnsi="Wingdings" w:hint="default"/>
      </w:rPr>
    </w:lvl>
  </w:abstractNum>
  <w:num w:numId="1" w16cid:durableId="396822822">
    <w:abstractNumId w:val="7"/>
  </w:num>
  <w:num w:numId="2" w16cid:durableId="739212643">
    <w:abstractNumId w:val="2"/>
  </w:num>
  <w:num w:numId="3" w16cid:durableId="555166150">
    <w:abstractNumId w:val="10"/>
  </w:num>
  <w:num w:numId="4" w16cid:durableId="2065719156">
    <w:abstractNumId w:val="4"/>
  </w:num>
  <w:num w:numId="5" w16cid:durableId="2145846359">
    <w:abstractNumId w:val="9"/>
  </w:num>
  <w:num w:numId="6" w16cid:durableId="819075021">
    <w:abstractNumId w:val="5"/>
  </w:num>
  <w:num w:numId="7" w16cid:durableId="418137471">
    <w:abstractNumId w:val="8"/>
  </w:num>
  <w:num w:numId="8" w16cid:durableId="1111820170">
    <w:abstractNumId w:val="0"/>
  </w:num>
  <w:num w:numId="9" w16cid:durableId="1060636594">
    <w:abstractNumId w:val="6"/>
  </w:num>
  <w:num w:numId="10" w16cid:durableId="1110321588">
    <w:abstractNumId w:val="1"/>
  </w:num>
  <w:num w:numId="11" w16cid:durableId="12656513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8AB563"/>
    <w:rsid w:val="00020B4F"/>
    <w:rsid w:val="00026DCA"/>
    <w:rsid w:val="00063551"/>
    <w:rsid w:val="000721DE"/>
    <w:rsid w:val="00092637"/>
    <w:rsid w:val="000A5CA2"/>
    <w:rsid w:val="0012761D"/>
    <w:rsid w:val="00180CDD"/>
    <w:rsid w:val="002139EE"/>
    <w:rsid w:val="002278B5"/>
    <w:rsid w:val="002A0747"/>
    <w:rsid w:val="00333C8B"/>
    <w:rsid w:val="003B5495"/>
    <w:rsid w:val="003C3E83"/>
    <w:rsid w:val="003D61E5"/>
    <w:rsid w:val="003F7A80"/>
    <w:rsid w:val="00435FE5"/>
    <w:rsid w:val="00470D59"/>
    <w:rsid w:val="0049364A"/>
    <w:rsid w:val="005311D7"/>
    <w:rsid w:val="00584691"/>
    <w:rsid w:val="00627E6D"/>
    <w:rsid w:val="006C6354"/>
    <w:rsid w:val="00703809"/>
    <w:rsid w:val="00716AA4"/>
    <w:rsid w:val="008020FC"/>
    <w:rsid w:val="00911FB9"/>
    <w:rsid w:val="009F64B2"/>
    <w:rsid w:val="00AE72F5"/>
    <w:rsid w:val="00B439BE"/>
    <w:rsid w:val="00BC7F72"/>
    <w:rsid w:val="00BD2941"/>
    <w:rsid w:val="00BF3268"/>
    <w:rsid w:val="00BF5E53"/>
    <w:rsid w:val="00C15CDB"/>
    <w:rsid w:val="00CE3A69"/>
    <w:rsid w:val="00D5210E"/>
    <w:rsid w:val="00D92EE6"/>
    <w:rsid w:val="00DD7D42"/>
    <w:rsid w:val="00E27527"/>
    <w:rsid w:val="00F55DCD"/>
    <w:rsid w:val="055E75E9"/>
    <w:rsid w:val="0A31E70C"/>
    <w:rsid w:val="0AA3938D"/>
    <w:rsid w:val="0BCDB76D"/>
    <w:rsid w:val="0CDF4510"/>
    <w:rsid w:val="14F3283E"/>
    <w:rsid w:val="1C163CBF"/>
    <w:rsid w:val="1DA29085"/>
    <w:rsid w:val="20FF6615"/>
    <w:rsid w:val="227CD97D"/>
    <w:rsid w:val="243CCCB5"/>
    <w:rsid w:val="25D89D16"/>
    <w:rsid w:val="26D55278"/>
    <w:rsid w:val="2897B9F7"/>
    <w:rsid w:val="29103DD8"/>
    <w:rsid w:val="2AFA4E14"/>
    <w:rsid w:val="2D8D2183"/>
    <w:rsid w:val="30F0BAB3"/>
    <w:rsid w:val="370E8AED"/>
    <w:rsid w:val="3A2CB6A6"/>
    <w:rsid w:val="40C21A70"/>
    <w:rsid w:val="40CBB5A8"/>
    <w:rsid w:val="41BD13D7"/>
    <w:rsid w:val="445A51B1"/>
    <w:rsid w:val="46F21151"/>
    <w:rsid w:val="48EAA967"/>
    <w:rsid w:val="49F412DC"/>
    <w:rsid w:val="4A4B4640"/>
    <w:rsid w:val="4AC71AF6"/>
    <w:rsid w:val="540A04FD"/>
    <w:rsid w:val="55A5D55E"/>
    <w:rsid w:val="56173F22"/>
    <w:rsid w:val="577BDC39"/>
    <w:rsid w:val="578AB563"/>
    <w:rsid w:val="590CF391"/>
    <w:rsid w:val="598E1898"/>
    <w:rsid w:val="5A941910"/>
    <w:rsid w:val="5ADA536E"/>
    <w:rsid w:val="5DE16A90"/>
    <w:rsid w:val="608B4A79"/>
    <w:rsid w:val="60CAAB3B"/>
    <w:rsid w:val="61D4CB91"/>
    <w:rsid w:val="687612CB"/>
    <w:rsid w:val="6A11E32C"/>
    <w:rsid w:val="6CF18AB4"/>
    <w:rsid w:val="6DD79D31"/>
    <w:rsid w:val="704B3D89"/>
    <w:rsid w:val="7095032C"/>
    <w:rsid w:val="74B3A99B"/>
    <w:rsid w:val="775EDD8B"/>
    <w:rsid w:val="7A4C5E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AB563"/>
  <w15:chartTrackingRefBased/>
  <w15:docId w15:val="{C0747576-2E02-4B20-956C-B55B12AD6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AA3938D"/>
    <w:rPr>
      <w:lang w:val="en-GB"/>
    </w:rPr>
  </w:style>
  <w:style w:type="paragraph" w:styleId="Heading1">
    <w:name w:val="heading 1"/>
    <w:basedOn w:val="Normal"/>
    <w:next w:val="Normal"/>
    <w:link w:val="Heading1Char"/>
    <w:uiPriority w:val="9"/>
    <w:qFormat/>
    <w:rsid w:val="0AA393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AA393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AA3938D"/>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AA3938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AA3938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AA3938D"/>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AA3938D"/>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AA3938D"/>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AA3938D"/>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AA3938D"/>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AA3938D"/>
    <w:rPr>
      <w:rFonts w:eastAsiaTheme="minorEastAsia"/>
      <w:color w:val="5A5A5A"/>
    </w:rPr>
  </w:style>
  <w:style w:type="paragraph" w:styleId="Quote">
    <w:name w:val="Quote"/>
    <w:basedOn w:val="Normal"/>
    <w:next w:val="Normal"/>
    <w:link w:val="QuoteChar"/>
    <w:uiPriority w:val="29"/>
    <w:qFormat/>
    <w:rsid w:val="0AA3938D"/>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AA3938D"/>
    <w:pPr>
      <w:spacing w:before="360" w:after="360"/>
      <w:ind w:left="864" w:right="864"/>
      <w:jc w:val="center"/>
    </w:pPr>
    <w:rPr>
      <w:i/>
      <w:iCs/>
      <w:color w:val="4472C4" w:themeColor="accent1"/>
    </w:rPr>
  </w:style>
  <w:style w:type="paragraph" w:styleId="ListParagraph">
    <w:name w:val="List Paragraph"/>
    <w:basedOn w:val="Normal"/>
    <w:uiPriority w:val="34"/>
    <w:qFormat/>
    <w:rsid w:val="0AA3938D"/>
    <w:pPr>
      <w:ind w:left="720"/>
      <w:contextualSpacing/>
    </w:pPr>
  </w:style>
  <w:style w:type="character" w:customStyle="1" w:styleId="Heading1Char">
    <w:name w:val="Heading 1 Char"/>
    <w:basedOn w:val="DefaultParagraphFont"/>
    <w:link w:val="Heading1"/>
    <w:uiPriority w:val="9"/>
    <w:rsid w:val="0AA3938D"/>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0AA3938D"/>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0AA3938D"/>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0AA3938D"/>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0AA3938D"/>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0AA3938D"/>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0AA3938D"/>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0AA3938D"/>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0AA3938D"/>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0AA3938D"/>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0AA3938D"/>
    <w:rPr>
      <w:rFonts w:eastAsiaTheme="minorEastAsia"/>
      <w:color w:val="5A5A5A"/>
      <w:lang w:val="en-GB"/>
    </w:rPr>
  </w:style>
  <w:style w:type="character" w:customStyle="1" w:styleId="QuoteChar">
    <w:name w:val="Quote Char"/>
    <w:basedOn w:val="DefaultParagraphFont"/>
    <w:link w:val="Quote"/>
    <w:uiPriority w:val="29"/>
    <w:rsid w:val="0AA3938D"/>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0AA3938D"/>
    <w:rPr>
      <w:i/>
      <w:iCs/>
      <w:noProof w:val="0"/>
      <w:color w:val="4472C4" w:themeColor="accent1"/>
      <w:lang w:val="en-GB"/>
    </w:rPr>
  </w:style>
  <w:style w:type="paragraph" w:styleId="TOC1">
    <w:name w:val="toc 1"/>
    <w:basedOn w:val="Normal"/>
    <w:next w:val="Normal"/>
    <w:uiPriority w:val="39"/>
    <w:unhideWhenUsed/>
    <w:rsid w:val="0AA3938D"/>
    <w:pPr>
      <w:spacing w:after="100"/>
    </w:pPr>
  </w:style>
  <w:style w:type="paragraph" w:styleId="TOC2">
    <w:name w:val="toc 2"/>
    <w:basedOn w:val="Normal"/>
    <w:next w:val="Normal"/>
    <w:uiPriority w:val="39"/>
    <w:unhideWhenUsed/>
    <w:rsid w:val="0AA3938D"/>
    <w:pPr>
      <w:spacing w:after="100"/>
      <w:ind w:left="220"/>
    </w:pPr>
  </w:style>
  <w:style w:type="paragraph" w:styleId="TOC3">
    <w:name w:val="toc 3"/>
    <w:basedOn w:val="Normal"/>
    <w:next w:val="Normal"/>
    <w:uiPriority w:val="39"/>
    <w:unhideWhenUsed/>
    <w:rsid w:val="0AA3938D"/>
    <w:pPr>
      <w:spacing w:after="100"/>
      <w:ind w:left="440"/>
    </w:pPr>
  </w:style>
  <w:style w:type="paragraph" w:styleId="TOC4">
    <w:name w:val="toc 4"/>
    <w:basedOn w:val="Normal"/>
    <w:next w:val="Normal"/>
    <w:uiPriority w:val="39"/>
    <w:unhideWhenUsed/>
    <w:rsid w:val="0AA3938D"/>
    <w:pPr>
      <w:spacing w:after="100"/>
      <w:ind w:left="660"/>
    </w:pPr>
  </w:style>
  <w:style w:type="paragraph" w:styleId="TOC5">
    <w:name w:val="toc 5"/>
    <w:basedOn w:val="Normal"/>
    <w:next w:val="Normal"/>
    <w:uiPriority w:val="39"/>
    <w:unhideWhenUsed/>
    <w:rsid w:val="0AA3938D"/>
    <w:pPr>
      <w:spacing w:after="100"/>
      <w:ind w:left="880"/>
    </w:pPr>
  </w:style>
  <w:style w:type="paragraph" w:styleId="TOC6">
    <w:name w:val="toc 6"/>
    <w:basedOn w:val="Normal"/>
    <w:next w:val="Normal"/>
    <w:uiPriority w:val="39"/>
    <w:unhideWhenUsed/>
    <w:rsid w:val="0AA3938D"/>
    <w:pPr>
      <w:spacing w:after="100"/>
      <w:ind w:left="1100"/>
    </w:pPr>
  </w:style>
  <w:style w:type="paragraph" w:styleId="TOC7">
    <w:name w:val="toc 7"/>
    <w:basedOn w:val="Normal"/>
    <w:next w:val="Normal"/>
    <w:uiPriority w:val="39"/>
    <w:unhideWhenUsed/>
    <w:rsid w:val="0AA3938D"/>
    <w:pPr>
      <w:spacing w:after="100"/>
      <w:ind w:left="1320"/>
    </w:pPr>
  </w:style>
  <w:style w:type="paragraph" w:styleId="TOC8">
    <w:name w:val="toc 8"/>
    <w:basedOn w:val="Normal"/>
    <w:next w:val="Normal"/>
    <w:uiPriority w:val="39"/>
    <w:unhideWhenUsed/>
    <w:rsid w:val="0AA3938D"/>
    <w:pPr>
      <w:spacing w:after="100"/>
      <w:ind w:left="1540"/>
    </w:pPr>
  </w:style>
  <w:style w:type="paragraph" w:styleId="TOC9">
    <w:name w:val="toc 9"/>
    <w:basedOn w:val="Normal"/>
    <w:next w:val="Normal"/>
    <w:uiPriority w:val="39"/>
    <w:unhideWhenUsed/>
    <w:rsid w:val="0AA3938D"/>
    <w:pPr>
      <w:spacing w:after="100"/>
      <w:ind w:left="1760"/>
    </w:pPr>
  </w:style>
  <w:style w:type="paragraph" w:styleId="EndnoteText">
    <w:name w:val="endnote text"/>
    <w:basedOn w:val="Normal"/>
    <w:link w:val="EndnoteTextChar"/>
    <w:uiPriority w:val="99"/>
    <w:semiHidden/>
    <w:unhideWhenUsed/>
    <w:rsid w:val="0AA3938D"/>
    <w:pPr>
      <w:spacing w:after="0"/>
    </w:pPr>
    <w:rPr>
      <w:sz w:val="20"/>
      <w:szCs w:val="20"/>
    </w:rPr>
  </w:style>
  <w:style w:type="character" w:customStyle="1" w:styleId="EndnoteTextChar">
    <w:name w:val="Endnote Text Char"/>
    <w:basedOn w:val="DefaultParagraphFont"/>
    <w:link w:val="EndnoteText"/>
    <w:uiPriority w:val="99"/>
    <w:semiHidden/>
    <w:rsid w:val="0AA3938D"/>
    <w:rPr>
      <w:noProof w:val="0"/>
      <w:sz w:val="20"/>
      <w:szCs w:val="20"/>
      <w:lang w:val="en-GB"/>
    </w:rPr>
  </w:style>
  <w:style w:type="paragraph" w:styleId="Footer">
    <w:name w:val="footer"/>
    <w:basedOn w:val="Normal"/>
    <w:link w:val="FooterChar"/>
    <w:uiPriority w:val="99"/>
    <w:unhideWhenUsed/>
    <w:rsid w:val="0AA3938D"/>
    <w:pPr>
      <w:tabs>
        <w:tab w:val="center" w:pos="4680"/>
        <w:tab w:val="right" w:pos="9360"/>
      </w:tabs>
      <w:spacing w:after="0"/>
    </w:pPr>
  </w:style>
  <w:style w:type="character" w:customStyle="1" w:styleId="FooterChar">
    <w:name w:val="Footer Char"/>
    <w:basedOn w:val="DefaultParagraphFont"/>
    <w:link w:val="Footer"/>
    <w:uiPriority w:val="99"/>
    <w:rsid w:val="0AA3938D"/>
    <w:rPr>
      <w:noProof w:val="0"/>
      <w:lang w:val="en-GB"/>
    </w:rPr>
  </w:style>
  <w:style w:type="paragraph" w:styleId="FootnoteText">
    <w:name w:val="footnote text"/>
    <w:basedOn w:val="Normal"/>
    <w:link w:val="FootnoteTextChar"/>
    <w:uiPriority w:val="99"/>
    <w:semiHidden/>
    <w:unhideWhenUsed/>
    <w:rsid w:val="0AA3938D"/>
    <w:pPr>
      <w:spacing w:after="0"/>
    </w:pPr>
    <w:rPr>
      <w:sz w:val="20"/>
      <w:szCs w:val="20"/>
    </w:rPr>
  </w:style>
  <w:style w:type="character" w:customStyle="1" w:styleId="FootnoteTextChar">
    <w:name w:val="Footnote Text Char"/>
    <w:basedOn w:val="DefaultParagraphFont"/>
    <w:link w:val="FootnoteText"/>
    <w:uiPriority w:val="99"/>
    <w:semiHidden/>
    <w:rsid w:val="0AA3938D"/>
    <w:rPr>
      <w:noProof w:val="0"/>
      <w:sz w:val="20"/>
      <w:szCs w:val="20"/>
      <w:lang w:val="en-GB"/>
    </w:rPr>
  </w:style>
  <w:style w:type="paragraph" w:styleId="Header">
    <w:name w:val="header"/>
    <w:basedOn w:val="Normal"/>
    <w:link w:val="HeaderChar"/>
    <w:uiPriority w:val="99"/>
    <w:unhideWhenUsed/>
    <w:rsid w:val="0AA3938D"/>
    <w:pPr>
      <w:tabs>
        <w:tab w:val="center" w:pos="4680"/>
        <w:tab w:val="right" w:pos="9360"/>
      </w:tabs>
      <w:spacing w:after="0"/>
    </w:pPr>
  </w:style>
  <w:style w:type="character" w:customStyle="1" w:styleId="HeaderChar">
    <w:name w:val="Header Char"/>
    <w:basedOn w:val="DefaultParagraphFont"/>
    <w:link w:val="Header"/>
    <w:uiPriority w:val="99"/>
    <w:rsid w:val="0AA3938D"/>
    <w:rPr>
      <w:noProof w:val="0"/>
      <w:lang w:val="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3F7A80"/>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Strong">
    <w:name w:val="Strong"/>
    <w:basedOn w:val="DefaultParagraphFont"/>
    <w:uiPriority w:val="22"/>
    <w:qFormat/>
    <w:rsid w:val="003F7A80"/>
    <w:rPr>
      <w:b/>
      <w:bCs/>
    </w:rPr>
  </w:style>
  <w:style w:type="character" w:customStyle="1" w:styleId="apple-converted-space">
    <w:name w:val="apple-converted-space"/>
    <w:basedOn w:val="DefaultParagraphFont"/>
    <w:rsid w:val="002139EE"/>
  </w:style>
  <w:style w:type="character" w:styleId="UnresolvedMention">
    <w:name w:val="Unresolved Mention"/>
    <w:basedOn w:val="DefaultParagraphFont"/>
    <w:uiPriority w:val="99"/>
    <w:semiHidden/>
    <w:unhideWhenUsed/>
    <w:rsid w:val="002139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6508290">
      <w:bodyDiv w:val="1"/>
      <w:marLeft w:val="0"/>
      <w:marRight w:val="0"/>
      <w:marTop w:val="0"/>
      <w:marBottom w:val="0"/>
      <w:divBdr>
        <w:top w:val="none" w:sz="0" w:space="0" w:color="auto"/>
        <w:left w:val="none" w:sz="0" w:space="0" w:color="auto"/>
        <w:bottom w:val="none" w:sz="0" w:space="0" w:color="auto"/>
        <w:right w:val="none" w:sz="0" w:space="0" w:color="auto"/>
      </w:divBdr>
    </w:div>
    <w:div w:id="1665401411">
      <w:bodyDiv w:val="1"/>
      <w:marLeft w:val="0"/>
      <w:marRight w:val="0"/>
      <w:marTop w:val="0"/>
      <w:marBottom w:val="0"/>
      <w:divBdr>
        <w:top w:val="none" w:sz="0" w:space="0" w:color="auto"/>
        <w:left w:val="none" w:sz="0" w:space="0" w:color="auto"/>
        <w:bottom w:val="none" w:sz="0" w:space="0" w:color="auto"/>
        <w:right w:val="none" w:sz="0" w:space="0" w:color="auto"/>
      </w:divBdr>
      <w:divsChild>
        <w:div w:id="2152368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uccessful-futures.pdf" TargetMode="External"/><Relationship Id="rId13" Type="http://schemas.openxmlformats.org/officeDocument/2006/relationships/hyperlink" Target="https://educate-group.co.uk/2019/09/24/what-you-need-to-know-about-the-donaldson-report/" TargetMode="External"/><Relationship Id="rId18" Type="http://schemas.openxmlformats.org/officeDocument/2006/relationships/hyperlink" Target="https://www.aft.org/sites/default/files/Rosenshine.pdf" TargetMode="External"/><Relationship Id="rId3" Type="http://schemas.openxmlformats.org/officeDocument/2006/relationships/settings" Target="settings.xml"/><Relationship Id="rId21" Type="http://schemas.openxmlformats.org/officeDocument/2006/relationships/hyperlink" Target="https://hwb.gov.wales/curriculum-for-wales" TargetMode="External"/><Relationship Id="rId7" Type="http://schemas.openxmlformats.org/officeDocument/2006/relationships/hyperlink" Target="https://www.researchgate.net/publication/274313611_An_Introduction_to_Cross-Curricular_Learning" TargetMode="External"/><Relationship Id="rId12" Type="http://schemas.openxmlformats.org/officeDocument/2006/relationships/hyperlink" Target="https://www.gov.wales/education-changing?utm_source=google&amp;utm_medium=cpc&amp;utm_campaign=rse&amp;gad_source=1&amp;gclid=CjwKCAiA0bWvBhBjEiwAtEsoW3mu-i1xo4z4SQKIDrD95UFYltdKtsezl6ez4DqO7EsNJFdks_-rohoCnHoQAvD_BwE" TargetMode="External"/><Relationship Id="rId17" Type="http://schemas.openxmlformats.org/officeDocument/2006/relationships/hyperlink" Target="https://kinderly.co.uk/2022/06/07/a-new-curriculum-for-wales-2022-all-you-need-to-know/" TargetMode="External"/><Relationship Id="rId25"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d1wqtxts1xzle7.cloudfront.net/69818633/CDE_812_Curriculum_Models-libre.pdf?1631908965=&amp;response-content-disposition=inline%3B+filename%3DBruners_Curriculum_Model_Spiral_Curricul.pdf&amp;Expires=1710347005&amp;Signature=Ohth6YUIEBIYLz2ssDbmRHR~rFuRNWnxKmHTs1ku-9Jf6ohwWCEyRB9se1jnRWgG6FZhdq-ul1YrOb6az3y52hXRFNbow6f8N-9DlRW03cDmPTDn2rkB-Lvz5nDtxSpPt6oVp6w2ZtJM-TN8erxJxHBZzYHitBqjpKnn4q-JlyXQs48FosvO9z5~rT0rxlG73gPoYkhHw~mPKBHIkJO~qULxfl2Pz2EpMJUaoNdE0dA76LcAj87QKVv9Q1T-ucC3NCaQlfUouy3vMQWV4H-wANPdZyRuVw3b2SpzHPVNMh95RIWC3Yc00NTO5DFfRVvAlwcsRtobUHb9WXl4XI7Xtg__&amp;Key-Pair-Id=APKAJLOHF5GGSLRBV4ZA" TargetMode="External"/><Relationship Id="rId20" Type="http://schemas.openxmlformats.org/officeDocument/2006/relationships/hyperlink" Target="https://nationalcollege.com/news/what-is-adaptive-teaching-and-why-is-it-so-important" TargetMode="External"/><Relationship Id="rId1" Type="http://schemas.openxmlformats.org/officeDocument/2006/relationships/numbering" Target="numbering.xml"/><Relationship Id="rId6" Type="http://schemas.openxmlformats.org/officeDocument/2006/relationships/hyperlink" Target="https://mrjoneswhiteboard.blog/2021/07/26/e-d-hirschs-views-on-the-curriculum-popular-but-perpetually-problematic/" TargetMode="External"/><Relationship Id="rId11" Type="http://schemas.openxmlformats.org/officeDocument/2006/relationships/hyperlink" Target="https://www.gov.wales/written-statement-announcement-pioneer-schools" TargetMode="External"/><Relationship Id="rId24" Type="http://schemas.openxmlformats.org/officeDocument/2006/relationships/theme" Target="theme/theme1.xml"/><Relationship Id="rId5" Type="http://schemas.openxmlformats.org/officeDocument/2006/relationships/hyperlink" Target="https://hwb.gov.wales/curriculum-for-wales/designing-your-curriculum/pedagogy/" TargetMode="External"/><Relationship Id="rId15" Type="http://schemas.openxmlformats.org/officeDocument/2006/relationships/hyperlink" Target="https://www.oecd.org/pisa/pisa-2015-United-Kingdom.pdf" TargetMode="External"/><Relationship Id="rId23" Type="http://schemas.openxmlformats.org/officeDocument/2006/relationships/fontTable" Target="fontTable.xml"/><Relationship Id="rId10" Type="http://schemas.openxmlformats.org/officeDocument/2006/relationships/hyperlink" Target="https://equaleducationpartners.com/blog/curriculum-for-wales-the-four-purposes/" TargetMode="External"/><Relationship Id="rId19" Type="http://schemas.openxmlformats.org/officeDocument/2006/relationships/hyperlink" Target="https://www.gov.scot/publications/evaluation-impact-implementation-teaching-scotlands-future/pages/3/" TargetMode="External"/><Relationship Id="rId4" Type="http://schemas.openxmlformats.org/officeDocument/2006/relationships/webSettings" Target="webSettings.xml"/><Relationship Id="rId9" Type="http://schemas.openxmlformats.org/officeDocument/2006/relationships/hyperlink" Target="https://www.earlyyears.wales/en/foundation-learning" TargetMode="External"/><Relationship Id="rId14" Type="http://schemas.openxmlformats.org/officeDocument/2006/relationships/hyperlink" Target="https://solportal.ibe-unesco.org/articles/building-knowledge-and-understanding/" TargetMode="External"/><Relationship Id="rId22"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11</Pages>
  <Words>4306</Words>
  <Characters>24546</Characters>
  <Application>Microsoft Office Word</Application>
  <DocSecurity>0</DocSecurity>
  <Lines>204</Lines>
  <Paragraphs>57</Paragraphs>
  <ScaleCrop>false</ScaleCrop>
  <Company/>
  <LinksUpToDate>false</LinksUpToDate>
  <CharactersWithSpaces>28795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Howell (2308966)</dc:creator>
  <cp:keywords/>
  <dc:description/>
  <cp:lastModifiedBy>Charlotte Howell (2308966)</cp:lastModifiedBy>
  <cp:revision>36</cp:revision>
  <dcterms:created xsi:type="dcterms:W3CDTF">2024-03-10T14:07:00Z</dcterms:created>
  <dcterms:modified xsi:type="dcterms:W3CDTF">2024-03-18T15:36:00Z</dcterms:modified>
</cp:coreProperties>
</file>