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51A62" w14:textId="77777777" w:rsidR="00566503" w:rsidRPr="00DB4200" w:rsidRDefault="00566503" w:rsidP="00DB4200">
      <w:pPr>
        <w:spacing w:line="360" w:lineRule="auto"/>
        <w:jc w:val="center"/>
        <w:rPr>
          <w:rFonts w:ascii="Arial" w:hAnsi="Arial" w:cs="Arial"/>
          <w:b/>
          <w:bCs/>
          <w:sz w:val="24"/>
          <w:szCs w:val="24"/>
          <w:u w:val="single"/>
        </w:rPr>
      </w:pPr>
      <w:proofErr w:type="spellStart"/>
      <w:r w:rsidRPr="00DB4200">
        <w:rPr>
          <w:rFonts w:ascii="Arial" w:hAnsi="Arial" w:cs="Arial"/>
          <w:b/>
          <w:bCs/>
          <w:sz w:val="24"/>
          <w:szCs w:val="24"/>
          <w:u w:val="single"/>
        </w:rPr>
        <w:t>Lusharnia</w:t>
      </w:r>
      <w:proofErr w:type="spellEnd"/>
      <w:r w:rsidRPr="00DB4200">
        <w:rPr>
          <w:rFonts w:ascii="Arial" w:hAnsi="Arial" w:cs="Arial"/>
          <w:b/>
          <w:bCs/>
          <w:sz w:val="24"/>
          <w:szCs w:val="24"/>
          <w:u w:val="single"/>
        </w:rPr>
        <w:t xml:space="preserve"> Gordon</w:t>
      </w:r>
    </w:p>
    <w:p w14:paraId="4E722A1F" w14:textId="77777777" w:rsidR="00566503" w:rsidRPr="00DB4200" w:rsidRDefault="00566503" w:rsidP="00DB4200">
      <w:pPr>
        <w:spacing w:line="360" w:lineRule="auto"/>
        <w:jc w:val="center"/>
        <w:rPr>
          <w:rFonts w:ascii="Arial" w:hAnsi="Arial" w:cs="Arial"/>
          <w:b/>
          <w:bCs/>
          <w:sz w:val="24"/>
          <w:szCs w:val="24"/>
          <w:u w:val="single"/>
        </w:rPr>
      </w:pPr>
    </w:p>
    <w:p w14:paraId="0CC6BF4E" w14:textId="77777777" w:rsidR="00566503" w:rsidRPr="00DB4200" w:rsidRDefault="00566503" w:rsidP="00DB4200">
      <w:pPr>
        <w:spacing w:line="360" w:lineRule="auto"/>
        <w:jc w:val="center"/>
        <w:rPr>
          <w:rFonts w:ascii="Arial" w:hAnsi="Arial" w:cs="Arial"/>
          <w:b/>
          <w:bCs/>
          <w:sz w:val="24"/>
          <w:szCs w:val="24"/>
          <w:u w:val="single"/>
        </w:rPr>
      </w:pPr>
      <w:r w:rsidRPr="00DB4200">
        <w:rPr>
          <w:rFonts w:ascii="Arial" w:hAnsi="Arial" w:cs="Arial"/>
          <w:b/>
          <w:bCs/>
          <w:sz w:val="24"/>
          <w:szCs w:val="24"/>
          <w:u w:val="single"/>
        </w:rPr>
        <w:t>(1905474)</w:t>
      </w:r>
    </w:p>
    <w:p w14:paraId="3FA5D739" w14:textId="77777777" w:rsidR="00566503" w:rsidRPr="00DB4200" w:rsidRDefault="00566503" w:rsidP="00DB4200">
      <w:pPr>
        <w:spacing w:line="360" w:lineRule="auto"/>
        <w:jc w:val="center"/>
        <w:rPr>
          <w:rFonts w:ascii="Arial" w:hAnsi="Arial" w:cs="Arial"/>
          <w:b/>
          <w:bCs/>
          <w:sz w:val="24"/>
          <w:szCs w:val="24"/>
          <w:u w:val="single"/>
        </w:rPr>
      </w:pPr>
    </w:p>
    <w:p w14:paraId="583E6EE9" w14:textId="36DF5928" w:rsidR="00566503" w:rsidRPr="00DB4200" w:rsidRDefault="00566503" w:rsidP="00DB4200">
      <w:pPr>
        <w:spacing w:line="360" w:lineRule="auto"/>
        <w:jc w:val="center"/>
        <w:rPr>
          <w:rFonts w:ascii="Arial" w:hAnsi="Arial" w:cs="Arial"/>
          <w:b/>
          <w:bCs/>
          <w:sz w:val="24"/>
          <w:szCs w:val="24"/>
          <w:u w:val="single"/>
        </w:rPr>
      </w:pPr>
    </w:p>
    <w:p w14:paraId="6E31CC3D" w14:textId="77777777" w:rsidR="00566503" w:rsidRPr="00DB4200" w:rsidRDefault="00566503" w:rsidP="00DB4200">
      <w:pPr>
        <w:spacing w:line="360" w:lineRule="auto"/>
        <w:jc w:val="center"/>
        <w:rPr>
          <w:rFonts w:ascii="Arial" w:hAnsi="Arial" w:cs="Arial"/>
          <w:b/>
          <w:bCs/>
          <w:sz w:val="24"/>
          <w:szCs w:val="24"/>
          <w:u w:val="single"/>
        </w:rPr>
      </w:pPr>
    </w:p>
    <w:p w14:paraId="07753A13" w14:textId="77777777" w:rsidR="00566503" w:rsidRPr="00DB4200" w:rsidRDefault="00566503" w:rsidP="00DB4200">
      <w:pPr>
        <w:spacing w:line="360" w:lineRule="auto"/>
        <w:jc w:val="center"/>
        <w:rPr>
          <w:rFonts w:ascii="Arial" w:hAnsi="Arial" w:cs="Arial"/>
          <w:b/>
          <w:bCs/>
          <w:sz w:val="24"/>
          <w:szCs w:val="24"/>
          <w:u w:val="single"/>
        </w:rPr>
      </w:pPr>
      <w:proofErr w:type="spellStart"/>
      <w:r w:rsidRPr="00DB4200">
        <w:rPr>
          <w:rFonts w:ascii="Arial" w:hAnsi="Arial" w:cs="Arial"/>
          <w:b/>
          <w:bCs/>
          <w:sz w:val="24"/>
          <w:szCs w:val="24"/>
          <w:u w:val="single"/>
        </w:rPr>
        <w:t>Giridhar</w:t>
      </w:r>
      <w:proofErr w:type="spellEnd"/>
      <w:r w:rsidRPr="00DB4200">
        <w:rPr>
          <w:rFonts w:ascii="Arial" w:hAnsi="Arial" w:cs="Arial"/>
          <w:b/>
          <w:bCs/>
          <w:sz w:val="24"/>
          <w:szCs w:val="24"/>
          <w:u w:val="single"/>
        </w:rPr>
        <w:t xml:space="preserve"> </w:t>
      </w:r>
      <w:proofErr w:type="spellStart"/>
      <w:r w:rsidRPr="00DB4200">
        <w:rPr>
          <w:rFonts w:ascii="Arial" w:hAnsi="Arial" w:cs="Arial"/>
          <w:b/>
          <w:bCs/>
          <w:sz w:val="24"/>
          <w:szCs w:val="24"/>
          <w:u w:val="single"/>
        </w:rPr>
        <w:t>Katti</w:t>
      </w:r>
      <w:proofErr w:type="spellEnd"/>
    </w:p>
    <w:p w14:paraId="37418C65" w14:textId="77777777" w:rsidR="00566503" w:rsidRPr="00DB4200" w:rsidRDefault="00566503" w:rsidP="00DB4200">
      <w:pPr>
        <w:spacing w:line="360" w:lineRule="auto"/>
        <w:jc w:val="center"/>
        <w:rPr>
          <w:rFonts w:ascii="Arial" w:hAnsi="Arial" w:cs="Arial"/>
          <w:b/>
          <w:bCs/>
          <w:sz w:val="24"/>
          <w:szCs w:val="24"/>
          <w:u w:val="single"/>
        </w:rPr>
      </w:pPr>
    </w:p>
    <w:p w14:paraId="68B3DFF2" w14:textId="316C1F82" w:rsidR="00566503" w:rsidRPr="00DB4200" w:rsidRDefault="00566503" w:rsidP="00DB4200">
      <w:pPr>
        <w:spacing w:line="360" w:lineRule="auto"/>
        <w:jc w:val="center"/>
        <w:rPr>
          <w:rFonts w:ascii="Arial" w:hAnsi="Arial" w:cs="Arial"/>
          <w:b/>
          <w:bCs/>
          <w:sz w:val="24"/>
          <w:szCs w:val="24"/>
          <w:u w:val="single"/>
        </w:rPr>
      </w:pPr>
      <w:r w:rsidRPr="00DB4200">
        <w:rPr>
          <w:rFonts w:ascii="Arial" w:hAnsi="Arial" w:cs="Arial"/>
          <w:b/>
          <w:bCs/>
          <w:sz w:val="24"/>
          <w:szCs w:val="24"/>
          <w:u w:val="single"/>
        </w:rPr>
        <w:t>BMHP 5003</w:t>
      </w:r>
    </w:p>
    <w:p w14:paraId="57A33E46" w14:textId="77777777" w:rsidR="00566503" w:rsidRPr="00DB4200" w:rsidRDefault="00566503" w:rsidP="00DB4200">
      <w:pPr>
        <w:spacing w:line="360" w:lineRule="auto"/>
        <w:jc w:val="center"/>
        <w:rPr>
          <w:rFonts w:ascii="Arial" w:hAnsi="Arial" w:cs="Arial"/>
          <w:b/>
          <w:bCs/>
          <w:sz w:val="24"/>
          <w:szCs w:val="24"/>
          <w:u w:val="single"/>
        </w:rPr>
      </w:pPr>
    </w:p>
    <w:p w14:paraId="1C7A1743" w14:textId="2F4999F3" w:rsidR="00566503" w:rsidRPr="00DB4200" w:rsidRDefault="00566503" w:rsidP="00DB4200">
      <w:pPr>
        <w:spacing w:line="360" w:lineRule="auto"/>
        <w:jc w:val="center"/>
        <w:rPr>
          <w:rFonts w:ascii="Arial" w:hAnsi="Arial" w:cs="Arial"/>
          <w:b/>
          <w:bCs/>
          <w:sz w:val="24"/>
          <w:szCs w:val="24"/>
          <w:u w:val="single"/>
        </w:rPr>
      </w:pPr>
    </w:p>
    <w:p w14:paraId="35A3C0D7" w14:textId="1C019F1D" w:rsidR="00AA7E0D" w:rsidRPr="00DB4200" w:rsidRDefault="00AA7E0D" w:rsidP="00DB4200">
      <w:pPr>
        <w:spacing w:line="360" w:lineRule="auto"/>
        <w:jc w:val="center"/>
        <w:rPr>
          <w:rFonts w:ascii="Arial" w:hAnsi="Arial" w:cs="Arial"/>
          <w:b/>
          <w:bCs/>
          <w:sz w:val="24"/>
          <w:szCs w:val="24"/>
          <w:u w:val="single"/>
        </w:rPr>
      </w:pPr>
      <w:r w:rsidRPr="00DB4200">
        <w:rPr>
          <w:rFonts w:ascii="Arial" w:hAnsi="Arial" w:cs="Arial"/>
          <w:b/>
          <w:bCs/>
          <w:sz w:val="24"/>
          <w:szCs w:val="24"/>
          <w:u w:val="single"/>
        </w:rPr>
        <w:t>Skeletal System</w:t>
      </w:r>
    </w:p>
    <w:p w14:paraId="12DB2AA7" w14:textId="77777777" w:rsidR="00566503" w:rsidRPr="00DB4200" w:rsidRDefault="00566503" w:rsidP="00DB4200">
      <w:pPr>
        <w:spacing w:line="360" w:lineRule="auto"/>
        <w:jc w:val="center"/>
        <w:rPr>
          <w:rFonts w:ascii="Arial" w:hAnsi="Arial" w:cs="Arial"/>
          <w:b/>
          <w:bCs/>
          <w:sz w:val="24"/>
          <w:szCs w:val="24"/>
          <w:u w:val="single"/>
        </w:rPr>
      </w:pPr>
    </w:p>
    <w:p w14:paraId="7D000851" w14:textId="16C63975" w:rsidR="00566503" w:rsidRPr="00DB4200" w:rsidRDefault="00566503" w:rsidP="00DB4200">
      <w:pPr>
        <w:spacing w:line="360" w:lineRule="auto"/>
        <w:jc w:val="center"/>
        <w:rPr>
          <w:rFonts w:ascii="Arial" w:hAnsi="Arial" w:cs="Arial"/>
          <w:b/>
          <w:bCs/>
          <w:sz w:val="24"/>
          <w:szCs w:val="24"/>
          <w:u w:val="single"/>
        </w:rPr>
      </w:pPr>
      <w:r w:rsidRPr="00DB4200">
        <w:rPr>
          <w:rFonts w:ascii="Arial" w:hAnsi="Arial" w:cs="Arial"/>
          <w:b/>
          <w:bCs/>
          <w:sz w:val="24"/>
          <w:szCs w:val="24"/>
          <w:u w:val="single"/>
        </w:rPr>
        <w:t>26/11/2021</w:t>
      </w:r>
    </w:p>
    <w:p w14:paraId="054C041A" w14:textId="77777777" w:rsidR="00566503" w:rsidRPr="00DB4200" w:rsidRDefault="00566503" w:rsidP="00DB4200">
      <w:pPr>
        <w:spacing w:line="360" w:lineRule="auto"/>
        <w:jc w:val="center"/>
        <w:rPr>
          <w:rFonts w:ascii="Arial" w:hAnsi="Arial" w:cs="Arial"/>
          <w:b/>
          <w:bCs/>
          <w:sz w:val="24"/>
          <w:szCs w:val="24"/>
          <w:u w:val="single"/>
        </w:rPr>
      </w:pPr>
    </w:p>
    <w:p w14:paraId="50460E45" w14:textId="77777777" w:rsidR="00566503" w:rsidRPr="00DB4200" w:rsidRDefault="00566503" w:rsidP="00DB4200">
      <w:pPr>
        <w:spacing w:line="360" w:lineRule="auto"/>
        <w:jc w:val="center"/>
        <w:rPr>
          <w:rFonts w:ascii="Arial" w:hAnsi="Arial" w:cs="Arial"/>
          <w:b/>
          <w:bCs/>
          <w:sz w:val="24"/>
          <w:szCs w:val="24"/>
          <w:u w:val="single"/>
        </w:rPr>
      </w:pPr>
    </w:p>
    <w:p w14:paraId="0D38DB9B" w14:textId="77777777" w:rsidR="0009351F" w:rsidRPr="00DB4200" w:rsidRDefault="00645DFF" w:rsidP="00DB4200">
      <w:pPr>
        <w:spacing w:line="360" w:lineRule="auto"/>
        <w:jc w:val="center"/>
        <w:rPr>
          <w:rFonts w:ascii="Arial" w:hAnsi="Arial" w:cs="Arial"/>
          <w:b/>
          <w:bCs/>
          <w:sz w:val="24"/>
          <w:szCs w:val="24"/>
          <w:u w:val="single"/>
        </w:rPr>
      </w:pPr>
      <w:r w:rsidRPr="00DB4200">
        <w:rPr>
          <w:rFonts w:ascii="Arial" w:hAnsi="Arial" w:cs="Arial"/>
          <w:b/>
          <w:bCs/>
          <w:sz w:val="24"/>
          <w:szCs w:val="24"/>
          <w:u w:val="single"/>
        </w:rPr>
        <w:br w:type="page"/>
      </w:r>
    </w:p>
    <w:p w14:paraId="7973FD43" w14:textId="6AE924E2" w:rsidR="00CF5376" w:rsidRPr="00912B17" w:rsidRDefault="00CF5376" w:rsidP="00DB4200">
      <w:pPr>
        <w:spacing w:line="360" w:lineRule="auto"/>
        <w:rPr>
          <w:rFonts w:ascii="Arial" w:hAnsi="Arial" w:cs="Arial"/>
          <w:b/>
          <w:bCs/>
          <w:sz w:val="24"/>
          <w:szCs w:val="24"/>
          <w:u w:val="single"/>
        </w:rPr>
      </w:pPr>
      <w:r w:rsidRPr="00912B17">
        <w:rPr>
          <w:rFonts w:ascii="Arial" w:hAnsi="Arial" w:cs="Arial"/>
          <w:b/>
          <w:bCs/>
          <w:sz w:val="24"/>
          <w:szCs w:val="24"/>
        </w:rPr>
        <w:lastRenderedPageBreak/>
        <w:t>The Organization and Structure of the Human BodyCells, the basic building blocks of the human body, join to form tissues, which then join to form specialized structures known as organs. Organ systems are groups of organs and tissues that collaborate to accomplish a common goal. This structure is divided into several levels, each of which becomes more complex as it progresses</w:t>
      </w:r>
    </w:p>
    <w:p w14:paraId="71C7DFC2" w14:textId="11796759" w:rsidR="00CF5376" w:rsidRPr="00912B17" w:rsidRDefault="00D3239B" w:rsidP="00DB4200">
      <w:pPr>
        <w:spacing w:line="360" w:lineRule="auto"/>
        <w:rPr>
          <w:rFonts w:ascii="Arial" w:hAnsi="Arial" w:cs="Arial"/>
          <w:b/>
          <w:bCs/>
          <w:sz w:val="24"/>
          <w:szCs w:val="24"/>
        </w:rPr>
      </w:pPr>
      <w:r w:rsidRPr="00912B17">
        <w:rPr>
          <w:rFonts w:ascii="Arial" w:hAnsi="Arial" w:cs="Arial"/>
          <w:b/>
          <w:bCs/>
          <w:sz w:val="24"/>
          <w:szCs w:val="24"/>
        </w:rPr>
        <w:t>The Human Body's Organization and Structure Cells, the basic building blocks of the human body, combine to form tissues, which then combine to form specialized structures known as organs. Organ systems are collections of organs and tissues that work together to achieve a common goal. This structure is organized on several levels, with each level becoming more complex as it</w:t>
      </w:r>
    </w:p>
    <w:p w14:paraId="7C9E1B92" w14:textId="32EDD0CF" w:rsidR="001B615B" w:rsidRPr="00DB4200" w:rsidRDefault="00E1240C" w:rsidP="00DB4200">
      <w:pPr>
        <w:spacing w:line="360" w:lineRule="auto"/>
        <w:rPr>
          <w:rFonts w:ascii="Arial" w:hAnsi="Arial" w:cs="Arial"/>
          <w:b/>
          <w:bCs/>
          <w:sz w:val="24"/>
          <w:szCs w:val="24"/>
        </w:rPr>
      </w:pPr>
      <w:r w:rsidRPr="00DB4200">
        <w:rPr>
          <w:rFonts w:ascii="Arial" w:hAnsi="Arial" w:cs="Arial"/>
          <w:b/>
          <w:bCs/>
          <w:noProof/>
          <w:sz w:val="24"/>
          <w:szCs w:val="24"/>
        </w:rPr>
        <w:drawing>
          <wp:anchor distT="0" distB="0" distL="114300" distR="114300" simplePos="0" relativeHeight="251658240" behindDoc="0" locked="0" layoutInCell="1" allowOverlap="1" wp14:anchorId="2D9D37FD" wp14:editId="3B862E22">
            <wp:simplePos x="0" y="0"/>
            <wp:positionH relativeFrom="column">
              <wp:posOffset>-746125</wp:posOffset>
            </wp:positionH>
            <wp:positionV relativeFrom="paragraph">
              <wp:posOffset>574675</wp:posOffset>
            </wp:positionV>
            <wp:extent cx="7223760" cy="519049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223760" cy="5190490"/>
                    </a:xfrm>
                    <a:prstGeom prst="rect">
                      <a:avLst/>
                    </a:prstGeom>
                  </pic:spPr>
                </pic:pic>
              </a:graphicData>
            </a:graphic>
            <wp14:sizeRelH relativeFrom="margin">
              <wp14:pctWidth>0</wp14:pctWidth>
            </wp14:sizeRelH>
            <wp14:sizeRelV relativeFrom="margin">
              <wp14:pctHeight>0</wp14:pctHeight>
            </wp14:sizeRelV>
          </wp:anchor>
        </w:drawing>
      </w:r>
    </w:p>
    <w:p w14:paraId="392B6F5B" w14:textId="13166FAA" w:rsidR="00E669EF" w:rsidRPr="00080E89" w:rsidRDefault="00E669EF" w:rsidP="00DB4200">
      <w:pPr>
        <w:spacing w:line="360" w:lineRule="auto"/>
        <w:rPr>
          <w:rFonts w:ascii="Arial" w:hAnsi="Arial" w:cs="Arial"/>
          <w:b/>
          <w:bCs/>
          <w:sz w:val="24"/>
          <w:szCs w:val="24"/>
        </w:rPr>
      </w:pPr>
      <w:r w:rsidRPr="00080E89">
        <w:rPr>
          <w:rFonts w:ascii="Arial" w:hAnsi="Arial" w:cs="Arial"/>
          <w:b/>
          <w:bCs/>
          <w:sz w:val="24"/>
          <w:szCs w:val="24"/>
        </w:rPr>
        <w:lastRenderedPageBreak/>
        <w:t xml:space="preserve">Bone is formed by specialised cells that form a </w:t>
      </w:r>
      <w:r w:rsidR="001F012B" w:rsidRPr="00080E89">
        <w:rPr>
          <w:rFonts w:ascii="Arial" w:hAnsi="Arial" w:cs="Arial"/>
          <w:b/>
          <w:bCs/>
          <w:sz w:val="24"/>
          <w:szCs w:val="24"/>
        </w:rPr>
        <w:t xml:space="preserve">sequence </w:t>
      </w:r>
      <w:r w:rsidRPr="00080E89">
        <w:rPr>
          <w:rFonts w:ascii="Arial" w:hAnsi="Arial" w:cs="Arial"/>
          <w:b/>
          <w:bCs/>
          <w:sz w:val="24"/>
          <w:szCs w:val="24"/>
        </w:rPr>
        <w:t xml:space="preserve">primarily composed of protein fibres, water, and minerals. Bone is made up of both living and </w:t>
      </w:r>
      <w:r w:rsidR="00D47374" w:rsidRPr="00080E89">
        <w:rPr>
          <w:rFonts w:ascii="Arial" w:hAnsi="Arial" w:cs="Arial"/>
          <w:b/>
          <w:bCs/>
          <w:sz w:val="24"/>
          <w:szCs w:val="24"/>
        </w:rPr>
        <w:t>non-living</w:t>
      </w:r>
      <w:r w:rsidRPr="00080E89">
        <w:rPr>
          <w:rFonts w:ascii="Arial" w:hAnsi="Arial" w:cs="Arial"/>
          <w:b/>
          <w:bCs/>
          <w:sz w:val="24"/>
          <w:szCs w:val="24"/>
        </w:rPr>
        <w:t xml:space="preserve"> tissue. Blood vessels, nerves, collagen, and cells make up the living part.</w:t>
      </w:r>
    </w:p>
    <w:p w14:paraId="525BB872" w14:textId="53E45B6D" w:rsidR="00E669EF" w:rsidRPr="00B76F33" w:rsidRDefault="00E669EF" w:rsidP="00DB4200">
      <w:pPr>
        <w:spacing w:line="360" w:lineRule="auto"/>
        <w:rPr>
          <w:rFonts w:ascii="Arial" w:hAnsi="Arial" w:cs="Arial"/>
          <w:b/>
          <w:bCs/>
          <w:sz w:val="24"/>
          <w:szCs w:val="24"/>
        </w:rPr>
      </w:pPr>
      <w:r w:rsidRPr="00B76F33">
        <w:rPr>
          <w:rFonts w:ascii="Arial" w:hAnsi="Arial" w:cs="Arial"/>
          <w:b/>
          <w:bCs/>
          <w:sz w:val="24"/>
          <w:szCs w:val="24"/>
        </w:rPr>
        <w:t xml:space="preserve">Osteogenic Cells- These cells develop into osteoblasts and are found in the deep layers of the </w:t>
      </w:r>
      <w:r w:rsidR="00D47374" w:rsidRPr="00B76F33">
        <w:rPr>
          <w:rFonts w:ascii="Arial" w:hAnsi="Arial" w:cs="Arial"/>
          <w:b/>
          <w:bCs/>
          <w:sz w:val="24"/>
          <w:szCs w:val="24"/>
        </w:rPr>
        <w:t>periosteum</w:t>
      </w:r>
      <w:r w:rsidRPr="00B76F33">
        <w:rPr>
          <w:rFonts w:ascii="Arial" w:hAnsi="Arial" w:cs="Arial"/>
          <w:b/>
          <w:bCs/>
          <w:sz w:val="24"/>
          <w:szCs w:val="24"/>
        </w:rPr>
        <w:t xml:space="preserve"> and marrow.</w:t>
      </w:r>
    </w:p>
    <w:p w14:paraId="7A943B83" w14:textId="77777777" w:rsidR="00680FC3" w:rsidRPr="00B76F33" w:rsidRDefault="00680FC3" w:rsidP="00DB4200">
      <w:pPr>
        <w:spacing w:line="360" w:lineRule="auto"/>
        <w:rPr>
          <w:rFonts w:ascii="Arial" w:hAnsi="Arial" w:cs="Arial"/>
          <w:b/>
          <w:bCs/>
          <w:sz w:val="24"/>
          <w:szCs w:val="24"/>
        </w:rPr>
      </w:pPr>
    </w:p>
    <w:p w14:paraId="23BFC4B5" w14:textId="774AA821" w:rsidR="00E669EF" w:rsidRPr="00B76F33" w:rsidRDefault="00E669EF" w:rsidP="00DB4200">
      <w:pPr>
        <w:pStyle w:val="ListParagraph"/>
        <w:numPr>
          <w:ilvl w:val="0"/>
          <w:numId w:val="8"/>
        </w:numPr>
        <w:spacing w:line="360" w:lineRule="auto"/>
        <w:rPr>
          <w:rFonts w:ascii="Arial" w:hAnsi="Arial" w:cs="Arial"/>
          <w:b/>
          <w:bCs/>
          <w:sz w:val="24"/>
          <w:szCs w:val="24"/>
        </w:rPr>
      </w:pPr>
      <w:r w:rsidRPr="00B76F33">
        <w:rPr>
          <w:rFonts w:ascii="Arial" w:hAnsi="Arial" w:cs="Arial"/>
          <w:b/>
          <w:bCs/>
          <w:sz w:val="24"/>
          <w:szCs w:val="24"/>
        </w:rPr>
        <w:t>Osteoblasts are bone-forming cells that mature into osteocytes.</w:t>
      </w:r>
    </w:p>
    <w:p w14:paraId="0EEA1EAF" w14:textId="77777777" w:rsidR="00E669EF" w:rsidRPr="00B76F33" w:rsidRDefault="00E669EF" w:rsidP="00DB4200">
      <w:pPr>
        <w:pStyle w:val="ListParagraph"/>
        <w:numPr>
          <w:ilvl w:val="0"/>
          <w:numId w:val="8"/>
        </w:numPr>
        <w:spacing w:line="360" w:lineRule="auto"/>
        <w:rPr>
          <w:rFonts w:ascii="Arial" w:hAnsi="Arial" w:cs="Arial"/>
          <w:b/>
          <w:bCs/>
          <w:sz w:val="24"/>
          <w:szCs w:val="24"/>
        </w:rPr>
      </w:pPr>
      <w:r w:rsidRPr="00B76F33">
        <w:rPr>
          <w:rFonts w:ascii="Arial" w:hAnsi="Arial" w:cs="Arial"/>
          <w:b/>
          <w:bCs/>
          <w:sz w:val="24"/>
          <w:szCs w:val="24"/>
        </w:rPr>
        <w:t>Osteocytes are mature bone cells responsible for monitoring and maintaining bone tissue.</w:t>
      </w:r>
    </w:p>
    <w:p w14:paraId="77400F26" w14:textId="4A50B638" w:rsidR="00C547AD" w:rsidRPr="00B76F33" w:rsidRDefault="00D47374" w:rsidP="00680FC3">
      <w:pPr>
        <w:pStyle w:val="ListParagraph"/>
        <w:numPr>
          <w:ilvl w:val="0"/>
          <w:numId w:val="8"/>
        </w:numPr>
        <w:spacing w:line="360" w:lineRule="auto"/>
        <w:rPr>
          <w:rFonts w:ascii="Arial" w:hAnsi="Arial" w:cs="Arial"/>
          <w:b/>
          <w:bCs/>
          <w:sz w:val="24"/>
          <w:szCs w:val="24"/>
        </w:rPr>
      </w:pPr>
      <w:r w:rsidRPr="00B76F33">
        <w:rPr>
          <w:rFonts w:ascii="Arial" w:hAnsi="Arial" w:cs="Arial"/>
          <w:b/>
          <w:bCs/>
          <w:sz w:val="24"/>
          <w:szCs w:val="24"/>
        </w:rPr>
        <w:t>Osteoclast</w:t>
      </w:r>
      <w:r w:rsidR="00E669EF" w:rsidRPr="00B76F33">
        <w:rPr>
          <w:rFonts w:ascii="Arial" w:hAnsi="Arial" w:cs="Arial"/>
          <w:b/>
          <w:bCs/>
          <w:sz w:val="24"/>
          <w:szCs w:val="24"/>
        </w:rPr>
        <w:t xml:space="preserve"> are cells </w:t>
      </w:r>
      <w:r w:rsidR="00BD7F99" w:rsidRPr="00B76F33">
        <w:rPr>
          <w:rFonts w:ascii="Arial" w:hAnsi="Arial" w:cs="Arial"/>
          <w:b/>
          <w:bCs/>
          <w:sz w:val="24"/>
          <w:szCs w:val="24"/>
        </w:rPr>
        <w:t>produced from bone marrow</w:t>
      </w:r>
      <w:r w:rsidR="000E34FC" w:rsidRPr="00B76F33">
        <w:rPr>
          <w:rFonts w:ascii="Arial" w:hAnsi="Arial" w:cs="Arial"/>
          <w:b/>
          <w:bCs/>
          <w:sz w:val="24"/>
          <w:szCs w:val="24"/>
        </w:rPr>
        <w:t xml:space="preserve"> stem cells </w:t>
      </w:r>
      <w:r w:rsidR="00E669EF" w:rsidRPr="00B76F33">
        <w:rPr>
          <w:rFonts w:ascii="Arial" w:hAnsi="Arial" w:cs="Arial"/>
          <w:b/>
          <w:bCs/>
          <w:sz w:val="24"/>
          <w:szCs w:val="24"/>
        </w:rPr>
        <w:t>that clea</w:t>
      </w:r>
      <w:r w:rsidR="0017710D" w:rsidRPr="00B76F33">
        <w:rPr>
          <w:rFonts w:ascii="Arial" w:hAnsi="Arial" w:cs="Arial"/>
          <w:b/>
          <w:bCs/>
          <w:sz w:val="24"/>
          <w:szCs w:val="24"/>
        </w:rPr>
        <w:t>r</w:t>
      </w:r>
      <w:r w:rsidR="00E669EF" w:rsidRPr="00B76F33">
        <w:rPr>
          <w:rFonts w:ascii="Arial" w:hAnsi="Arial" w:cs="Arial"/>
          <w:b/>
          <w:bCs/>
          <w:sz w:val="24"/>
          <w:szCs w:val="24"/>
        </w:rPr>
        <w:t xml:space="preserve"> away old bone and reabsorb bone in order to keep it in shape</w:t>
      </w:r>
      <w:r w:rsidR="000E34FC" w:rsidRPr="00B76F33">
        <w:rPr>
          <w:rFonts w:ascii="Arial" w:hAnsi="Arial" w:cs="Arial"/>
          <w:b/>
          <w:bCs/>
          <w:sz w:val="24"/>
          <w:szCs w:val="24"/>
        </w:rPr>
        <w:t xml:space="preserve"> (Waugh</w:t>
      </w:r>
      <w:r w:rsidR="006F6CFA" w:rsidRPr="00B76F33">
        <w:rPr>
          <w:rFonts w:ascii="Arial" w:hAnsi="Arial" w:cs="Arial"/>
          <w:b/>
          <w:bCs/>
          <w:sz w:val="24"/>
          <w:szCs w:val="24"/>
        </w:rPr>
        <w:t xml:space="preserve"> and Grant, 2018)</w:t>
      </w:r>
      <w:r w:rsidR="00E669EF" w:rsidRPr="00B76F33">
        <w:rPr>
          <w:rFonts w:ascii="Arial" w:hAnsi="Arial" w:cs="Arial"/>
          <w:b/>
          <w:bCs/>
          <w:sz w:val="24"/>
          <w:szCs w:val="24"/>
        </w:rPr>
        <w:t>.</w:t>
      </w:r>
    </w:p>
    <w:p w14:paraId="156B63E7" w14:textId="77777777" w:rsidR="00680FC3" w:rsidRPr="00B76F33" w:rsidRDefault="00680FC3" w:rsidP="00680FC3">
      <w:pPr>
        <w:pStyle w:val="ListParagraph"/>
        <w:spacing w:line="360" w:lineRule="auto"/>
        <w:rPr>
          <w:rFonts w:ascii="Arial" w:hAnsi="Arial" w:cs="Arial"/>
          <w:b/>
          <w:bCs/>
          <w:sz w:val="24"/>
          <w:szCs w:val="24"/>
        </w:rPr>
      </w:pPr>
    </w:p>
    <w:p w14:paraId="13B01CD3" w14:textId="3D0898CC" w:rsidR="00D53FE2" w:rsidRPr="00B76F33" w:rsidRDefault="001224B2" w:rsidP="00DB4200">
      <w:pPr>
        <w:spacing w:line="360" w:lineRule="auto"/>
        <w:rPr>
          <w:rFonts w:ascii="Arial" w:hAnsi="Arial" w:cs="Arial"/>
          <w:b/>
          <w:bCs/>
          <w:sz w:val="24"/>
          <w:szCs w:val="24"/>
        </w:rPr>
      </w:pPr>
      <w:r w:rsidRPr="00B76F33">
        <w:rPr>
          <w:rFonts w:ascii="Arial" w:hAnsi="Arial" w:cs="Arial"/>
          <w:b/>
          <w:bCs/>
          <w:sz w:val="24"/>
          <w:szCs w:val="24"/>
        </w:rPr>
        <w:t>A balance of osteoblast and osteoclast activity is required to maintain normal bone function and structure. Osteoblasts are derived from fibroblasts that have collagen fibres surrounding them; calcium salts are then collected here, increasing bone size. Minerals and slats are non-living elements that are equally important for bone formation</w:t>
      </w:r>
      <w:r w:rsidR="00212A23" w:rsidRPr="00B76F33">
        <w:rPr>
          <w:rFonts w:ascii="Arial" w:hAnsi="Arial" w:cs="Arial"/>
          <w:b/>
          <w:bCs/>
          <w:sz w:val="24"/>
          <w:szCs w:val="24"/>
        </w:rPr>
        <w:t xml:space="preserve"> (Martin and </w:t>
      </w:r>
      <w:proofErr w:type="spellStart"/>
      <w:r w:rsidR="00212A23" w:rsidRPr="00B76F33">
        <w:rPr>
          <w:rFonts w:ascii="Arial" w:hAnsi="Arial" w:cs="Arial"/>
          <w:b/>
          <w:bCs/>
          <w:sz w:val="24"/>
          <w:szCs w:val="24"/>
        </w:rPr>
        <w:t>Gormley</w:t>
      </w:r>
      <w:proofErr w:type="spellEnd"/>
      <w:r w:rsidR="00212A23" w:rsidRPr="00B76F33">
        <w:rPr>
          <w:rFonts w:ascii="Arial" w:hAnsi="Arial" w:cs="Arial"/>
          <w:b/>
          <w:bCs/>
          <w:sz w:val="24"/>
          <w:szCs w:val="24"/>
        </w:rPr>
        <w:t>-Fleming</w:t>
      </w:r>
      <w:r w:rsidR="00357636" w:rsidRPr="00B76F33">
        <w:rPr>
          <w:rFonts w:ascii="Arial" w:hAnsi="Arial" w:cs="Arial"/>
          <w:b/>
          <w:bCs/>
          <w:sz w:val="24"/>
          <w:szCs w:val="24"/>
        </w:rPr>
        <w:t>, 2021)</w:t>
      </w:r>
      <w:r w:rsidRPr="00B76F33">
        <w:rPr>
          <w:rFonts w:ascii="Arial" w:hAnsi="Arial" w:cs="Arial"/>
          <w:b/>
          <w:bCs/>
          <w:sz w:val="24"/>
          <w:szCs w:val="24"/>
        </w:rPr>
        <w:t>.</w:t>
      </w:r>
    </w:p>
    <w:p w14:paraId="707B1CAD" w14:textId="77777777" w:rsidR="001B615B" w:rsidRPr="00B76F33" w:rsidRDefault="001B615B" w:rsidP="00DB4200">
      <w:pPr>
        <w:spacing w:line="360" w:lineRule="auto"/>
        <w:rPr>
          <w:rFonts w:ascii="Arial" w:hAnsi="Arial" w:cs="Arial"/>
          <w:b/>
          <w:bCs/>
          <w:sz w:val="24"/>
          <w:szCs w:val="24"/>
        </w:rPr>
      </w:pPr>
    </w:p>
    <w:p w14:paraId="415171FE" w14:textId="71C05317" w:rsidR="00A71B05" w:rsidRPr="00B76F33" w:rsidRDefault="0074142C" w:rsidP="00DB4200">
      <w:pPr>
        <w:spacing w:line="360" w:lineRule="auto"/>
        <w:rPr>
          <w:rFonts w:ascii="Arial" w:hAnsi="Arial" w:cs="Arial"/>
          <w:b/>
          <w:bCs/>
          <w:sz w:val="24"/>
          <w:szCs w:val="24"/>
        </w:rPr>
      </w:pPr>
      <w:r w:rsidRPr="00B76F33">
        <w:rPr>
          <w:rFonts w:ascii="Arial" w:hAnsi="Arial" w:cs="Arial"/>
          <w:b/>
          <w:bCs/>
          <w:sz w:val="24"/>
          <w:szCs w:val="24"/>
        </w:rPr>
        <w:t xml:space="preserve">Bones, cartilage, and connective tissue comprise the skeletal system. These all work together to form certain parts of the body that perform vital functions for human life. The skeletal system can suffer from injuries such as breaking or fracturing a bone, a joint can be </w:t>
      </w:r>
      <w:r w:rsidR="007D2E96" w:rsidRPr="00B76F33">
        <w:rPr>
          <w:rFonts w:ascii="Arial" w:hAnsi="Arial" w:cs="Arial"/>
          <w:b/>
          <w:bCs/>
          <w:sz w:val="24"/>
          <w:szCs w:val="24"/>
        </w:rPr>
        <w:t>dislocated</w:t>
      </w:r>
      <w:r w:rsidRPr="00B76F33">
        <w:rPr>
          <w:rFonts w:ascii="Arial" w:hAnsi="Arial" w:cs="Arial"/>
          <w:b/>
          <w:bCs/>
          <w:sz w:val="24"/>
          <w:szCs w:val="24"/>
        </w:rPr>
        <w:t xml:space="preserve"> or sprained, and it can also be related to swimming and other sports. This system also collaborates with your muscular system to protect and move you around, to keep you upright so you don't fall to the ground while moving, and to provide you with strength.</w:t>
      </w:r>
    </w:p>
    <w:p w14:paraId="7A408985" w14:textId="176B010E" w:rsidR="00EA225D" w:rsidRPr="00B76F33" w:rsidRDefault="00DF0380" w:rsidP="00DB4200">
      <w:pPr>
        <w:spacing w:line="360" w:lineRule="auto"/>
        <w:rPr>
          <w:rFonts w:ascii="Arial" w:hAnsi="Arial" w:cs="Arial"/>
          <w:b/>
          <w:bCs/>
          <w:sz w:val="24"/>
          <w:szCs w:val="24"/>
        </w:rPr>
      </w:pPr>
      <w:r w:rsidRPr="00B76F33">
        <w:rPr>
          <w:rFonts w:ascii="Arial" w:hAnsi="Arial" w:cs="Arial"/>
          <w:b/>
          <w:bCs/>
          <w:sz w:val="24"/>
          <w:szCs w:val="24"/>
        </w:rPr>
        <w:t>Bone is a type of rigid connective tissue. It is made up of cells that produce an organic extracellular sequence made up of collagen fibres,</w:t>
      </w:r>
      <w:r w:rsidR="00C8558A" w:rsidRPr="00B76F33">
        <w:rPr>
          <w:rFonts w:ascii="Arial" w:hAnsi="Arial" w:cs="Arial"/>
          <w:b/>
          <w:bCs/>
          <w:sz w:val="24"/>
          <w:szCs w:val="24"/>
        </w:rPr>
        <w:t xml:space="preserve"> g</w:t>
      </w:r>
      <w:r w:rsidRPr="00B76F33">
        <w:rPr>
          <w:rFonts w:ascii="Arial" w:hAnsi="Arial" w:cs="Arial"/>
          <w:b/>
          <w:bCs/>
          <w:sz w:val="24"/>
          <w:szCs w:val="24"/>
        </w:rPr>
        <w:t xml:space="preserve">round substance, and inorganic materials in the form of mineral salts. The skeleton serves as the body's supporting framework, providing stiff levers on which muscles act to </w:t>
      </w:r>
      <w:r w:rsidRPr="00B76F33">
        <w:rPr>
          <w:rFonts w:ascii="Arial" w:hAnsi="Arial" w:cs="Arial"/>
          <w:b/>
          <w:bCs/>
          <w:sz w:val="24"/>
          <w:szCs w:val="24"/>
        </w:rPr>
        <w:lastRenderedPageBreak/>
        <w:t>generate movement. The human skeleton is made up of various structural components such as collagen, three types of cartilage, and a variety of bone types</w:t>
      </w:r>
      <w:r w:rsidR="00C8558A" w:rsidRPr="00B76F33">
        <w:rPr>
          <w:rFonts w:ascii="Arial" w:hAnsi="Arial" w:cs="Arial"/>
          <w:b/>
          <w:bCs/>
          <w:sz w:val="24"/>
          <w:szCs w:val="24"/>
        </w:rPr>
        <w:t>:</w:t>
      </w:r>
    </w:p>
    <w:p w14:paraId="0DA600FA" w14:textId="58597C9B" w:rsidR="00A454D3" w:rsidRPr="00B76F33" w:rsidRDefault="00AF7862" w:rsidP="00DB4200">
      <w:pPr>
        <w:pStyle w:val="ListParagraph"/>
        <w:numPr>
          <w:ilvl w:val="0"/>
          <w:numId w:val="7"/>
        </w:numPr>
        <w:spacing w:line="360" w:lineRule="auto"/>
        <w:rPr>
          <w:rFonts w:ascii="Arial" w:hAnsi="Arial" w:cs="Arial"/>
          <w:b/>
          <w:bCs/>
          <w:sz w:val="24"/>
          <w:szCs w:val="24"/>
        </w:rPr>
      </w:pPr>
      <w:r w:rsidRPr="00B76F33">
        <w:rPr>
          <w:rFonts w:ascii="Arial" w:hAnsi="Arial" w:cs="Arial"/>
          <w:b/>
          <w:bCs/>
          <w:sz w:val="24"/>
          <w:szCs w:val="24"/>
        </w:rPr>
        <w:t>Hyaline cartilage</w:t>
      </w:r>
    </w:p>
    <w:p w14:paraId="02BDFD3E" w14:textId="27C2A4B7" w:rsidR="003D67A8" w:rsidRPr="00B76F33" w:rsidRDefault="00AF7862" w:rsidP="00DB4200">
      <w:pPr>
        <w:pStyle w:val="ListParagraph"/>
        <w:numPr>
          <w:ilvl w:val="0"/>
          <w:numId w:val="7"/>
        </w:numPr>
        <w:spacing w:line="360" w:lineRule="auto"/>
        <w:rPr>
          <w:rFonts w:ascii="Arial" w:hAnsi="Arial" w:cs="Arial"/>
          <w:b/>
          <w:bCs/>
          <w:sz w:val="24"/>
          <w:szCs w:val="24"/>
        </w:rPr>
      </w:pPr>
      <w:r w:rsidRPr="00B76F33">
        <w:rPr>
          <w:rFonts w:ascii="Arial" w:hAnsi="Arial" w:cs="Arial"/>
          <w:b/>
          <w:bCs/>
          <w:sz w:val="24"/>
          <w:szCs w:val="24"/>
        </w:rPr>
        <w:t>Fibrocartilage</w:t>
      </w:r>
    </w:p>
    <w:p w14:paraId="04970708" w14:textId="5509E225" w:rsidR="003D67A8" w:rsidRPr="00B76F33" w:rsidRDefault="00AF7862" w:rsidP="00DB4200">
      <w:pPr>
        <w:pStyle w:val="ListParagraph"/>
        <w:numPr>
          <w:ilvl w:val="0"/>
          <w:numId w:val="7"/>
        </w:numPr>
        <w:spacing w:line="360" w:lineRule="auto"/>
        <w:rPr>
          <w:rFonts w:ascii="Arial" w:hAnsi="Arial" w:cs="Arial"/>
          <w:b/>
          <w:bCs/>
          <w:sz w:val="24"/>
          <w:szCs w:val="24"/>
        </w:rPr>
      </w:pPr>
      <w:r w:rsidRPr="00B76F33">
        <w:rPr>
          <w:rFonts w:ascii="Arial" w:hAnsi="Arial" w:cs="Arial"/>
          <w:b/>
          <w:bCs/>
          <w:sz w:val="24"/>
          <w:szCs w:val="24"/>
        </w:rPr>
        <w:t>Elastic cartilage</w:t>
      </w:r>
    </w:p>
    <w:p w14:paraId="773595D5" w14:textId="77777777" w:rsidR="007F7328" w:rsidRPr="00B76F33" w:rsidRDefault="007F7328" w:rsidP="00DB4200">
      <w:pPr>
        <w:spacing w:line="360" w:lineRule="auto"/>
        <w:rPr>
          <w:rFonts w:ascii="Arial" w:hAnsi="Arial" w:cs="Arial"/>
          <w:b/>
          <w:bCs/>
          <w:sz w:val="24"/>
          <w:szCs w:val="24"/>
        </w:rPr>
      </w:pPr>
    </w:p>
    <w:p w14:paraId="3AC5AB76" w14:textId="40A4A9DA" w:rsidR="00E03849" w:rsidRPr="00B76F33" w:rsidRDefault="00E03849" w:rsidP="00DB4200">
      <w:pPr>
        <w:pStyle w:val="ListParagraph"/>
        <w:numPr>
          <w:ilvl w:val="0"/>
          <w:numId w:val="6"/>
        </w:numPr>
        <w:spacing w:line="360" w:lineRule="auto"/>
        <w:rPr>
          <w:rFonts w:ascii="Arial" w:hAnsi="Arial" w:cs="Arial"/>
          <w:b/>
          <w:bCs/>
          <w:sz w:val="24"/>
          <w:szCs w:val="24"/>
        </w:rPr>
      </w:pPr>
      <w:r w:rsidRPr="00B76F33">
        <w:rPr>
          <w:rFonts w:ascii="Arial" w:hAnsi="Arial" w:cs="Arial"/>
          <w:b/>
          <w:bCs/>
          <w:sz w:val="24"/>
          <w:szCs w:val="24"/>
        </w:rPr>
        <w:t>Woven</w:t>
      </w:r>
    </w:p>
    <w:p w14:paraId="0814F2BB" w14:textId="61059A4B" w:rsidR="00E03849" w:rsidRPr="00B76F33" w:rsidRDefault="00E03849" w:rsidP="00DB4200">
      <w:pPr>
        <w:pStyle w:val="ListParagraph"/>
        <w:numPr>
          <w:ilvl w:val="0"/>
          <w:numId w:val="6"/>
        </w:numPr>
        <w:spacing w:line="360" w:lineRule="auto"/>
        <w:rPr>
          <w:rFonts w:ascii="Arial" w:hAnsi="Arial" w:cs="Arial"/>
          <w:b/>
          <w:bCs/>
          <w:sz w:val="24"/>
          <w:szCs w:val="24"/>
        </w:rPr>
      </w:pPr>
      <w:r w:rsidRPr="00B76F33">
        <w:rPr>
          <w:rFonts w:ascii="Arial" w:hAnsi="Arial" w:cs="Arial"/>
          <w:b/>
          <w:bCs/>
          <w:sz w:val="24"/>
          <w:szCs w:val="24"/>
        </w:rPr>
        <w:t>Lamellar</w:t>
      </w:r>
    </w:p>
    <w:p w14:paraId="0222ACC8" w14:textId="0F63BD0C" w:rsidR="00C62559" w:rsidRPr="00B76F33" w:rsidRDefault="00C62559" w:rsidP="00DB4200">
      <w:pPr>
        <w:pStyle w:val="ListParagraph"/>
        <w:numPr>
          <w:ilvl w:val="0"/>
          <w:numId w:val="6"/>
        </w:numPr>
        <w:spacing w:line="360" w:lineRule="auto"/>
        <w:rPr>
          <w:rFonts w:ascii="Arial" w:hAnsi="Arial" w:cs="Arial"/>
          <w:b/>
          <w:bCs/>
          <w:sz w:val="24"/>
          <w:szCs w:val="24"/>
        </w:rPr>
      </w:pPr>
      <w:r w:rsidRPr="00B76F33">
        <w:rPr>
          <w:rFonts w:ascii="Arial" w:hAnsi="Arial" w:cs="Arial"/>
          <w:b/>
          <w:bCs/>
          <w:sz w:val="24"/>
          <w:szCs w:val="24"/>
        </w:rPr>
        <w:t>Trabecular (spongy)</w:t>
      </w:r>
    </w:p>
    <w:p w14:paraId="2EFD081D" w14:textId="357B07FB" w:rsidR="00E03849" w:rsidRPr="00B76F33" w:rsidRDefault="00B52FFE" w:rsidP="00DB4200">
      <w:pPr>
        <w:pStyle w:val="ListParagraph"/>
        <w:numPr>
          <w:ilvl w:val="0"/>
          <w:numId w:val="6"/>
        </w:numPr>
        <w:spacing w:line="360" w:lineRule="auto"/>
        <w:rPr>
          <w:rFonts w:ascii="Arial" w:hAnsi="Arial" w:cs="Arial"/>
          <w:b/>
          <w:bCs/>
          <w:sz w:val="24"/>
          <w:szCs w:val="24"/>
        </w:rPr>
      </w:pPr>
      <w:r w:rsidRPr="00B76F33">
        <w:rPr>
          <w:rFonts w:ascii="Arial" w:hAnsi="Arial" w:cs="Arial"/>
          <w:b/>
          <w:bCs/>
          <w:sz w:val="24"/>
          <w:szCs w:val="24"/>
        </w:rPr>
        <w:t>Plexiform (</w:t>
      </w:r>
      <w:proofErr w:type="spellStart"/>
      <w:r w:rsidRPr="00B76F33">
        <w:rPr>
          <w:rFonts w:ascii="Arial" w:hAnsi="Arial" w:cs="Arial"/>
          <w:b/>
          <w:bCs/>
          <w:sz w:val="24"/>
          <w:szCs w:val="24"/>
        </w:rPr>
        <w:t>fibrolamellar</w:t>
      </w:r>
      <w:proofErr w:type="spellEnd"/>
      <w:r w:rsidRPr="00B76F33">
        <w:rPr>
          <w:rFonts w:ascii="Arial" w:hAnsi="Arial" w:cs="Arial"/>
          <w:b/>
          <w:bCs/>
          <w:sz w:val="24"/>
          <w:szCs w:val="24"/>
        </w:rPr>
        <w:t>)</w:t>
      </w:r>
    </w:p>
    <w:p w14:paraId="522AB151" w14:textId="77777777" w:rsidR="009C637B" w:rsidRPr="00B76F33" w:rsidRDefault="009C637B" w:rsidP="00DB4200">
      <w:pPr>
        <w:pStyle w:val="ListParagraph"/>
        <w:spacing w:line="360" w:lineRule="auto"/>
        <w:rPr>
          <w:rFonts w:ascii="Arial" w:hAnsi="Arial" w:cs="Arial"/>
          <w:b/>
          <w:bCs/>
          <w:sz w:val="24"/>
          <w:szCs w:val="24"/>
        </w:rPr>
      </w:pPr>
    </w:p>
    <w:p w14:paraId="3F173CCB" w14:textId="0EC5106A" w:rsidR="00B94DC7" w:rsidRPr="00B76F33" w:rsidRDefault="00B94DC7" w:rsidP="00DB4200">
      <w:pPr>
        <w:spacing w:line="360" w:lineRule="auto"/>
        <w:rPr>
          <w:rFonts w:ascii="Arial" w:hAnsi="Arial" w:cs="Arial"/>
          <w:b/>
          <w:bCs/>
          <w:sz w:val="24"/>
          <w:szCs w:val="24"/>
        </w:rPr>
      </w:pPr>
    </w:p>
    <w:p w14:paraId="0E9D2DA3" w14:textId="77777777" w:rsidR="007A1D79" w:rsidRPr="00B76F33" w:rsidRDefault="007A1D79" w:rsidP="00DB4200">
      <w:pPr>
        <w:spacing w:line="360" w:lineRule="auto"/>
        <w:rPr>
          <w:rFonts w:ascii="Arial" w:hAnsi="Arial" w:cs="Arial"/>
          <w:b/>
          <w:bCs/>
          <w:sz w:val="24"/>
          <w:szCs w:val="24"/>
        </w:rPr>
      </w:pPr>
    </w:p>
    <w:p w14:paraId="1321B4AA" w14:textId="77777777" w:rsidR="007A1D79" w:rsidRPr="00B76F33" w:rsidRDefault="007A1D79" w:rsidP="00DB4200">
      <w:pPr>
        <w:spacing w:line="360" w:lineRule="auto"/>
        <w:rPr>
          <w:rFonts w:ascii="Arial" w:hAnsi="Arial" w:cs="Arial"/>
          <w:b/>
          <w:bCs/>
          <w:sz w:val="24"/>
          <w:szCs w:val="24"/>
        </w:rPr>
      </w:pPr>
    </w:p>
    <w:p w14:paraId="54CBCA2D" w14:textId="028B55DC" w:rsidR="007A1D79" w:rsidRPr="00B76F33" w:rsidRDefault="00FA2E58" w:rsidP="00DB4200">
      <w:pPr>
        <w:spacing w:line="360" w:lineRule="auto"/>
        <w:rPr>
          <w:rFonts w:ascii="Arial" w:hAnsi="Arial" w:cs="Arial"/>
          <w:b/>
          <w:bCs/>
          <w:sz w:val="24"/>
          <w:szCs w:val="24"/>
        </w:rPr>
      </w:pPr>
      <w:r w:rsidRPr="00B76F33">
        <w:rPr>
          <w:rFonts w:ascii="Arial" w:hAnsi="Arial" w:cs="Arial"/>
          <w:b/>
          <w:bCs/>
          <w:sz w:val="24"/>
          <w:szCs w:val="24"/>
        </w:rPr>
        <w:t xml:space="preserve">Osteoporosis is one example of a </w:t>
      </w:r>
      <w:r w:rsidR="00C60A48" w:rsidRPr="00B76F33">
        <w:rPr>
          <w:rFonts w:ascii="Arial" w:hAnsi="Arial" w:cs="Arial"/>
          <w:b/>
          <w:bCs/>
          <w:sz w:val="24"/>
          <w:szCs w:val="24"/>
        </w:rPr>
        <w:t xml:space="preserve">disorder </w:t>
      </w:r>
      <w:r w:rsidRPr="00B76F33">
        <w:rPr>
          <w:rFonts w:ascii="Arial" w:hAnsi="Arial" w:cs="Arial"/>
          <w:b/>
          <w:bCs/>
          <w:sz w:val="24"/>
          <w:szCs w:val="24"/>
        </w:rPr>
        <w:t>that affects the bones. A number of variables, including your age, race, lifestyle choices, and medical conditions and medications, can raise your risk of developing osteoporosis. Some osteoporosis risks are beyond your control, such as your body type and size. Men and women with petite physical frames are at a higher risk because they may have less bone mass to draw on as they get older</w:t>
      </w:r>
      <w:r w:rsidR="002001F4" w:rsidRPr="00B76F33">
        <w:rPr>
          <w:rFonts w:ascii="Arial" w:hAnsi="Arial" w:cs="Arial"/>
          <w:b/>
          <w:bCs/>
          <w:sz w:val="24"/>
          <w:szCs w:val="24"/>
        </w:rPr>
        <w:t xml:space="preserve"> (</w:t>
      </w:r>
      <w:proofErr w:type="spellStart"/>
      <w:r w:rsidR="002001F4" w:rsidRPr="00B76F33">
        <w:rPr>
          <w:rFonts w:ascii="Arial" w:hAnsi="Arial" w:cs="Arial"/>
          <w:b/>
          <w:bCs/>
          <w:sz w:val="24"/>
          <w:szCs w:val="24"/>
        </w:rPr>
        <w:t>MayoClini</w:t>
      </w:r>
      <w:r w:rsidR="006D3223" w:rsidRPr="00B76F33">
        <w:rPr>
          <w:rFonts w:ascii="Arial" w:hAnsi="Arial" w:cs="Arial"/>
          <w:b/>
          <w:bCs/>
          <w:sz w:val="24"/>
          <w:szCs w:val="24"/>
        </w:rPr>
        <w:t>c</w:t>
      </w:r>
      <w:proofErr w:type="spellEnd"/>
      <w:r w:rsidR="001B3BEA" w:rsidRPr="00B76F33">
        <w:rPr>
          <w:rFonts w:ascii="Arial" w:hAnsi="Arial" w:cs="Arial"/>
          <w:b/>
          <w:bCs/>
          <w:sz w:val="24"/>
          <w:szCs w:val="24"/>
        </w:rPr>
        <w:t>, 2021)</w:t>
      </w:r>
      <w:r w:rsidRPr="00B76F33">
        <w:rPr>
          <w:rFonts w:ascii="Arial" w:hAnsi="Arial" w:cs="Arial"/>
          <w:b/>
          <w:bCs/>
          <w:sz w:val="24"/>
          <w:szCs w:val="24"/>
        </w:rPr>
        <w:t>.</w:t>
      </w:r>
    </w:p>
    <w:p w14:paraId="4233751C" w14:textId="77777777" w:rsidR="009F324A" w:rsidRPr="00B76F33" w:rsidRDefault="009F324A" w:rsidP="009F324A">
      <w:pPr>
        <w:spacing w:line="360" w:lineRule="auto"/>
        <w:rPr>
          <w:rFonts w:ascii="Arial" w:hAnsi="Arial" w:cs="Arial"/>
          <w:b/>
          <w:bCs/>
          <w:sz w:val="24"/>
          <w:szCs w:val="24"/>
        </w:rPr>
      </w:pPr>
      <w:r w:rsidRPr="00B76F33">
        <w:rPr>
          <w:rFonts w:ascii="Arial" w:hAnsi="Arial" w:cs="Arial"/>
          <w:b/>
          <w:bCs/>
          <w:sz w:val="24"/>
          <w:szCs w:val="24"/>
        </w:rPr>
        <w:t>Osteoporosis affects people of all ages and affects their physical, psychological, and financial well-being.</w:t>
      </w:r>
    </w:p>
    <w:p w14:paraId="4B207ED9" w14:textId="6868669E" w:rsidR="009F324A" w:rsidRPr="00B76F33" w:rsidRDefault="009F324A" w:rsidP="009F324A">
      <w:pPr>
        <w:spacing w:line="360" w:lineRule="auto"/>
        <w:rPr>
          <w:rFonts w:ascii="Arial" w:hAnsi="Arial" w:cs="Arial"/>
          <w:b/>
          <w:bCs/>
          <w:sz w:val="24"/>
          <w:szCs w:val="24"/>
        </w:rPr>
      </w:pPr>
      <w:r w:rsidRPr="00B76F33">
        <w:rPr>
          <w:rFonts w:ascii="Arial" w:hAnsi="Arial" w:cs="Arial"/>
          <w:b/>
          <w:bCs/>
          <w:sz w:val="24"/>
          <w:szCs w:val="24"/>
        </w:rPr>
        <w:t>The risk factors for osteoporosis, as indicated by low bone density, and fracture overlap but are not the same. In people with secondary osteoporosis-related conditions, skeletal health should be prioritised</w:t>
      </w:r>
      <w:r w:rsidR="00346D74" w:rsidRPr="00B76F33">
        <w:rPr>
          <w:rFonts w:ascii="Arial" w:hAnsi="Arial" w:cs="Arial"/>
          <w:b/>
          <w:bCs/>
          <w:sz w:val="24"/>
          <w:szCs w:val="24"/>
        </w:rPr>
        <w:t xml:space="preserve"> </w:t>
      </w:r>
      <w:r w:rsidR="00732F7E" w:rsidRPr="00B76F33">
        <w:rPr>
          <w:rFonts w:ascii="Arial" w:eastAsia="Times New Roman" w:hAnsi="Arial" w:cs="Arial"/>
          <w:b/>
          <w:bCs/>
          <w:color w:val="000000"/>
          <w:sz w:val="24"/>
          <w:szCs w:val="24"/>
          <w:shd w:val="clear" w:color="auto" w:fill="FFFFFF"/>
        </w:rPr>
        <w:t>(</w:t>
      </w:r>
      <w:proofErr w:type="spellStart"/>
      <w:r w:rsidR="00732F7E" w:rsidRPr="00B76F33">
        <w:rPr>
          <w:rFonts w:ascii="Arial" w:eastAsia="Times New Roman" w:hAnsi="Arial" w:cs="Arial"/>
          <w:b/>
          <w:bCs/>
          <w:color w:val="000000"/>
          <w:sz w:val="24"/>
          <w:szCs w:val="24"/>
          <w:shd w:val="clear" w:color="auto" w:fill="FFFFFF"/>
        </w:rPr>
        <w:t>Siris</w:t>
      </w:r>
      <w:proofErr w:type="spellEnd"/>
      <w:r w:rsidR="00732F7E" w:rsidRPr="00B76F33">
        <w:rPr>
          <w:rFonts w:ascii="Arial" w:eastAsia="Times New Roman" w:hAnsi="Arial" w:cs="Arial"/>
          <w:b/>
          <w:bCs/>
          <w:color w:val="000000"/>
          <w:sz w:val="24"/>
          <w:szCs w:val="24"/>
          <w:shd w:val="clear" w:color="auto" w:fill="FFFFFF"/>
        </w:rPr>
        <w:t xml:space="preserve"> et al., 2001)</w:t>
      </w:r>
      <w:r w:rsidR="00B76F33" w:rsidRPr="00B76F33">
        <w:rPr>
          <w:rFonts w:ascii="Arial" w:eastAsia="Times New Roman" w:hAnsi="Arial" w:cs="Arial"/>
          <w:b/>
          <w:bCs/>
          <w:color w:val="000000"/>
          <w:sz w:val="24"/>
          <w:szCs w:val="24"/>
          <w:shd w:val="clear" w:color="auto" w:fill="FFFFFF"/>
        </w:rPr>
        <w:t>.</w:t>
      </w:r>
    </w:p>
    <w:p w14:paraId="3664981F" w14:textId="38AF3634" w:rsidR="006116FB" w:rsidRPr="00080E89" w:rsidRDefault="009F324A" w:rsidP="00DB4200">
      <w:pPr>
        <w:spacing w:line="360" w:lineRule="auto"/>
        <w:rPr>
          <w:rFonts w:ascii="Arial" w:hAnsi="Arial" w:cs="Arial"/>
          <w:b/>
          <w:bCs/>
          <w:sz w:val="24"/>
          <w:szCs w:val="24"/>
        </w:rPr>
      </w:pPr>
      <w:r w:rsidRPr="00080E89">
        <w:rPr>
          <w:rFonts w:ascii="Arial" w:hAnsi="Arial" w:cs="Arial"/>
          <w:b/>
          <w:bCs/>
          <w:sz w:val="24"/>
          <w:szCs w:val="24"/>
        </w:rPr>
        <w:t>Clinical risk factors are important but underutilised in deciding who should have BMD measurements to assess fracture risk and who should be treated.</w:t>
      </w:r>
    </w:p>
    <w:p w14:paraId="66FB3A56" w14:textId="77777777" w:rsidR="006116FB" w:rsidRDefault="006116FB" w:rsidP="00DB4200">
      <w:pPr>
        <w:spacing w:line="360" w:lineRule="auto"/>
        <w:rPr>
          <w:rFonts w:ascii="Arial" w:hAnsi="Arial" w:cs="Arial"/>
          <w:b/>
          <w:bCs/>
          <w:sz w:val="24"/>
          <w:szCs w:val="24"/>
          <w:u w:val="single"/>
        </w:rPr>
      </w:pPr>
    </w:p>
    <w:p w14:paraId="62D1B00C" w14:textId="77777777" w:rsidR="006116FB" w:rsidRDefault="006116FB" w:rsidP="00DB4200">
      <w:pPr>
        <w:spacing w:line="360" w:lineRule="auto"/>
        <w:rPr>
          <w:rFonts w:ascii="Arial" w:hAnsi="Arial" w:cs="Arial"/>
          <w:b/>
          <w:bCs/>
          <w:sz w:val="24"/>
          <w:szCs w:val="24"/>
          <w:u w:val="single"/>
        </w:rPr>
      </w:pPr>
    </w:p>
    <w:p w14:paraId="1A0DBC48" w14:textId="434299C0" w:rsidR="007A1D79" w:rsidRPr="00DB4200" w:rsidRDefault="006A5CD2" w:rsidP="00DB4200">
      <w:pPr>
        <w:spacing w:line="360" w:lineRule="auto"/>
        <w:rPr>
          <w:rFonts w:ascii="Arial" w:hAnsi="Arial" w:cs="Arial"/>
          <w:b/>
          <w:bCs/>
          <w:sz w:val="24"/>
          <w:szCs w:val="24"/>
          <w:u w:val="single"/>
        </w:rPr>
      </w:pPr>
      <w:r w:rsidRPr="00DB4200">
        <w:rPr>
          <w:rFonts w:ascii="Arial" w:hAnsi="Arial" w:cs="Arial"/>
          <w:b/>
          <w:bCs/>
          <w:sz w:val="24"/>
          <w:szCs w:val="24"/>
          <w:u w:val="single"/>
        </w:rPr>
        <w:t>References</w:t>
      </w:r>
    </w:p>
    <w:p w14:paraId="4DE6C578" w14:textId="77777777" w:rsidR="007A1D79" w:rsidRPr="00DB4200" w:rsidRDefault="007A1D79" w:rsidP="00DB4200">
      <w:pPr>
        <w:spacing w:line="360" w:lineRule="auto"/>
        <w:rPr>
          <w:rFonts w:ascii="Arial" w:hAnsi="Arial" w:cs="Arial"/>
          <w:sz w:val="24"/>
          <w:szCs w:val="24"/>
        </w:rPr>
      </w:pPr>
    </w:p>
    <w:p w14:paraId="3EF1F078" w14:textId="77777777" w:rsidR="00D75960" w:rsidRPr="00A40A6E" w:rsidRDefault="004F5291" w:rsidP="00A40A6E">
      <w:pPr>
        <w:spacing w:line="360" w:lineRule="auto"/>
        <w:rPr>
          <w:rFonts w:ascii="Arial" w:eastAsia="Times New Roman" w:hAnsi="Arial" w:cs="Arial"/>
          <w:color w:val="000000"/>
          <w:sz w:val="24"/>
          <w:szCs w:val="24"/>
          <w:shd w:val="clear" w:color="auto" w:fill="FEFEFE"/>
        </w:rPr>
      </w:pPr>
      <w:r w:rsidRPr="00A40A6E">
        <w:rPr>
          <w:rFonts w:ascii="Arial" w:eastAsia="Times New Roman" w:hAnsi="Arial" w:cs="Arial"/>
          <w:color w:val="000000"/>
          <w:sz w:val="24"/>
          <w:szCs w:val="24"/>
          <w:shd w:val="clear" w:color="auto" w:fill="FEFEFE"/>
        </w:rPr>
        <w:t>Anon, 2020. Levels of Organization of the Human Organism. Available at</w:t>
      </w:r>
    </w:p>
    <w:p w14:paraId="5899B6AA" w14:textId="0EF60B7D" w:rsidR="007A1D79" w:rsidRPr="00A40A6E" w:rsidRDefault="004F5291" w:rsidP="00A40A6E">
      <w:pPr>
        <w:spacing w:line="360" w:lineRule="auto"/>
        <w:rPr>
          <w:rFonts w:ascii="Arial" w:eastAsia="Times New Roman" w:hAnsi="Arial" w:cs="Arial"/>
          <w:color w:val="000000"/>
          <w:sz w:val="24"/>
          <w:szCs w:val="24"/>
          <w:shd w:val="clear" w:color="auto" w:fill="FEFEFE"/>
        </w:rPr>
      </w:pPr>
      <w:r w:rsidRPr="00A40A6E">
        <w:rPr>
          <w:rFonts w:ascii="Arial" w:eastAsia="Times New Roman" w:hAnsi="Arial" w:cs="Arial"/>
          <w:color w:val="000000"/>
          <w:sz w:val="24"/>
          <w:szCs w:val="24"/>
          <w:shd w:val="clear" w:color="auto" w:fill="FEFEFE"/>
        </w:rPr>
        <w:t xml:space="preserve"> https://med.libretexts.org/@go/page/11097 [Accessed October 21, 2021].</w:t>
      </w:r>
    </w:p>
    <w:p w14:paraId="01696195" w14:textId="7F2F2C68" w:rsidR="00D75960" w:rsidRPr="00A40A6E" w:rsidRDefault="00D75960" w:rsidP="00A40A6E">
      <w:pPr>
        <w:pStyle w:val="Heading2"/>
        <w:spacing w:before="0" w:line="360" w:lineRule="auto"/>
        <w:divId w:val="1319571563"/>
        <w:rPr>
          <w:rFonts w:ascii="Arial" w:eastAsia="Times New Roman" w:hAnsi="Arial" w:cs="Arial"/>
          <w:color w:val="000000"/>
          <w:sz w:val="24"/>
          <w:szCs w:val="24"/>
        </w:rPr>
      </w:pPr>
    </w:p>
    <w:p w14:paraId="42D139F7" w14:textId="77777777" w:rsidR="00D75960" w:rsidRPr="00A40A6E" w:rsidRDefault="00D75960" w:rsidP="00A40A6E">
      <w:pPr>
        <w:pStyle w:val="NormalWeb"/>
        <w:spacing w:before="0" w:beforeAutospacing="0" w:after="180" w:afterAutospacing="0" w:line="360" w:lineRule="auto"/>
        <w:ind w:left="450" w:hanging="450"/>
        <w:divId w:val="1319571563"/>
        <w:rPr>
          <w:rFonts w:ascii="Arial" w:hAnsi="Arial" w:cs="Arial"/>
          <w:color w:val="000000"/>
        </w:rPr>
      </w:pPr>
      <w:r w:rsidRPr="00A40A6E">
        <w:rPr>
          <w:rFonts w:ascii="Arial" w:hAnsi="Arial" w:cs="Arial"/>
          <w:color w:val="000000"/>
        </w:rPr>
        <w:t xml:space="preserve">Lee, P. and </w:t>
      </w:r>
      <w:proofErr w:type="spellStart"/>
      <w:r w:rsidRPr="00A40A6E">
        <w:rPr>
          <w:rFonts w:ascii="Arial" w:hAnsi="Arial" w:cs="Arial"/>
          <w:color w:val="000000"/>
        </w:rPr>
        <w:t>Vandenburgh</w:t>
      </w:r>
      <w:proofErr w:type="spellEnd"/>
      <w:r w:rsidRPr="00A40A6E">
        <w:rPr>
          <w:rFonts w:ascii="Arial" w:hAnsi="Arial" w:cs="Arial"/>
          <w:color w:val="000000"/>
        </w:rPr>
        <w:t>, H., 2013. Skeletal Muscle Atrophy in Bioengineered Skeletal Muscle: A New Model System. </w:t>
      </w:r>
      <w:r w:rsidRPr="00A40A6E">
        <w:rPr>
          <w:rFonts w:ascii="Arial" w:hAnsi="Arial" w:cs="Arial"/>
          <w:i/>
          <w:iCs/>
          <w:color w:val="000000"/>
        </w:rPr>
        <w:t>Tissue Engineering Part A</w:t>
      </w:r>
      <w:r w:rsidRPr="00A40A6E">
        <w:rPr>
          <w:rFonts w:ascii="Arial" w:hAnsi="Arial" w:cs="Arial"/>
          <w:color w:val="000000"/>
        </w:rPr>
        <w:t>, 19(19-20), pp.2147-2155.</w:t>
      </w:r>
    </w:p>
    <w:p w14:paraId="6FA99258" w14:textId="77777777" w:rsidR="00D75960" w:rsidRPr="00A40A6E" w:rsidRDefault="00D75960" w:rsidP="00A40A6E">
      <w:pPr>
        <w:pStyle w:val="NormalWeb"/>
        <w:spacing w:before="0" w:beforeAutospacing="0" w:after="180" w:afterAutospacing="0" w:line="360" w:lineRule="auto"/>
        <w:ind w:left="450" w:hanging="450"/>
        <w:divId w:val="1319571563"/>
        <w:rPr>
          <w:rFonts w:ascii="Arial" w:hAnsi="Arial" w:cs="Arial"/>
          <w:color w:val="000000"/>
        </w:rPr>
      </w:pPr>
      <w:r w:rsidRPr="00A40A6E">
        <w:rPr>
          <w:rFonts w:ascii="Arial" w:hAnsi="Arial" w:cs="Arial"/>
          <w:color w:val="000000"/>
        </w:rPr>
        <w:t>Mayo Clinic. 2021. </w:t>
      </w:r>
      <w:r w:rsidRPr="00A40A6E">
        <w:rPr>
          <w:rFonts w:ascii="Arial" w:hAnsi="Arial" w:cs="Arial"/>
          <w:i/>
          <w:iCs/>
          <w:color w:val="000000"/>
        </w:rPr>
        <w:t>Osteoporosis - Symptoms and causes</w:t>
      </w:r>
      <w:r w:rsidRPr="00A40A6E">
        <w:rPr>
          <w:rFonts w:ascii="Arial" w:hAnsi="Arial" w:cs="Arial"/>
          <w:color w:val="000000"/>
        </w:rPr>
        <w:t>. [online] Available at: &lt;https://www.mayoclinic.org/diseases-conditions/osteoporosis/symptoms-causes/syc-20351968&gt; [Accessed 27 November 2021].</w:t>
      </w:r>
    </w:p>
    <w:p w14:paraId="57602890" w14:textId="77777777" w:rsidR="00D75960" w:rsidRPr="00A40A6E" w:rsidRDefault="00D75960" w:rsidP="00A40A6E">
      <w:pPr>
        <w:pStyle w:val="NormalWeb"/>
        <w:spacing w:before="0" w:beforeAutospacing="0" w:after="180" w:afterAutospacing="0" w:line="360" w:lineRule="auto"/>
        <w:ind w:left="450" w:hanging="450"/>
        <w:divId w:val="1319571563"/>
        <w:rPr>
          <w:rFonts w:ascii="Arial" w:hAnsi="Arial" w:cs="Arial"/>
          <w:color w:val="000000"/>
        </w:rPr>
      </w:pPr>
      <w:r w:rsidRPr="00A40A6E">
        <w:rPr>
          <w:rFonts w:ascii="Arial" w:hAnsi="Arial" w:cs="Arial"/>
          <w:color w:val="000000"/>
        </w:rPr>
        <w:t xml:space="preserve">McKinley, M., O'Loughlin, V. and </w:t>
      </w:r>
      <w:proofErr w:type="spellStart"/>
      <w:r w:rsidRPr="00A40A6E">
        <w:rPr>
          <w:rFonts w:ascii="Arial" w:hAnsi="Arial" w:cs="Arial"/>
          <w:color w:val="000000"/>
        </w:rPr>
        <w:t>Bidle</w:t>
      </w:r>
      <w:proofErr w:type="spellEnd"/>
      <w:r w:rsidRPr="00A40A6E">
        <w:rPr>
          <w:rFonts w:ascii="Arial" w:hAnsi="Arial" w:cs="Arial"/>
          <w:color w:val="000000"/>
        </w:rPr>
        <w:t xml:space="preserve">, T., </w:t>
      </w:r>
      <w:proofErr w:type="spellStart"/>
      <w:r w:rsidRPr="00A40A6E">
        <w:rPr>
          <w:rFonts w:ascii="Arial" w:hAnsi="Arial" w:cs="Arial"/>
          <w:color w:val="000000"/>
        </w:rPr>
        <w:t>n.d.</w:t>
      </w:r>
      <w:proofErr w:type="spellEnd"/>
      <w:r w:rsidRPr="00A40A6E">
        <w:rPr>
          <w:rFonts w:ascii="Arial" w:hAnsi="Arial" w:cs="Arial"/>
          <w:color w:val="000000"/>
        </w:rPr>
        <w:t> </w:t>
      </w:r>
      <w:r w:rsidRPr="00A40A6E">
        <w:rPr>
          <w:rFonts w:ascii="Arial" w:hAnsi="Arial" w:cs="Arial"/>
          <w:i/>
          <w:iCs/>
          <w:color w:val="000000"/>
        </w:rPr>
        <w:t>Anatomy &amp; physiology</w:t>
      </w:r>
      <w:r w:rsidRPr="00A40A6E">
        <w:rPr>
          <w:rFonts w:ascii="Arial" w:hAnsi="Arial" w:cs="Arial"/>
          <w:color w:val="000000"/>
        </w:rPr>
        <w:t>.</w:t>
      </w:r>
    </w:p>
    <w:p w14:paraId="1D60737D" w14:textId="77777777" w:rsidR="005C5310" w:rsidRDefault="00D75960" w:rsidP="00A40A6E">
      <w:pPr>
        <w:pStyle w:val="NormalWeb"/>
        <w:spacing w:before="0" w:beforeAutospacing="0" w:after="180" w:afterAutospacing="0" w:line="360" w:lineRule="auto"/>
        <w:ind w:left="450" w:hanging="450"/>
        <w:divId w:val="1319571563"/>
        <w:rPr>
          <w:rFonts w:ascii="Arial" w:hAnsi="Arial" w:cs="Arial"/>
          <w:color w:val="000000"/>
        </w:rPr>
      </w:pPr>
      <w:r w:rsidRPr="00A40A6E">
        <w:rPr>
          <w:rFonts w:ascii="Arial" w:hAnsi="Arial" w:cs="Arial"/>
          <w:color w:val="000000"/>
        </w:rPr>
        <w:t>Science Learning Hub. 2021. </w:t>
      </w:r>
      <w:r w:rsidRPr="00A40A6E">
        <w:rPr>
          <w:rFonts w:ascii="Arial" w:hAnsi="Arial" w:cs="Arial"/>
          <w:i/>
          <w:iCs/>
          <w:color w:val="000000"/>
        </w:rPr>
        <w:t>Body systems</w:t>
      </w:r>
      <w:r w:rsidRPr="00A40A6E">
        <w:rPr>
          <w:rFonts w:ascii="Arial" w:hAnsi="Arial" w:cs="Arial"/>
          <w:color w:val="000000"/>
        </w:rPr>
        <w:t>. [online] Available at: &lt;https://www.sciencelearn.org.nz/resources/1885-body-systems&gt; [Accessed 27 November 2021].</w:t>
      </w:r>
    </w:p>
    <w:p w14:paraId="348BE03F" w14:textId="04660F93" w:rsidR="005C5310" w:rsidRDefault="005C5310" w:rsidP="00A40A6E">
      <w:pPr>
        <w:pStyle w:val="NormalWeb"/>
        <w:spacing w:before="0" w:beforeAutospacing="0" w:after="180" w:afterAutospacing="0" w:line="360" w:lineRule="auto"/>
        <w:ind w:left="450" w:hanging="450"/>
        <w:divId w:val="1319571563"/>
        <w:rPr>
          <w:rFonts w:ascii="Arial" w:hAnsi="Arial" w:cs="Arial"/>
          <w:color w:val="000000"/>
        </w:rPr>
      </w:pPr>
      <w:proofErr w:type="spellStart"/>
      <w:r>
        <w:rPr>
          <w:rFonts w:ascii="Arial" w:eastAsia="Times New Roman" w:hAnsi="Arial" w:cs="Arial"/>
          <w:color w:val="000000"/>
          <w:sz w:val="20"/>
          <w:szCs w:val="20"/>
          <w:shd w:val="clear" w:color="auto" w:fill="FFFFFF"/>
        </w:rPr>
        <w:t>Siris</w:t>
      </w:r>
      <w:proofErr w:type="spellEnd"/>
      <w:r>
        <w:rPr>
          <w:rFonts w:ascii="Arial" w:eastAsia="Times New Roman" w:hAnsi="Arial" w:cs="Arial"/>
          <w:color w:val="000000"/>
          <w:sz w:val="20"/>
          <w:szCs w:val="20"/>
          <w:shd w:val="clear" w:color="auto" w:fill="FFFFFF"/>
        </w:rPr>
        <w:t xml:space="preserve">, E., Miller, P., Barrett-Connor, E., Faulkner, K., </w:t>
      </w:r>
      <w:proofErr w:type="spellStart"/>
      <w:r>
        <w:rPr>
          <w:rFonts w:ascii="Arial" w:eastAsia="Times New Roman" w:hAnsi="Arial" w:cs="Arial"/>
          <w:color w:val="000000"/>
          <w:sz w:val="20"/>
          <w:szCs w:val="20"/>
          <w:shd w:val="clear" w:color="auto" w:fill="FFFFFF"/>
        </w:rPr>
        <w:t>Wehren</w:t>
      </w:r>
      <w:proofErr w:type="spellEnd"/>
      <w:r>
        <w:rPr>
          <w:rFonts w:ascii="Arial" w:eastAsia="Times New Roman" w:hAnsi="Arial" w:cs="Arial"/>
          <w:color w:val="000000"/>
          <w:sz w:val="20"/>
          <w:szCs w:val="20"/>
          <w:shd w:val="clear" w:color="auto" w:fill="FFFFFF"/>
        </w:rPr>
        <w:t xml:space="preserve">, L., Abbott, T., Berger, M., </w:t>
      </w:r>
      <w:proofErr w:type="spellStart"/>
      <w:r>
        <w:rPr>
          <w:rFonts w:ascii="Arial" w:eastAsia="Times New Roman" w:hAnsi="Arial" w:cs="Arial"/>
          <w:color w:val="000000"/>
          <w:sz w:val="20"/>
          <w:szCs w:val="20"/>
          <w:shd w:val="clear" w:color="auto" w:fill="FFFFFF"/>
        </w:rPr>
        <w:t>Santora</w:t>
      </w:r>
      <w:proofErr w:type="spellEnd"/>
      <w:r>
        <w:rPr>
          <w:rFonts w:ascii="Arial" w:eastAsia="Times New Roman" w:hAnsi="Arial" w:cs="Arial"/>
          <w:color w:val="000000"/>
          <w:sz w:val="20"/>
          <w:szCs w:val="20"/>
          <w:shd w:val="clear" w:color="auto" w:fill="FFFFFF"/>
        </w:rPr>
        <w:t>, A. and Sherwood, L., 2001. Identification and Fracture Outcomes of Undiagnosed Low Bone Mineral Density in Postmenopausal Women. </w:t>
      </w:r>
      <w:r>
        <w:rPr>
          <w:rFonts w:ascii="Arial" w:eastAsia="Times New Roman" w:hAnsi="Arial" w:cs="Arial"/>
          <w:i/>
          <w:iCs/>
          <w:color w:val="000000"/>
          <w:sz w:val="20"/>
          <w:szCs w:val="20"/>
          <w:shd w:val="clear" w:color="auto" w:fill="FFFFFF"/>
        </w:rPr>
        <w:t>JAMA</w:t>
      </w:r>
      <w:r>
        <w:rPr>
          <w:rFonts w:ascii="Arial" w:eastAsia="Times New Roman" w:hAnsi="Arial" w:cs="Arial"/>
          <w:color w:val="000000"/>
          <w:sz w:val="20"/>
          <w:szCs w:val="20"/>
          <w:shd w:val="clear" w:color="auto" w:fill="FFFFFF"/>
        </w:rPr>
        <w:t>, 286(22), p.2815.</w:t>
      </w:r>
    </w:p>
    <w:p w14:paraId="0385811E" w14:textId="183B4327" w:rsidR="00D75960" w:rsidRPr="00A40A6E" w:rsidRDefault="00D75960" w:rsidP="00A40A6E">
      <w:pPr>
        <w:pStyle w:val="NormalWeb"/>
        <w:spacing w:before="0" w:beforeAutospacing="0" w:after="180" w:afterAutospacing="0" w:line="360" w:lineRule="auto"/>
        <w:ind w:left="450" w:hanging="450"/>
        <w:divId w:val="1319571563"/>
        <w:rPr>
          <w:rFonts w:ascii="Arial" w:hAnsi="Arial" w:cs="Arial"/>
          <w:color w:val="000000"/>
        </w:rPr>
      </w:pPr>
      <w:r w:rsidRPr="00A40A6E">
        <w:rPr>
          <w:rFonts w:ascii="Arial" w:hAnsi="Arial" w:cs="Arial"/>
          <w:color w:val="000000"/>
        </w:rPr>
        <w:t xml:space="preserve">Waugh, A., Grant, A. and Tibbitts, R., </w:t>
      </w:r>
      <w:proofErr w:type="spellStart"/>
      <w:r w:rsidRPr="00A40A6E">
        <w:rPr>
          <w:rFonts w:ascii="Arial" w:hAnsi="Arial" w:cs="Arial"/>
          <w:color w:val="000000"/>
        </w:rPr>
        <w:t>n.d.</w:t>
      </w:r>
      <w:proofErr w:type="spellEnd"/>
      <w:r w:rsidRPr="00A40A6E">
        <w:rPr>
          <w:rFonts w:ascii="Arial" w:hAnsi="Arial" w:cs="Arial"/>
          <w:color w:val="000000"/>
        </w:rPr>
        <w:t> </w:t>
      </w:r>
      <w:r w:rsidRPr="00A40A6E">
        <w:rPr>
          <w:rFonts w:ascii="Arial" w:hAnsi="Arial" w:cs="Arial"/>
          <w:i/>
          <w:iCs/>
          <w:color w:val="000000"/>
        </w:rPr>
        <w:t>Ross &amp; Wilson anatomy and physiology in health and illness</w:t>
      </w:r>
      <w:r w:rsidRPr="00A40A6E">
        <w:rPr>
          <w:rFonts w:ascii="Arial" w:hAnsi="Arial" w:cs="Arial"/>
          <w:color w:val="000000"/>
        </w:rPr>
        <w:t>.</w:t>
      </w:r>
    </w:p>
    <w:p w14:paraId="33B71ECF" w14:textId="77777777" w:rsidR="00D75960" w:rsidRPr="00A40A6E" w:rsidRDefault="00D75960" w:rsidP="00A40A6E">
      <w:pPr>
        <w:pStyle w:val="NormalWeb"/>
        <w:spacing w:before="0" w:beforeAutospacing="0" w:after="180" w:afterAutospacing="0" w:line="360" w:lineRule="auto"/>
        <w:ind w:left="450" w:hanging="450"/>
        <w:divId w:val="1319571563"/>
        <w:rPr>
          <w:rFonts w:ascii="Arial" w:hAnsi="Arial" w:cs="Arial"/>
          <w:color w:val="000000"/>
        </w:rPr>
      </w:pPr>
      <w:r w:rsidRPr="00A40A6E">
        <w:rPr>
          <w:rFonts w:ascii="Arial" w:hAnsi="Arial" w:cs="Arial"/>
          <w:color w:val="000000"/>
        </w:rPr>
        <w:t>Zhang, M., 2015. </w:t>
      </w:r>
      <w:r w:rsidRPr="00A40A6E">
        <w:rPr>
          <w:rFonts w:ascii="Arial" w:hAnsi="Arial" w:cs="Arial"/>
          <w:i/>
          <w:iCs/>
          <w:color w:val="000000"/>
        </w:rPr>
        <w:t>Computational biomechanics of the musculoskeletal system</w:t>
      </w:r>
      <w:r w:rsidRPr="00A40A6E">
        <w:rPr>
          <w:rFonts w:ascii="Arial" w:hAnsi="Arial" w:cs="Arial"/>
          <w:color w:val="000000"/>
        </w:rPr>
        <w:t>. Boca Raton: CRC Press.</w:t>
      </w:r>
    </w:p>
    <w:p w14:paraId="10237828" w14:textId="77777777" w:rsidR="00D75960" w:rsidRPr="00A40A6E" w:rsidRDefault="00D75960" w:rsidP="00A40A6E">
      <w:pPr>
        <w:spacing w:line="360" w:lineRule="auto"/>
        <w:rPr>
          <w:rFonts w:ascii="Arial" w:eastAsia="Times New Roman" w:hAnsi="Arial" w:cs="Arial"/>
          <w:color w:val="000000"/>
          <w:sz w:val="24"/>
          <w:szCs w:val="24"/>
          <w:shd w:val="clear" w:color="auto" w:fill="FEFEFE"/>
        </w:rPr>
      </w:pPr>
    </w:p>
    <w:p w14:paraId="6720473B" w14:textId="77777777" w:rsidR="00ED22C5" w:rsidRPr="00A40A6E" w:rsidRDefault="00ED22C5" w:rsidP="00A40A6E">
      <w:pPr>
        <w:spacing w:line="360" w:lineRule="auto"/>
        <w:rPr>
          <w:rFonts w:ascii="Arial" w:hAnsi="Arial" w:cs="Arial"/>
          <w:sz w:val="24"/>
          <w:szCs w:val="24"/>
        </w:rPr>
      </w:pPr>
    </w:p>
    <w:sectPr w:rsidR="00ED22C5" w:rsidRPr="00A40A6E">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3AC788" w14:textId="77777777" w:rsidR="00DB68D2" w:rsidRDefault="00DB68D2" w:rsidP="00DB4200">
      <w:pPr>
        <w:spacing w:after="0" w:line="240" w:lineRule="auto"/>
      </w:pPr>
      <w:r>
        <w:separator/>
      </w:r>
    </w:p>
  </w:endnote>
  <w:endnote w:type="continuationSeparator" w:id="0">
    <w:p w14:paraId="0A6BE002" w14:textId="77777777" w:rsidR="00DB68D2" w:rsidRDefault="00DB68D2" w:rsidP="00DB4200">
      <w:pPr>
        <w:spacing w:after="0" w:line="240" w:lineRule="auto"/>
      </w:pPr>
      <w:r>
        <w:continuationSeparator/>
      </w:r>
    </w:p>
  </w:endnote>
  <w:endnote w:type="continuationNotice" w:id="1">
    <w:p w14:paraId="513F2CC9" w14:textId="77777777" w:rsidR="00DB68D2" w:rsidRDefault="00DB68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68534343"/>
      <w:docPartObj>
        <w:docPartGallery w:val="Page Numbers (Bottom of Page)"/>
        <w:docPartUnique/>
      </w:docPartObj>
    </w:sdtPr>
    <w:sdtEndPr>
      <w:rPr>
        <w:rStyle w:val="PageNumber"/>
      </w:rPr>
    </w:sdtEndPr>
    <w:sdtContent>
      <w:p w14:paraId="3FD1B70A" w14:textId="093DB869" w:rsidR="00DB4200" w:rsidRDefault="00DB4200" w:rsidP="00CD4C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9D4254" w14:textId="77777777" w:rsidR="00DB4200" w:rsidRDefault="00DB4200" w:rsidP="00DB42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8498183"/>
      <w:docPartObj>
        <w:docPartGallery w:val="Page Numbers (Bottom of Page)"/>
        <w:docPartUnique/>
      </w:docPartObj>
    </w:sdtPr>
    <w:sdtEndPr>
      <w:rPr>
        <w:rStyle w:val="PageNumber"/>
      </w:rPr>
    </w:sdtEndPr>
    <w:sdtContent>
      <w:p w14:paraId="12706846" w14:textId="261EEF86" w:rsidR="00DB4200" w:rsidRDefault="00DB4200" w:rsidP="00CD4C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13ACD372" w14:textId="77777777" w:rsidR="00DB4200" w:rsidRDefault="00DB4200" w:rsidP="00DB42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11232B" w14:textId="77777777" w:rsidR="00DB68D2" w:rsidRDefault="00DB68D2" w:rsidP="00DB4200">
      <w:pPr>
        <w:spacing w:after="0" w:line="240" w:lineRule="auto"/>
      </w:pPr>
      <w:r>
        <w:separator/>
      </w:r>
    </w:p>
  </w:footnote>
  <w:footnote w:type="continuationSeparator" w:id="0">
    <w:p w14:paraId="07F60CE8" w14:textId="77777777" w:rsidR="00DB68D2" w:rsidRDefault="00DB68D2" w:rsidP="00DB4200">
      <w:pPr>
        <w:spacing w:after="0" w:line="240" w:lineRule="auto"/>
      </w:pPr>
      <w:r>
        <w:continuationSeparator/>
      </w:r>
    </w:p>
  </w:footnote>
  <w:footnote w:type="continuationNotice" w:id="1">
    <w:p w14:paraId="6381FB1C" w14:textId="77777777" w:rsidR="00DB68D2" w:rsidRDefault="00DB68D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65F97"/>
    <w:multiLevelType w:val="hybridMultilevel"/>
    <w:tmpl w:val="CEA89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3A70D5"/>
    <w:multiLevelType w:val="hybridMultilevel"/>
    <w:tmpl w:val="E4F6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7F34A6"/>
    <w:multiLevelType w:val="hybridMultilevel"/>
    <w:tmpl w:val="062E95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995202"/>
    <w:multiLevelType w:val="hybridMultilevel"/>
    <w:tmpl w:val="BB369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4E236E"/>
    <w:multiLevelType w:val="hybridMultilevel"/>
    <w:tmpl w:val="F7E00A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E543267"/>
    <w:multiLevelType w:val="hybridMultilevel"/>
    <w:tmpl w:val="C444F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72684E"/>
    <w:multiLevelType w:val="hybridMultilevel"/>
    <w:tmpl w:val="9E68A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E1747A"/>
    <w:multiLevelType w:val="hybridMultilevel"/>
    <w:tmpl w:val="A03CA3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6"/>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9B9"/>
    <w:rsid w:val="000222C7"/>
    <w:rsid w:val="000547B0"/>
    <w:rsid w:val="00062668"/>
    <w:rsid w:val="00080E89"/>
    <w:rsid w:val="0009351F"/>
    <w:rsid w:val="00097DF3"/>
    <w:rsid w:val="000C749D"/>
    <w:rsid w:val="000E34FC"/>
    <w:rsid w:val="001224B2"/>
    <w:rsid w:val="00153984"/>
    <w:rsid w:val="001651D8"/>
    <w:rsid w:val="0017710D"/>
    <w:rsid w:val="00186920"/>
    <w:rsid w:val="00197C37"/>
    <w:rsid w:val="001B12ED"/>
    <w:rsid w:val="001B3BEA"/>
    <w:rsid w:val="001B615B"/>
    <w:rsid w:val="001D17F2"/>
    <w:rsid w:val="001E131D"/>
    <w:rsid w:val="001F012B"/>
    <w:rsid w:val="002001F4"/>
    <w:rsid w:val="00200FCB"/>
    <w:rsid w:val="0020731B"/>
    <w:rsid w:val="00212A23"/>
    <w:rsid w:val="0022104D"/>
    <w:rsid w:val="00233A62"/>
    <w:rsid w:val="00247B1B"/>
    <w:rsid w:val="00264113"/>
    <w:rsid w:val="002A19FD"/>
    <w:rsid w:val="002D3C1C"/>
    <w:rsid w:val="002E4491"/>
    <w:rsid w:val="002E500F"/>
    <w:rsid w:val="00321CE3"/>
    <w:rsid w:val="0032517C"/>
    <w:rsid w:val="003417A3"/>
    <w:rsid w:val="00346D74"/>
    <w:rsid w:val="00354789"/>
    <w:rsid w:val="00357636"/>
    <w:rsid w:val="003859F9"/>
    <w:rsid w:val="003863F3"/>
    <w:rsid w:val="003D67A8"/>
    <w:rsid w:val="003F09B9"/>
    <w:rsid w:val="003F6FBF"/>
    <w:rsid w:val="004264B0"/>
    <w:rsid w:val="004924BA"/>
    <w:rsid w:val="004C5B83"/>
    <w:rsid w:val="004F5291"/>
    <w:rsid w:val="00553379"/>
    <w:rsid w:val="00566503"/>
    <w:rsid w:val="00572B50"/>
    <w:rsid w:val="0057679F"/>
    <w:rsid w:val="00581829"/>
    <w:rsid w:val="00586A2C"/>
    <w:rsid w:val="005C5310"/>
    <w:rsid w:val="005D5970"/>
    <w:rsid w:val="005E72DC"/>
    <w:rsid w:val="00606FDB"/>
    <w:rsid w:val="006078BC"/>
    <w:rsid w:val="006116FB"/>
    <w:rsid w:val="00645DFF"/>
    <w:rsid w:val="006747B0"/>
    <w:rsid w:val="00676236"/>
    <w:rsid w:val="0067629C"/>
    <w:rsid w:val="00680FC3"/>
    <w:rsid w:val="006A5CD2"/>
    <w:rsid w:val="006D3223"/>
    <w:rsid w:val="006F6CFA"/>
    <w:rsid w:val="007137C6"/>
    <w:rsid w:val="00732F7E"/>
    <w:rsid w:val="0074142C"/>
    <w:rsid w:val="00741D8E"/>
    <w:rsid w:val="007A1D79"/>
    <w:rsid w:val="007B1236"/>
    <w:rsid w:val="007B2454"/>
    <w:rsid w:val="007C4FD3"/>
    <w:rsid w:val="007D29BE"/>
    <w:rsid w:val="007D2E96"/>
    <w:rsid w:val="007F5ED2"/>
    <w:rsid w:val="007F7328"/>
    <w:rsid w:val="008070B7"/>
    <w:rsid w:val="00895B01"/>
    <w:rsid w:val="008B3FF8"/>
    <w:rsid w:val="008B40AE"/>
    <w:rsid w:val="008C17F1"/>
    <w:rsid w:val="00912B17"/>
    <w:rsid w:val="009333BD"/>
    <w:rsid w:val="0094154B"/>
    <w:rsid w:val="009529EA"/>
    <w:rsid w:val="00955A11"/>
    <w:rsid w:val="0095727A"/>
    <w:rsid w:val="0097007C"/>
    <w:rsid w:val="009A296A"/>
    <w:rsid w:val="009C0F93"/>
    <w:rsid w:val="009C637B"/>
    <w:rsid w:val="009D6E0E"/>
    <w:rsid w:val="009E769A"/>
    <w:rsid w:val="009F324A"/>
    <w:rsid w:val="00A0758C"/>
    <w:rsid w:val="00A32C58"/>
    <w:rsid w:val="00A40A6E"/>
    <w:rsid w:val="00A454D3"/>
    <w:rsid w:val="00A635F5"/>
    <w:rsid w:val="00A641B5"/>
    <w:rsid w:val="00A71B05"/>
    <w:rsid w:val="00AA7E0D"/>
    <w:rsid w:val="00AC72FB"/>
    <w:rsid w:val="00AF7862"/>
    <w:rsid w:val="00B03AFF"/>
    <w:rsid w:val="00B3069A"/>
    <w:rsid w:val="00B52FFE"/>
    <w:rsid w:val="00B540F1"/>
    <w:rsid w:val="00B76F33"/>
    <w:rsid w:val="00B94DC7"/>
    <w:rsid w:val="00BC695F"/>
    <w:rsid w:val="00BD39B6"/>
    <w:rsid w:val="00BD4050"/>
    <w:rsid w:val="00BD7F99"/>
    <w:rsid w:val="00C360D6"/>
    <w:rsid w:val="00C42009"/>
    <w:rsid w:val="00C547AD"/>
    <w:rsid w:val="00C60A48"/>
    <w:rsid w:val="00C62559"/>
    <w:rsid w:val="00C8558A"/>
    <w:rsid w:val="00CA4650"/>
    <w:rsid w:val="00CD4C1F"/>
    <w:rsid w:val="00CF5376"/>
    <w:rsid w:val="00D3239B"/>
    <w:rsid w:val="00D47374"/>
    <w:rsid w:val="00D53FE2"/>
    <w:rsid w:val="00D75960"/>
    <w:rsid w:val="00D85853"/>
    <w:rsid w:val="00DB4200"/>
    <w:rsid w:val="00DB68D2"/>
    <w:rsid w:val="00DF0380"/>
    <w:rsid w:val="00E015ED"/>
    <w:rsid w:val="00E03849"/>
    <w:rsid w:val="00E1240C"/>
    <w:rsid w:val="00E16162"/>
    <w:rsid w:val="00E33C75"/>
    <w:rsid w:val="00E669EF"/>
    <w:rsid w:val="00EA225D"/>
    <w:rsid w:val="00ED22C5"/>
    <w:rsid w:val="00F86F19"/>
    <w:rsid w:val="00FA2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0EDD0"/>
  <w15:chartTrackingRefBased/>
  <w15:docId w15:val="{5872BE01-597E-5A4B-8AC3-17CFB0B1E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759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17C"/>
    <w:pPr>
      <w:ind w:left="720"/>
      <w:contextualSpacing/>
    </w:pPr>
  </w:style>
  <w:style w:type="character" w:customStyle="1" w:styleId="muitypography-root">
    <w:name w:val="muitypography-root"/>
    <w:basedOn w:val="DefaultParagraphFont"/>
    <w:rsid w:val="00D3239B"/>
  </w:style>
  <w:style w:type="paragraph" w:styleId="Header">
    <w:name w:val="header"/>
    <w:basedOn w:val="Normal"/>
    <w:link w:val="HeaderChar"/>
    <w:uiPriority w:val="99"/>
    <w:unhideWhenUsed/>
    <w:rsid w:val="00DB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200"/>
  </w:style>
  <w:style w:type="paragraph" w:styleId="Footer">
    <w:name w:val="footer"/>
    <w:basedOn w:val="Normal"/>
    <w:link w:val="FooterChar"/>
    <w:uiPriority w:val="99"/>
    <w:unhideWhenUsed/>
    <w:rsid w:val="00DB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200"/>
  </w:style>
  <w:style w:type="character" w:styleId="PageNumber">
    <w:name w:val="page number"/>
    <w:basedOn w:val="DefaultParagraphFont"/>
    <w:uiPriority w:val="99"/>
    <w:semiHidden/>
    <w:unhideWhenUsed/>
    <w:rsid w:val="00DB4200"/>
  </w:style>
  <w:style w:type="character" w:customStyle="1" w:styleId="Heading2Char">
    <w:name w:val="Heading 2 Char"/>
    <w:basedOn w:val="DefaultParagraphFont"/>
    <w:link w:val="Heading2"/>
    <w:uiPriority w:val="9"/>
    <w:semiHidden/>
    <w:rsid w:val="00D7596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75960"/>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957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footer" Target="footer2.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footer" Target="footer1.xml" /><Relationship Id="rId5" Type="http://schemas.openxmlformats.org/officeDocument/2006/relationships/styles" Target="styles.xml" /><Relationship Id="rId10" Type="http://schemas.openxmlformats.org/officeDocument/2006/relationships/image" Target="media/image1.png"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1" ma:contentTypeDescription="Create a new document." ma:contentTypeScope="" ma:versionID="ad5ef1d5f25f7a5076e7c2ba2f6c503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f1e720efeff12986cef8b7cbff99cdeb"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FF7FFE-F3A3-4FBF-8B6E-535D6A4C4CDE}">
  <ds:schemaRefs>
    <ds:schemaRef ds:uri="http://schemas.microsoft.com/sharepoint/v3/contenttype/forms"/>
  </ds:schemaRefs>
</ds:datastoreItem>
</file>

<file path=customXml/itemProps2.xml><?xml version="1.0" encoding="utf-8"?>
<ds:datastoreItem xmlns:ds="http://schemas.openxmlformats.org/officeDocument/2006/customXml" ds:itemID="{8FCE94BF-5105-4305-A9B3-B049FB75D64F}">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6E8FFE7A-C674-4552-9726-2A93DA245228}">
  <ds:schemaRefs>
    <ds:schemaRef ds:uri="http://schemas.microsoft.com/office/2006/metadata/contentType"/>
    <ds:schemaRef ds:uri="http://schemas.microsoft.com/office/2006/metadata/properties/metaAttributes"/>
    <ds:schemaRef ds:uri="http://www.w3.org/2000/xmlns/"/>
    <ds:schemaRef ds:uri="http://www.w3.org/2001/XMLSchema"/>
    <ds:schemaRef ds:uri="46b8f10f-f56e-4e87-af4a-2384ac144562"/>
    <ds:schemaRef ds:uri="921765a0-fcf6-47d1-8ac4-5d670786d758"/>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5</Pages>
  <Words>771</Words>
  <Characters>4399</Characters>
  <Application>Microsoft Office Word</Application>
  <DocSecurity>0</DocSecurity>
  <Lines>36</Lines>
  <Paragraphs>10</Paragraphs>
  <ScaleCrop>false</ScaleCrop>
  <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Lusharnia Gordon (1905474)</dc:creator>
  <cp:keywords/>
  <dc:description/>
  <cp:lastModifiedBy>King K</cp:lastModifiedBy>
  <cp:revision>91</cp:revision>
  <dcterms:created xsi:type="dcterms:W3CDTF">2021-10-18T13:58:00Z</dcterms:created>
  <dcterms:modified xsi:type="dcterms:W3CDTF">2021-12-02T12:42:00Z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