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2450EB" w14:textId="658A4DD5" w:rsidR="00172951" w:rsidRPr="007F3116" w:rsidRDefault="00172951" w:rsidP="0062213F">
      <w:pPr>
        <w:pStyle w:val="Title"/>
        <w:jc w:val="center"/>
        <w:rPr>
          <w:rFonts w:ascii="Arial" w:hAnsi="Arial" w:cs="Arial"/>
          <w:color w:val="000000" w:themeColor="text1"/>
          <w:shd w:val="clear" w:color="auto" w:fill="FFFFFF"/>
        </w:rPr>
      </w:pPr>
      <w:r w:rsidRPr="004B3EA1">
        <w:rPr>
          <w:rFonts w:ascii="Arial" w:hAnsi="Arial" w:cs="Arial"/>
          <w:noProof/>
          <w:color w:val="000000" w:themeColor="text1"/>
        </w:rPr>
        <w:drawing>
          <wp:inline distT="0" distB="0" distL="0" distR="0" wp14:anchorId="65C83E5D" wp14:editId="4E0D67E7">
            <wp:extent cx="3810000" cy="1095375"/>
            <wp:effectExtent l="0" t="0" r="0" b="9525"/>
            <wp:docPr id="1866439583" name="Picture 1" descr="Open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en phot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1095375"/>
                    </a:xfrm>
                    <a:prstGeom prst="rect">
                      <a:avLst/>
                    </a:prstGeom>
                    <a:noFill/>
                    <a:ln>
                      <a:noFill/>
                    </a:ln>
                  </pic:spPr>
                </pic:pic>
              </a:graphicData>
            </a:graphic>
          </wp:inline>
        </w:drawing>
      </w:r>
    </w:p>
    <w:p w14:paraId="334133DE" w14:textId="77777777" w:rsidR="00172951" w:rsidRPr="00F11ADA" w:rsidRDefault="00172951" w:rsidP="00172951"/>
    <w:p w14:paraId="676FA616" w14:textId="77777777" w:rsidR="00172951" w:rsidRPr="007F3116" w:rsidRDefault="00172951" w:rsidP="00172951">
      <w:pPr>
        <w:pStyle w:val="Title"/>
        <w:jc w:val="center"/>
        <w:rPr>
          <w:rFonts w:ascii="Arial" w:hAnsi="Arial" w:cs="Arial"/>
          <w:b/>
          <w:bCs/>
          <w:color w:val="000000" w:themeColor="text1"/>
          <w:sz w:val="64"/>
          <w:szCs w:val="64"/>
          <w:shd w:val="clear" w:color="auto" w:fill="FFFFFF"/>
        </w:rPr>
      </w:pPr>
      <w:r w:rsidRPr="007F3116">
        <w:rPr>
          <w:rFonts w:ascii="Arial" w:hAnsi="Arial" w:cs="Arial"/>
          <w:b/>
          <w:bCs/>
          <w:color w:val="000000" w:themeColor="text1"/>
          <w:sz w:val="64"/>
          <w:szCs w:val="64"/>
          <w:shd w:val="clear" w:color="auto" w:fill="FFFFFF"/>
        </w:rPr>
        <w:t>BA Leadership and Management Skills for the Workplace</w:t>
      </w:r>
    </w:p>
    <w:p w14:paraId="41437D0C" w14:textId="77777777" w:rsidR="00172951" w:rsidRPr="007F3116" w:rsidRDefault="00172951" w:rsidP="00172951">
      <w:pPr>
        <w:rPr>
          <w:rFonts w:ascii="Arial" w:hAnsi="Arial" w:cs="Arial"/>
          <w:sz w:val="64"/>
          <w:szCs w:val="64"/>
        </w:rPr>
      </w:pPr>
    </w:p>
    <w:p w14:paraId="55211425" w14:textId="07FD0D45" w:rsidR="00172951" w:rsidRDefault="00515422" w:rsidP="00172951">
      <w:pPr>
        <w:jc w:val="center"/>
        <w:rPr>
          <w:rFonts w:ascii="Arial" w:hAnsi="Arial" w:cs="Arial"/>
          <w:b/>
          <w:bCs/>
          <w:color w:val="000000" w:themeColor="text1"/>
          <w:sz w:val="64"/>
          <w:szCs w:val="64"/>
        </w:rPr>
      </w:pPr>
      <w:r>
        <w:rPr>
          <w:rFonts w:ascii="Arial" w:hAnsi="Arial" w:cs="Arial"/>
          <w:b/>
          <w:bCs/>
          <w:color w:val="000000" w:themeColor="text1"/>
          <w:sz w:val="64"/>
          <w:szCs w:val="64"/>
        </w:rPr>
        <w:t>Coaching and Mentoring Skills for the Workplace</w:t>
      </w:r>
    </w:p>
    <w:p w14:paraId="2B10687A" w14:textId="77777777" w:rsidR="00515422" w:rsidRPr="007F3116" w:rsidRDefault="00515422" w:rsidP="00172951">
      <w:pPr>
        <w:jc w:val="center"/>
        <w:rPr>
          <w:rFonts w:ascii="Arial" w:hAnsi="Arial" w:cs="Arial"/>
          <w:b/>
          <w:bCs/>
          <w:color w:val="000000" w:themeColor="text1"/>
          <w:sz w:val="64"/>
          <w:szCs w:val="64"/>
        </w:rPr>
      </w:pPr>
    </w:p>
    <w:p w14:paraId="5837F6D7" w14:textId="77777777" w:rsidR="00515422" w:rsidRDefault="00172951" w:rsidP="00172951">
      <w:pPr>
        <w:pStyle w:val="Title"/>
        <w:jc w:val="center"/>
        <w:rPr>
          <w:rFonts w:ascii="Arial" w:hAnsi="Arial" w:cs="Arial"/>
          <w:b/>
          <w:bCs/>
          <w:color w:val="000000" w:themeColor="text1"/>
          <w:sz w:val="64"/>
          <w:szCs w:val="64"/>
        </w:rPr>
      </w:pPr>
      <w:r w:rsidRPr="007F3116">
        <w:rPr>
          <w:rFonts w:ascii="Arial" w:hAnsi="Arial" w:cs="Arial"/>
          <w:b/>
          <w:bCs/>
          <w:color w:val="000000" w:themeColor="text1"/>
          <w:sz w:val="64"/>
          <w:szCs w:val="64"/>
        </w:rPr>
        <w:t>BMSW610</w:t>
      </w:r>
      <w:r w:rsidR="00D258BE">
        <w:rPr>
          <w:rFonts w:ascii="Arial" w:hAnsi="Arial" w:cs="Arial"/>
          <w:b/>
          <w:bCs/>
          <w:color w:val="000000" w:themeColor="text1"/>
          <w:sz w:val="64"/>
          <w:szCs w:val="64"/>
        </w:rPr>
        <w:t xml:space="preserve">5 </w:t>
      </w:r>
    </w:p>
    <w:p w14:paraId="4D533E2B" w14:textId="77777777" w:rsidR="00515422" w:rsidRDefault="00515422" w:rsidP="00172951">
      <w:pPr>
        <w:pStyle w:val="Title"/>
        <w:jc w:val="center"/>
        <w:rPr>
          <w:rFonts w:ascii="Arial" w:hAnsi="Arial" w:cs="Arial"/>
          <w:b/>
          <w:bCs/>
          <w:color w:val="000000" w:themeColor="text1"/>
          <w:sz w:val="64"/>
          <w:szCs w:val="64"/>
        </w:rPr>
      </w:pPr>
    </w:p>
    <w:p w14:paraId="710EA0A9" w14:textId="76058885" w:rsidR="00172951" w:rsidRDefault="00D258BE" w:rsidP="00172951">
      <w:pPr>
        <w:pStyle w:val="Title"/>
        <w:jc w:val="center"/>
        <w:rPr>
          <w:rFonts w:ascii="Arial" w:hAnsi="Arial" w:cs="Arial"/>
          <w:b/>
          <w:bCs/>
          <w:color w:val="000000" w:themeColor="text1"/>
          <w:sz w:val="64"/>
          <w:szCs w:val="64"/>
        </w:rPr>
      </w:pPr>
      <w:r>
        <w:rPr>
          <w:rFonts w:ascii="Arial" w:hAnsi="Arial" w:cs="Arial"/>
          <w:b/>
          <w:bCs/>
          <w:color w:val="000000" w:themeColor="text1"/>
          <w:sz w:val="64"/>
          <w:szCs w:val="64"/>
        </w:rPr>
        <w:t>Written Reflec</w:t>
      </w:r>
      <w:r w:rsidR="00515422">
        <w:rPr>
          <w:rFonts w:ascii="Arial" w:hAnsi="Arial" w:cs="Arial"/>
          <w:b/>
          <w:bCs/>
          <w:color w:val="000000" w:themeColor="text1"/>
          <w:sz w:val="64"/>
          <w:szCs w:val="64"/>
        </w:rPr>
        <w:t>tion</w:t>
      </w:r>
    </w:p>
    <w:p w14:paraId="11D39576" w14:textId="77777777" w:rsidR="00515422" w:rsidRPr="00515422" w:rsidRDefault="00515422" w:rsidP="00515422"/>
    <w:p w14:paraId="546E24EF" w14:textId="77777777" w:rsidR="00172951" w:rsidRDefault="00172951" w:rsidP="00172951">
      <w:pPr>
        <w:rPr>
          <w:rFonts w:ascii="Arial" w:hAnsi="Arial" w:cs="Arial"/>
          <w:color w:val="000000" w:themeColor="text1"/>
        </w:rPr>
      </w:pPr>
    </w:p>
    <w:p w14:paraId="208BCEB3" w14:textId="77777777" w:rsidR="00172951" w:rsidRPr="004B3EA1" w:rsidRDefault="00172951" w:rsidP="00172951">
      <w:pPr>
        <w:rPr>
          <w:rFonts w:ascii="Arial" w:hAnsi="Arial" w:cs="Arial"/>
          <w:color w:val="000000" w:themeColor="text1"/>
        </w:rPr>
      </w:pPr>
    </w:p>
    <w:p w14:paraId="2E8575C1" w14:textId="77777777" w:rsidR="00172951" w:rsidRPr="00F11ADA" w:rsidRDefault="00172951" w:rsidP="00172951">
      <w:pPr>
        <w:rPr>
          <w:rFonts w:ascii="Arial" w:hAnsi="Arial" w:cs="Arial"/>
          <w:b/>
          <w:bCs/>
          <w:color w:val="000000" w:themeColor="text1"/>
        </w:rPr>
      </w:pPr>
    </w:p>
    <w:p w14:paraId="510346F4" w14:textId="2E58450A" w:rsidR="00172951" w:rsidRPr="00F11ADA" w:rsidRDefault="00172951" w:rsidP="00172951">
      <w:pPr>
        <w:jc w:val="right"/>
        <w:rPr>
          <w:rFonts w:ascii="Arial" w:hAnsi="Arial" w:cs="Arial"/>
          <w:b/>
          <w:bCs/>
          <w:color w:val="000000" w:themeColor="text1"/>
        </w:rPr>
      </w:pPr>
      <w:r w:rsidRPr="00F11ADA">
        <w:rPr>
          <w:rFonts w:ascii="Arial" w:hAnsi="Arial" w:cs="Arial"/>
          <w:b/>
          <w:bCs/>
          <w:color w:val="000000" w:themeColor="text1"/>
        </w:rPr>
        <w:t>Lecturer:</w:t>
      </w:r>
      <w:r w:rsidR="008D2E3A">
        <w:rPr>
          <w:rFonts w:ascii="Arial" w:hAnsi="Arial" w:cs="Arial"/>
          <w:b/>
          <w:bCs/>
          <w:color w:val="000000" w:themeColor="text1"/>
        </w:rPr>
        <w:t xml:space="preserve"> Mudassar Hasan</w:t>
      </w:r>
      <w:r w:rsidRPr="00F11ADA">
        <w:rPr>
          <w:rFonts w:ascii="Arial" w:hAnsi="Arial" w:cs="Arial"/>
          <w:b/>
          <w:bCs/>
          <w:color w:val="000000" w:themeColor="text1"/>
        </w:rPr>
        <w:t xml:space="preserve"> </w:t>
      </w:r>
    </w:p>
    <w:p w14:paraId="13739596" w14:textId="77777777" w:rsidR="00C26C6B" w:rsidRPr="0010239A" w:rsidRDefault="00172951" w:rsidP="0010239A">
      <w:pPr>
        <w:jc w:val="right"/>
        <w:rPr>
          <w:rFonts w:ascii="Arial" w:hAnsi="Arial" w:cs="Arial"/>
          <w:b/>
          <w:bCs/>
          <w:color w:val="000000" w:themeColor="text1"/>
        </w:rPr>
      </w:pPr>
      <w:r w:rsidRPr="00F11ADA">
        <w:rPr>
          <w:rFonts w:ascii="Arial" w:hAnsi="Arial" w:cs="Arial"/>
          <w:b/>
          <w:bCs/>
          <w:color w:val="000000" w:themeColor="text1"/>
        </w:rPr>
        <w:t>Student: Nicoleta Damian (2120244</w:t>
      </w:r>
      <w:r w:rsidR="0010239A">
        <w:rPr>
          <w:rFonts w:ascii="Arial" w:hAnsi="Arial" w:cs="Arial"/>
          <w:b/>
          <w:bCs/>
          <w:color w:val="000000" w:themeColor="text1"/>
        </w:rPr>
        <w:t>)</w:t>
      </w:r>
    </w:p>
    <w:sdt>
      <w:sdtPr>
        <w:rPr>
          <w:rFonts w:asciiTheme="minorHAnsi" w:eastAsiaTheme="minorHAnsi" w:hAnsiTheme="minorHAnsi" w:cstheme="minorBidi"/>
          <w:color w:val="auto"/>
          <w:kern w:val="2"/>
          <w:sz w:val="24"/>
          <w:szCs w:val="24"/>
          <w:lang w:eastAsia="en-US"/>
          <w14:ligatures w14:val="standardContextual"/>
        </w:rPr>
        <w:id w:val="-946457191"/>
        <w:docPartObj>
          <w:docPartGallery w:val="Table of Contents"/>
          <w:docPartUnique/>
        </w:docPartObj>
      </w:sdtPr>
      <w:sdtEndPr>
        <w:rPr>
          <w:b/>
          <w:bCs/>
        </w:rPr>
      </w:sdtEndPr>
      <w:sdtContent>
        <w:p w14:paraId="24CD6E36" w14:textId="4586E9FF" w:rsidR="00B167C9" w:rsidRDefault="00B167C9">
          <w:pPr>
            <w:pStyle w:val="TOCHeading"/>
          </w:pPr>
          <w:r>
            <w:t>Table of Contents</w:t>
          </w:r>
        </w:p>
        <w:p w14:paraId="4B7F99E5" w14:textId="7FEBD467" w:rsidR="00387DFD" w:rsidRDefault="00B167C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2649987" w:history="1">
            <w:r w:rsidR="00387DFD" w:rsidRPr="009175F0">
              <w:rPr>
                <w:rStyle w:val="Hyperlink"/>
                <w:noProof/>
              </w:rPr>
              <w:t>Introduction</w:t>
            </w:r>
            <w:r w:rsidR="00387DFD">
              <w:rPr>
                <w:noProof/>
                <w:webHidden/>
              </w:rPr>
              <w:tab/>
            </w:r>
            <w:r w:rsidR="00387DFD">
              <w:rPr>
                <w:noProof/>
                <w:webHidden/>
              </w:rPr>
              <w:fldChar w:fldCharType="begin"/>
            </w:r>
            <w:r w:rsidR="00387DFD">
              <w:rPr>
                <w:noProof/>
                <w:webHidden/>
              </w:rPr>
              <w:instrText xml:space="preserve"> PAGEREF _Toc182649987 \h </w:instrText>
            </w:r>
            <w:r w:rsidR="00387DFD">
              <w:rPr>
                <w:noProof/>
                <w:webHidden/>
              </w:rPr>
            </w:r>
            <w:r w:rsidR="00387DFD">
              <w:rPr>
                <w:noProof/>
                <w:webHidden/>
              </w:rPr>
              <w:fldChar w:fldCharType="separate"/>
            </w:r>
            <w:r w:rsidR="00387DFD">
              <w:rPr>
                <w:noProof/>
                <w:webHidden/>
              </w:rPr>
              <w:t>3</w:t>
            </w:r>
            <w:r w:rsidR="00387DFD">
              <w:rPr>
                <w:noProof/>
                <w:webHidden/>
              </w:rPr>
              <w:fldChar w:fldCharType="end"/>
            </w:r>
          </w:hyperlink>
        </w:p>
        <w:p w14:paraId="793FC114" w14:textId="7B567BA5" w:rsidR="00387DFD" w:rsidRDefault="00387DFD">
          <w:pPr>
            <w:pStyle w:val="TOC2"/>
            <w:tabs>
              <w:tab w:val="right" w:leader="dot" w:pos="9016"/>
            </w:tabs>
            <w:rPr>
              <w:rFonts w:eastAsiaTheme="minorEastAsia"/>
              <w:noProof/>
              <w:lang w:eastAsia="en-GB"/>
            </w:rPr>
          </w:pPr>
          <w:hyperlink w:anchor="_Toc182649988" w:history="1">
            <w:r w:rsidRPr="009175F0">
              <w:rPr>
                <w:rStyle w:val="Hyperlink"/>
                <w:noProof/>
              </w:rPr>
              <w:t>Critical Evaluation of the Purpose of Coaching and Mentoring in the Workplace</w:t>
            </w:r>
            <w:r>
              <w:rPr>
                <w:noProof/>
                <w:webHidden/>
              </w:rPr>
              <w:tab/>
            </w:r>
            <w:r>
              <w:rPr>
                <w:noProof/>
                <w:webHidden/>
              </w:rPr>
              <w:fldChar w:fldCharType="begin"/>
            </w:r>
            <w:r>
              <w:rPr>
                <w:noProof/>
                <w:webHidden/>
              </w:rPr>
              <w:instrText xml:space="preserve"> PAGEREF _Toc182649988 \h </w:instrText>
            </w:r>
            <w:r>
              <w:rPr>
                <w:noProof/>
                <w:webHidden/>
              </w:rPr>
            </w:r>
            <w:r>
              <w:rPr>
                <w:noProof/>
                <w:webHidden/>
              </w:rPr>
              <w:fldChar w:fldCharType="separate"/>
            </w:r>
            <w:r>
              <w:rPr>
                <w:noProof/>
                <w:webHidden/>
              </w:rPr>
              <w:t>3</w:t>
            </w:r>
            <w:r>
              <w:rPr>
                <w:noProof/>
                <w:webHidden/>
              </w:rPr>
              <w:fldChar w:fldCharType="end"/>
            </w:r>
          </w:hyperlink>
        </w:p>
        <w:p w14:paraId="1DDF02C5" w14:textId="0906E314" w:rsidR="00387DFD" w:rsidRDefault="00387DFD">
          <w:pPr>
            <w:pStyle w:val="TOC2"/>
            <w:tabs>
              <w:tab w:val="right" w:leader="dot" w:pos="9016"/>
            </w:tabs>
            <w:rPr>
              <w:rFonts w:eastAsiaTheme="minorEastAsia"/>
              <w:noProof/>
              <w:lang w:eastAsia="en-GB"/>
            </w:rPr>
          </w:pPr>
          <w:hyperlink w:anchor="_Toc182649989" w:history="1">
            <w:r w:rsidRPr="009175F0">
              <w:rPr>
                <w:rStyle w:val="Hyperlink"/>
                <w:rFonts w:cs="Arial"/>
                <w:noProof/>
              </w:rPr>
              <w:t>Critical Analysis of a Specific Model of Coaching</w:t>
            </w:r>
            <w:r>
              <w:rPr>
                <w:noProof/>
                <w:webHidden/>
              </w:rPr>
              <w:tab/>
            </w:r>
            <w:r>
              <w:rPr>
                <w:noProof/>
                <w:webHidden/>
              </w:rPr>
              <w:fldChar w:fldCharType="begin"/>
            </w:r>
            <w:r>
              <w:rPr>
                <w:noProof/>
                <w:webHidden/>
              </w:rPr>
              <w:instrText xml:space="preserve"> PAGEREF _Toc182649989 \h </w:instrText>
            </w:r>
            <w:r>
              <w:rPr>
                <w:noProof/>
                <w:webHidden/>
              </w:rPr>
            </w:r>
            <w:r>
              <w:rPr>
                <w:noProof/>
                <w:webHidden/>
              </w:rPr>
              <w:fldChar w:fldCharType="separate"/>
            </w:r>
            <w:r>
              <w:rPr>
                <w:noProof/>
                <w:webHidden/>
              </w:rPr>
              <w:t>5</w:t>
            </w:r>
            <w:r>
              <w:rPr>
                <w:noProof/>
                <w:webHidden/>
              </w:rPr>
              <w:fldChar w:fldCharType="end"/>
            </w:r>
          </w:hyperlink>
        </w:p>
        <w:p w14:paraId="0F7A05A1" w14:textId="5F29786F" w:rsidR="00387DFD" w:rsidRDefault="00387DFD">
          <w:pPr>
            <w:pStyle w:val="TOC2"/>
            <w:tabs>
              <w:tab w:val="right" w:leader="dot" w:pos="9016"/>
            </w:tabs>
            <w:rPr>
              <w:rFonts w:eastAsiaTheme="minorEastAsia"/>
              <w:noProof/>
              <w:lang w:eastAsia="en-GB"/>
            </w:rPr>
          </w:pPr>
          <w:hyperlink w:anchor="_Toc182649990" w:history="1">
            <w:r w:rsidRPr="009175F0">
              <w:rPr>
                <w:rStyle w:val="Hyperlink"/>
                <w:noProof/>
              </w:rPr>
              <w:t>Reflection on Practical 1: Coaching Session</w:t>
            </w:r>
            <w:r>
              <w:rPr>
                <w:noProof/>
                <w:webHidden/>
              </w:rPr>
              <w:tab/>
            </w:r>
            <w:r>
              <w:rPr>
                <w:noProof/>
                <w:webHidden/>
              </w:rPr>
              <w:fldChar w:fldCharType="begin"/>
            </w:r>
            <w:r>
              <w:rPr>
                <w:noProof/>
                <w:webHidden/>
              </w:rPr>
              <w:instrText xml:space="preserve"> PAGEREF _Toc182649990 \h </w:instrText>
            </w:r>
            <w:r>
              <w:rPr>
                <w:noProof/>
                <w:webHidden/>
              </w:rPr>
            </w:r>
            <w:r>
              <w:rPr>
                <w:noProof/>
                <w:webHidden/>
              </w:rPr>
              <w:fldChar w:fldCharType="separate"/>
            </w:r>
            <w:r>
              <w:rPr>
                <w:noProof/>
                <w:webHidden/>
              </w:rPr>
              <w:t>6</w:t>
            </w:r>
            <w:r>
              <w:rPr>
                <w:noProof/>
                <w:webHidden/>
              </w:rPr>
              <w:fldChar w:fldCharType="end"/>
            </w:r>
          </w:hyperlink>
        </w:p>
        <w:p w14:paraId="57369E98" w14:textId="131FDBAF" w:rsidR="00387DFD" w:rsidRDefault="00387DFD">
          <w:pPr>
            <w:pStyle w:val="TOC2"/>
            <w:tabs>
              <w:tab w:val="right" w:leader="dot" w:pos="9016"/>
            </w:tabs>
            <w:rPr>
              <w:rFonts w:eastAsiaTheme="minorEastAsia"/>
              <w:noProof/>
              <w:lang w:eastAsia="en-GB"/>
            </w:rPr>
          </w:pPr>
          <w:hyperlink w:anchor="_Toc182649991" w:history="1">
            <w:r w:rsidRPr="009175F0">
              <w:rPr>
                <w:rStyle w:val="Hyperlink"/>
                <w:noProof/>
              </w:rPr>
              <w:t>Reflection on Practical 2: Mentoring Session</w:t>
            </w:r>
            <w:r>
              <w:rPr>
                <w:noProof/>
                <w:webHidden/>
              </w:rPr>
              <w:tab/>
            </w:r>
            <w:r>
              <w:rPr>
                <w:noProof/>
                <w:webHidden/>
              </w:rPr>
              <w:fldChar w:fldCharType="begin"/>
            </w:r>
            <w:r>
              <w:rPr>
                <w:noProof/>
                <w:webHidden/>
              </w:rPr>
              <w:instrText xml:space="preserve"> PAGEREF _Toc182649991 \h </w:instrText>
            </w:r>
            <w:r>
              <w:rPr>
                <w:noProof/>
                <w:webHidden/>
              </w:rPr>
            </w:r>
            <w:r>
              <w:rPr>
                <w:noProof/>
                <w:webHidden/>
              </w:rPr>
              <w:fldChar w:fldCharType="separate"/>
            </w:r>
            <w:r>
              <w:rPr>
                <w:noProof/>
                <w:webHidden/>
              </w:rPr>
              <w:t>8</w:t>
            </w:r>
            <w:r>
              <w:rPr>
                <w:noProof/>
                <w:webHidden/>
              </w:rPr>
              <w:fldChar w:fldCharType="end"/>
            </w:r>
          </w:hyperlink>
        </w:p>
        <w:p w14:paraId="656F1465" w14:textId="4F15C630" w:rsidR="00387DFD" w:rsidRDefault="00387DFD">
          <w:pPr>
            <w:pStyle w:val="TOC2"/>
            <w:tabs>
              <w:tab w:val="right" w:leader="dot" w:pos="9016"/>
            </w:tabs>
            <w:rPr>
              <w:rFonts w:eastAsiaTheme="minorEastAsia"/>
              <w:noProof/>
              <w:lang w:eastAsia="en-GB"/>
            </w:rPr>
          </w:pPr>
          <w:hyperlink w:anchor="_Toc182649992" w:history="1">
            <w:r w:rsidRPr="009175F0">
              <w:rPr>
                <w:rStyle w:val="Hyperlink"/>
                <w:rFonts w:cs="Arial"/>
                <w:noProof/>
              </w:rPr>
              <w:t>Conclusion</w:t>
            </w:r>
            <w:r>
              <w:rPr>
                <w:noProof/>
                <w:webHidden/>
              </w:rPr>
              <w:tab/>
            </w:r>
            <w:r>
              <w:rPr>
                <w:noProof/>
                <w:webHidden/>
              </w:rPr>
              <w:fldChar w:fldCharType="begin"/>
            </w:r>
            <w:r>
              <w:rPr>
                <w:noProof/>
                <w:webHidden/>
              </w:rPr>
              <w:instrText xml:space="preserve"> PAGEREF _Toc182649992 \h </w:instrText>
            </w:r>
            <w:r>
              <w:rPr>
                <w:noProof/>
                <w:webHidden/>
              </w:rPr>
            </w:r>
            <w:r>
              <w:rPr>
                <w:noProof/>
                <w:webHidden/>
              </w:rPr>
              <w:fldChar w:fldCharType="separate"/>
            </w:r>
            <w:r>
              <w:rPr>
                <w:noProof/>
                <w:webHidden/>
              </w:rPr>
              <w:t>9</w:t>
            </w:r>
            <w:r>
              <w:rPr>
                <w:noProof/>
                <w:webHidden/>
              </w:rPr>
              <w:fldChar w:fldCharType="end"/>
            </w:r>
          </w:hyperlink>
        </w:p>
        <w:p w14:paraId="716E4519" w14:textId="35325E0A" w:rsidR="00387DFD" w:rsidRDefault="00387DFD">
          <w:pPr>
            <w:pStyle w:val="TOC2"/>
            <w:tabs>
              <w:tab w:val="right" w:leader="dot" w:pos="9016"/>
            </w:tabs>
            <w:rPr>
              <w:rFonts w:eastAsiaTheme="minorEastAsia"/>
              <w:noProof/>
              <w:lang w:eastAsia="en-GB"/>
            </w:rPr>
          </w:pPr>
          <w:hyperlink w:anchor="_Toc182649993" w:history="1">
            <w:r w:rsidRPr="009175F0">
              <w:rPr>
                <w:rStyle w:val="Hyperlink"/>
                <w:noProof/>
              </w:rPr>
              <w:t>Reference list</w:t>
            </w:r>
            <w:r>
              <w:rPr>
                <w:noProof/>
                <w:webHidden/>
              </w:rPr>
              <w:tab/>
            </w:r>
            <w:r>
              <w:rPr>
                <w:noProof/>
                <w:webHidden/>
              </w:rPr>
              <w:fldChar w:fldCharType="begin"/>
            </w:r>
            <w:r>
              <w:rPr>
                <w:noProof/>
                <w:webHidden/>
              </w:rPr>
              <w:instrText xml:space="preserve"> PAGEREF _Toc182649993 \h </w:instrText>
            </w:r>
            <w:r>
              <w:rPr>
                <w:noProof/>
                <w:webHidden/>
              </w:rPr>
            </w:r>
            <w:r>
              <w:rPr>
                <w:noProof/>
                <w:webHidden/>
              </w:rPr>
              <w:fldChar w:fldCharType="separate"/>
            </w:r>
            <w:r>
              <w:rPr>
                <w:noProof/>
                <w:webHidden/>
              </w:rPr>
              <w:t>10</w:t>
            </w:r>
            <w:r>
              <w:rPr>
                <w:noProof/>
                <w:webHidden/>
              </w:rPr>
              <w:fldChar w:fldCharType="end"/>
            </w:r>
          </w:hyperlink>
        </w:p>
        <w:p w14:paraId="2E5DCB31" w14:textId="402205ED" w:rsidR="00387DFD" w:rsidRDefault="00387DFD">
          <w:pPr>
            <w:pStyle w:val="TOC2"/>
            <w:tabs>
              <w:tab w:val="right" w:leader="dot" w:pos="9016"/>
            </w:tabs>
            <w:rPr>
              <w:rFonts w:eastAsiaTheme="minorEastAsia"/>
              <w:noProof/>
              <w:lang w:eastAsia="en-GB"/>
            </w:rPr>
          </w:pPr>
          <w:hyperlink w:anchor="_Toc182649994" w:history="1">
            <w:r w:rsidRPr="009175F0">
              <w:rPr>
                <w:rStyle w:val="Hyperlink"/>
                <w:noProof/>
              </w:rPr>
              <w:t>Appendix</w:t>
            </w:r>
            <w:r>
              <w:rPr>
                <w:noProof/>
                <w:webHidden/>
              </w:rPr>
              <w:tab/>
            </w:r>
            <w:r>
              <w:rPr>
                <w:noProof/>
                <w:webHidden/>
              </w:rPr>
              <w:fldChar w:fldCharType="begin"/>
            </w:r>
            <w:r>
              <w:rPr>
                <w:noProof/>
                <w:webHidden/>
              </w:rPr>
              <w:instrText xml:space="preserve"> PAGEREF _Toc182649994 \h </w:instrText>
            </w:r>
            <w:r>
              <w:rPr>
                <w:noProof/>
                <w:webHidden/>
              </w:rPr>
            </w:r>
            <w:r>
              <w:rPr>
                <w:noProof/>
                <w:webHidden/>
              </w:rPr>
              <w:fldChar w:fldCharType="separate"/>
            </w:r>
            <w:r>
              <w:rPr>
                <w:noProof/>
                <w:webHidden/>
              </w:rPr>
              <w:t>11</w:t>
            </w:r>
            <w:r>
              <w:rPr>
                <w:noProof/>
                <w:webHidden/>
              </w:rPr>
              <w:fldChar w:fldCharType="end"/>
            </w:r>
          </w:hyperlink>
        </w:p>
        <w:p w14:paraId="7809DD43" w14:textId="5F48DB0F" w:rsidR="00B167C9" w:rsidRDefault="00B167C9">
          <w:r>
            <w:rPr>
              <w:b/>
              <w:bCs/>
            </w:rPr>
            <w:fldChar w:fldCharType="end"/>
          </w:r>
        </w:p>
      </w:sdtContent>
    </w:sdt>
    <w:p w14:paraId="686A22F4" w14:textId="07E9DA8F" w:rsidR="00172951" w:rsidRPr="0010239A" w:rsidRDefault="00FB45E9" w:rsidP="00FB45E9">
      <w:pPr>
        <w:rPr>
          <w:rFonts w:ascii="Arial" w:hAnsi="Arial" w:cs="Arial"/>
          <w:b/>
          <w:bCs/>
          <w:color w:val="000000" w:themeColor="text1"/>
        </w:rPr>
      </w:pPr>
      <w:r>
        <w:rPr>
          <w:rFonts w:ascii="Arial" w:hAnsi="Arial" w:cs="Arial"/>
          <w:b/>
          <w:bCs/>
          <w:color w:val="000000" w:themeColor="text1"/>
        </w:rPr>
        <w:br w:type="page"/>
      </w:r>
    </w:p>
    <w:p w14:paraId="52CF9991" w14:textId="6A28B413" w:rsidR="00227AEC" w:rsidRDefault="00227AEC" w:rsidP="00324470">
      <w:pPr>
        <w:pStyle w:val="Heading2"/>
      </w:pPr>
      <w:bookmarkStart w:id="0" w:name="_Toc182649987"/>
      <w:r w:rsidRPr="009C572B">
        <w:t>Introduction</w:t>
      </w:r>
      <w:bookmarkEnd w:id="0"/>
    </w:p>
    <w:p w14:paraId="0B262167" w14:textId="4E895931" w:rsidR="00227AEC" w:rsidRPr="00B167C9" w:rsidRDefault="00227AEC" w:rsidP="00227AEC">
      <w:pPr>
        <w:rPr>
          <w:rFonts w:ascii="Arial" w:hAnsi="Arial" w:cs="Arial"/>
          <w:sz w:val="22"/>
          <w:szCs w:val="22"/>
        </w:rPr>
      </w:pPr>
      <w:r w:rsidRPr="00B167C9">
        <w:rPr>
          <w:rFonts w:ascii="Arial" w:hAnsi="Arial" w:cs="Arial"/>
          <w:sz w:val="22"/>
          <w:szCs w:val="22"/>
        </w:rPr>
        <w:t>This report reflects on my experiences with coaching and mentoring, emphasizing both the practical sessions I conducted and the theoretical frameworks that informed them. Throughout this reflection, I aim to evaluate the strengths and areas for improvement in my approach, using established models and concepts to guide my analysis. The purpose of this report is not only to review my past actions but also to identify lessons that can shape my future practice.</w:t>
      </w:r>
    </w:p>
    <w:p w14:paraId="26170482" w14:textId="35927A5F" w:rsidR="00227AEC" w:rsidRPr="00B167C9" w:rsidRDefault="00227AEC" w:rsidP="00227AEC">
      <w:pPr>
        <w:rPr>
          <w:rFonts w:ascii="Arial" w:hAnsi="Arial" w:cs="Arial"/>
          <w:sz w:val="22"/>
          <w:szCs w:val="22"/>
        </w:rPr>
      </w:pPr>
      <w:r w:rsidRPr="00B167C9">
        <w:rPr>
          <w:rFonts w:ascii="Arial" w:hAnsi="Arial" w:cs="Arial"/>
          <w:sz w:val="22"/>
          <w:szCs w:val="22"/>
        </w:rPr>
        <w:t>Coaching and mentoring are often discussed interchangeably, but they serve distinct purposes. Coaching, as Whitmore (2009) explains, is a structured process designed to enhance an individual’s performance or skills through questioning, listening, and guidance. It tends to be short-term and goal-oriented. Mentoring, on the other hand, is a developmental partnership, where a more experienced individual provides long-term guidance and advice to nurture a mentee’s career or personal growth (Clutterbuck, 2004). While coaching often focuses on immediate outcomes, mentoring emphasizes relationship-building and holistic development.</w:t>
      </w:r>
    </w:p>
    <w:p w14:paraId="5C14ACF7" w14:textId="34A7C697" w:rsidR="00227AEC" w:rsidRPr="00B167C9" w:rsidRDefault="00227AEC" w:rsidP="00227AEC">
      <w:pPr>
        <w:rPr>
          <w:rFonts w:ascii="Arial" w:hAnsi="Arial" w:cs="Arial"/>
          <w:sz w:val="22"/>
          <w:szCs w:val="22"/>
        </w:rPr>
      </w:pPr>
      <w:r w:rsidRPr="00B167C9">
        <w:rPr>
          <w:rFonts w:ascii="Arial" w:hAnsi="Arial" w:cs="Arial"/>
          <w:sz w:val="22"/>
          <w:szCs w:val="22"/>
        </w:rPr>
        <w:t xml:space="preserve">In this report, I will use Gibbs’ Reflective Cycle (1988) to </w:t>
      </w:r>
      <w:r w:rsidR="00324470" w:rsidRPr="00B167C9">
        <w:rPr>
          <w:rFonts w:ascii="Arial" w:hAnsi="Arial" w:cs="Arial"/>
          <w:sz w:val="22"/>
          <w:szCs w:val="22"/>
        </w:rPr>
        <w:t>analyse</w:t>
      </w:r>
      <w:r w:rsidRPr="00B167C9">
        <w:rPr>
          <w:rFonts w:ascii="Arial" w:hAnsi="Arial" w:cs="Arial"/>
          <w:sz w:val="22"/>
          <w:szCs w:val="22"/>
        </w:rPr>
        <w:t xml:space="preserve"> my experiences. This model’s step-by-step structure allows me to delve deeply into my actions, emotions, and the outcomes of my sessions. To illustrate the theories in action, I will reflect on a coaching session conducted using the GROW model (Whitmore, 2009) and a mentoring session that applied Force Field Analysis (Lewin, 1951). I will also discuss the key attributes of effective practitioners, including the ability to build trust, provide constructive feedback, and maintain emotional intelligence (Goleman, 1995).</w:t>
      </w:r>
    </w:p>
    <w:p w14:paraId="0627F3AE" w14:textId="77777777" w:rsidR="00FB45E9" w:rsidRDefault="00FB45E9" w:rsidP="00227AEC"/>
    <w:p w14:paraId="27CF4397" w14:textId="03214888" w:rsidR="001D6219" w:rsidRDefault="001D6219" w:rsidP="00324470">
      <w:pPr>
        <w:pStyle w:val="Heading2"/>
      </w:pPr>
      <w:bookmarkStart w:id="1" w:name="_Toc182649988"/>
      <w:r>
        <w:t>Critical Evaluation of the Purpose of Coaching and Mentoring in the Workplace</w:t>
      </w:r>
      <w:bookmarkEnd w:id="1"/>
    </w:p>
    <w:p w14:paraId="3514C808" w14:textId="2282E9E9" w:rsidR="00ED7001" w:rsidRPr="00B167C9" w:rsidRDefault="001D6219" w:rsidP="001D6219">
      <w:pPr>
        <w:rPr>
          <w:rFonts w:ascii="Arial" w:hAnsi="Arial" w:cs="Arial"/>
          <w:sz w:val="22"/>
          <w:szCs w:val="22"/>
        </w:rPr>
      </w:pPr>
      <w:r w:rsidRPr="00B167C9">
        <w:rPr>
          <w:rFonts w:ascii="Arial" w:hAnsi="Arial" w:cs="Arial"/>
          <w:sz w:val="22"/>
          <w:szCs w:val="22"/>
        </w:rPr>
        <w:t>Coaching and mentoring play vital roles in supporting workplace development and aligning personal goals with organizational objectives. Both approaches focus on growth but differ in their methods, outcomes, and timescales. Coaching typically addresses specific challenges or skill gaps, while mentoring provides holistic, long-term career guidance.</w:t>
      </w:r>
    </w:p>
    <w:p w14:paraId="2B31DA62" w14:textId="4CC7EEAB" w:rsidR="001D6219" w:rsidRPr="00B167C9" w:rsidRDefault="001D6219" w:rsidP="001D6219">
      <w:pPr>
        <w:rPr>
          <w:rFonts w:ascii="Arial" w:hAnsi="Arial" w:cs="Arial"/>
          <w:b/>
          <w:bCs/>
          <w:sz w:val="22"/>
          <w:szCs w:val="22"/>
        </w:rPr>
      </w:pPr>
      <w:r w:rsidRPr="00B167C9">
        <w:rPr>
          <w:rFonts w:ascii="Arial" w:hAnsi="Arial" w:cs="Arial"/>
          <w:b/>
          <w:bCs/>
          <w:sz w:val="22"/>
          <w:szCs w:val="22"/>
        </w:rPr>
        <w:t>Coaching in the Workplac</w:t>
      </w:r>
      <w:r w:rsidR="00ED7001" w:rsidRPr="00B167C9">
        <w:rPr>
          <w:rFonts w:ascii="Arial" w:hAnsi="Arial" w:cs="Arial"/>
          <w:b/>
          <w:bCs/>
          <w:sz w:val="22"/>
          <w:szCs w:val="22"/>
        </w:rPr>
        <w:t>e</w:t>
      </w:r>
    </w:p>
    <w:p w14:paraId="66F561F5" w14:textId="7D95EB67" w:rsidR="001D6219" w:rsidRPr="00B167C9" w:rsidRDefault="001D6219" w:rsidP="001D6219">
      <w:pPr>
        <w:rPr>
          <w:rFonts w:ascii="Arial" w:hAnsi="Arial" w:cs="Arial"/>
          <w:sz w:val="22"/>
          <w:szCs w:val="22"/>
        </w:rPr>
      </w:pPr>
      <w:r w:rsidRPr="00B167C9">
        <w:rPr>
          <w:rFonts w:ascii="Arial" w:hAnsi="Arial" w:cs="Arial"/>
          <w:sz w:val="22"/>
          <w:szCs w:val="22"/>
        </w:rPr>
        <w:t>Coaching is particularly effective for addressing specific challenges, enhancing skills, or driving performance improvements. Whitmore (2009) describes coaching as a tool to unlock potential by fostering self-reflection and personal responsibility. It empowers individuals to identify solutions themselves, which increases engagement and accountability. For instance, during my coaching session, I used the GROW model to support the coachee’s goal of becoming a General Manager. This structured approach provided clarity, identified obstacles, and highlighted actionable steps with measurable outcomes. Such a targeted process is especially beneficial in leadership development, where employees must acquire new skills and adapt to changing organizational demands.</w:t>
      </w:r>
    </w:p>
    <w:p w14:paraId="369B0038" w14:textId="447BD072" w:rsidR="001D6219" w:rsidRPr="00B167C9" w:rsidRDefault="001D6219" w:rsidP="001D6219">
      <w:pPr>
        <w:rPr>
          <w:rFonts w:ascii="Arial" w:hAnsi="Arial" w:cs="Arial"/>
          <w:sz w:val="22"/>
          <w:szCs w:val="22"/>
        </w:rPr>
      </w:pPr>
      <w:r w:rsidRPr="00B167C9">
        <w:rPr>
          <w:rFonts w:ascii="Arial" w:hAnsi="Arial" w:cs="Arial"/>
          <w:sz w:val="22"/>
          <w:szCs w:val="22"/>
        </w:rPr>
        <w:t>Coaching also offers a focused framework for addressing organizational priorities such as succession planning and employee engagement. As Grant (2003) suggests, it is an adaptable method that helps individuals align their personal goals with the company’s strategic objectives. However, its effectiveness relies on the coach’s ability to create a supportive, non-judgmental space where coachees feel safe to explore their aspirations and challenges.</w:t>
      </w:r>
    </w:p>
    <w:p w14:paraId="65457EAE" w14:textId="0D29239E" w:rsidR="001D6219" w:rsidRPr="00B167C9" w:rsidRDefault="001D6219" w:rsidP="001D6219">
      <w:pPr>
        <w:rPr>
          <w:rFonts w:ascii="Arial" w:hAnsi="Arial" w:cs="Arial"/>
          <w:b/>
          <w:bCs/>
          <w:sz w:val="22"/>
          <w:szCs w:val="22"/>
        </w:rPr>
      </w:pPr>
      <w:r w:rsidRPr="00B167C9">
        <w:rPr>
          <w:rFonts w:ascii="Arial" w:hAnsi="Arial" w:cs="Arial"/>
          <w:b/>
          <w:bCs/>
          <w:sz w:val="22"/>
          <w:szCs w:val="22"/>
        </w:rPr>
        <w:t>Mentoring in the Workplace</w:t>
      </w:r>
    </w:p>
    <w:p w14:paraId="14163E77" w14:textId="5C6EFD37" w:rsidR="001D6219" w:rsidRPr="00B167C9" w:rsidRDefault="001D6219" w:rsidP="001D6219">
      <w:pPr>
        <w:rPr>
          <w:rFonts w:ascii="Arial" w:hAnsi="Arial" w:cs="Arial"/>
          <w:sz w:val="22"/>
          <w:szCs w:val="22"/>
        </w:rPr>
      </w:pPr>
      <w:r w:rsidRPr="00B167C9">
        <w:rPr>
          <w:rFonts w:ascii="Arial" w:hAnsi="Arial" w:cs="Arial"/>
          <w:sz w:val="22"/>
          <w:szCs w:val="22"/>
        </w:rPr>
        <w:t>Mentoring provides a broader perspective, focusing on the mentee’s long-term career development and personal growth. According to Clutterbuck (2004), mentoring is particularly valuable in fostering knowledge transfer and providing emotional support. This is especially relevant in organizations with multigenerational workforces, where experienced mentors can guide younger employees through career progression and organizational culture.</w:t>
      </w:r>
    </w:p>
    <w:p w14:paraId="72163721" w14:textId="2DE97E0F" w:rsidR="001D6219" w:rsidRPr="00B167C9" w:rsidRDefault="001D6219" w:rsidP="001D6219">
      <w:pPr>
        <w:rPr>
          <w:rFonts w:ascii="Arial" w:hAnsi="Arial" w:cs="Arial"/>
          <w:sz w:val="22"/>
          <w:szCs w:val="22"/>
        </w:rPr>
      </w:pPr>
      <w:r w:rsidRPr="00B167C9">
        <w:rPr>
          <w:rFonts w:ascii="Arial" w:hAnsi="Arial" w:cs="Arial"/>
          <w:sz w:val="22"/>
          <w:szCs w:val="22"/>
        </w:rPr>
        <w:t>In my mentoring session, I utilized Force Field Analysis to identify the mentee’s strengths, barriers, and actionable steps toward becoming a shift manager. This reflective approach not only helped the mentee identify internal and external factors influencing their growth but also allowed for a more comprehensive exploration of their potential. By addressing barriers such as conflict resolution and leveraging strengths like organizational skills, the session prepared the mentee to take informed and confident steps toward their career goal.</w:t>
      </w:r>
    </w:p>
    <w:p w14:paraId="1A6C66C3" w14:textId="18642730" w:rsidR="001D6219" w:rsidRPr="00B167C9" w:rsidRDefault="001D6219" w:rsidP="001D6219">
      <w:pPr>
        <w:rPr>
          <w:rFonts w:ascii="Arial" w:hAnsi="Arial" w:cs="Arial"/>
          <w:sz w:val="22"/>
          <w:szCs w:val="22"/>
        </w:rPr>
      </w:pPr>
      <w:r w:rsidRPr="00B167C9">
        <w:rPr>
          <w:rFonts w:ascii="Arial" w:hAnsi="Arial" w:cs="Arial"/>
          <w:sz w:val="22"/>
          <w:szCs w:val="22"/>
        </w:rPr>
        <w:t>Mentoring also fosters resilience and adaptability, as it builds the mentee’s capacity to navigate professional challenges. It is particularly effective in developing interpersonal skills, emotional intelligence, and strategic thinking—key attributes for leadership roles. However, mentoring requires a strong, trusting relationship between mentor and mentee, and its success can be hindered by time constraints or mismatched expectations</w:t>
      </w:r>
      <w:r w:rsidR="00324470" w:rsidRPr="00B167C9">
        <w:rPr>
          <w:rFonts w:ascii="Arial" w:hAnsi="Arial" w:cs="Arial"/>
          <w:sz w:val="22"/>
          <w:szCs w:val="22"/>
        </w:rPr>
        <w:t>.</w:t>
      </w:r>
    </w:p>
    <w:p w14:paraId="1432D6AD" w14:textId="35211A55" w:rsidR="001D6219" w:rsidRPr="00B167C9" w:rsidRDefault="001D6219" w:rsidP="001D6219">
      <w:pPr>
        <w:rPr>
          <w:rFonts w:ascii="Arial" w:hAnsi="Arial" w:cs="Arial"/>
          <w:b/>
          <w:bCs/>
          <w:sz w:val="22"/>
          <w:szCs w:val="22"/>
        </w:rPr>
      </w:pPr>
      <w:r w:rsidRPr="00B167C9">
        <w:rPr>
          <w:rFonts w:ascii="Arial" w:hAnsi="Arial" w:cs="Arial"/>
          <w:b/>
          <w:bCs/>
          <w:sz w:val="22"/>
          <w:szCs w:val="22"/>
        </w:rPr>
        <w:t>Key Comparisons</w:t>
      </w:r>
    </w:p>
    <w:p w14:paraId="43C630EF" w14:textId="72A547E0" w:rsidR="001D6219" w:rsidRPr="00B167C9" w:rsidRDefault="001D6219" w:rsidP="001D6219">
      <w:pPr>
        <w:rPr>
          <w:rFonts w:ascii="Arial" w:hAnsi="Arial" w:cs="Arial"/>
          <w:sz w:val="22"/>
          <w:szCs w:val="22"/>
        </w:rPr>
      </w:pPr>
      <w:r w:rsidRPr="00B167C9">
        <w:rPr>
          <w:rFonts w:ascii="Arial" w:hAnsi="Arial" w:cs="Arial"/>
          <w:sz w:val="22"/>
          <w:szCs w:val="22"/>
        </w:rPr>
        <w:t>The differences between coaching and mentoring are evident in their focus and implementation. Coaching is often short-term and performance-driven, using structured frameworks like GROW to address immediate objectives. Mentoring, on the other hand, emphasizes long-term development, relying on the mentor’s experience to guide the mentee’s career journey. Despite these differences, both approaches share critical elements, including the use of trust, active listening, and effective questioning (Parsloe &amp; Leedham, 2017).</w:t>
      </w:r>
    </w:p>
    <w:p w14:paraId="0CF93EFC" w14:textId="500B08F6" w:rsidR="001D6219" w:rsidRPr="00387DFD" w:rsidRDefault="001D6219" w:rsidP="001D6219">
      <w:pPr>
        <w:rPr>
          <w:rFonts w:ascii="Arial" w:hAnsi="Arial" w:cs="Arial"/>
          <w:b/>
          <w:bCs/>
          <w:sz w:val="22"/>
          <w:szCs w:val="22"/>
        </w:rPr>
      </w:pPr>
      <w:r w:rsidRPr="00B167C9">
        <w:rPr>
          <w:rFonts w:ascii="Arial" w:hAnsi="Arial" w:cs="Arial"/>
          <w:b/>
          <w:bCs/>
          <w:sz w:val="22"/>
          <w:szCs w:val="22"/>
        </w:rPr>
        <w:t>Challenges in Implementation</w:t>
      </w:r>
    </w:p>
    <w:p w14:paraId="20DA5996" w14:textId="63CD0BC7" w:rsidR="001D6219" w:rsidRPr="00B167C9" w:rsidRDefault="001D6219" w:rsidP="001D6219">
      <w:pPr>
        <w:rPr>
          <w:rFonts w:ascii="Arial" w:hAnsi="Arial" w:cs="Arial"/>
          <w:sz w:val="22"/>
          <w:szCs w:val="22"/>
        </w:rPr>
      </w:pPr>
      <w:r w:rsidRPr="00B167C9">
        <w:rPr>
          <w:rFonts w:ascii="Arial" w:hAnsi="Arial" w:cs="Arial"/>
          <w:sz w:val="22"/>
          <w:szCs w:val="22"/>
        </w:rPr>
        <w:t>Coaching and mentoring are not without challenges. Coaching depends on the coachee’s self-awareness and motivation, which can limit its effectiveness if the individual is not fully engaged. Additionally, coaching requires skilled practitioners capable of facilitating meaningful dialogue and fostering commitment. Mentoring, while invaluable for long-term development, can struggle if the mentor lacks sufficient time or if the relationship is poorly matched. A lack of organizational support, such as unclear objectives or insufficient training for mentors and coaches, can further hinder outcomes (Hawkins &amp; Smith, 201</w:t>
      </w:r>
      <w:r w:rsidR="00A546E6" w:rsidRPr="00B167C9">
        <w:rPr>
          <w:rFonts w:ascii="Arial" w:hAnsi="Arial" w:cs="Arial"/>
          <w:sz w:val="22"/>
          <w:szCs w:val="22"/>
        </w:rPr>
        <w:t>3)</w:t>
      </w:r>
    </w:p>
    <w:p w14:paraId="3F25F4EF" w14:textId="5BD01536" w:rsidR="0095500A" w:rsidRPr="00B167C9" w:rsidRDefault="001D6219" w:rsidP="00C97691">
      <w:pPr>
        <w:rPr>
          <w:rFonts w:ascii="Arial" w:hAnsi="Arial" w:cs="Arial"/>
          <w:sz w:val="22"/>
          <w:szCs w:val="22"/>
        </w:rPr>
      </w:pPr>
      <w:r w:rsidRPr="00B167C9">
        <w:rPr>
          <w:rFonts w:ascii="Arial" w:hAnsi="Arial" w:cs="Arial"/>
          <w:sz w:val="22"/>
          <w:szCs w:val="22"/>
        </w:rPr>
        <w:t>Coaching and mentoring, when implemented effectively, have a transformative impact on workplace development. By addressing immediate skill gaps through coaching and preparing individuals for future challenges through mentoring, organizations can create a more engaged, skilled, and adaptable workforce. However, their success hinges on careful planning, clear objectives, and a supportive organizational culture that values continuous learning.</w:t>
      </w:r>
    </w:p>
    <w:p w14:paraId="6E83E29F" w14:textId="77777777" w:rsidR="00C97691" w:rsidRPr="00B167C9" w:rsidRDefault="00C97691" w:rsidP="00C97691">
      <w:pPr>
        <w:rPr>
          <w:rFonts w:ascii="Arial" w:hAnsi="Arial" w:cs="Arial"/>
          <w:sz w:val="22"/>
          <w:szCs w:val="22"/>
        </w:rPr>
      </w:pPr>
    </w:p>
    <w:p w14:paraId="49C86181" w14:textId="1B35323C" w:rsidR="001D45BD" w:rsidRPr="00387DFD" w:rsidRDefault="001D45BD" w:rsidP="00C97691">
      <w:pPr>
        <w:pStyle w:val="Heading2"/>
        <w:rPr>
          <w:rFonts w:cs="Arial"/>
        </w:rPr>
      </w:pPr>
      <w:bookmarkStart w:id="2" w:name="_Toc182649989"/>
      <w:r w:rsidRPr="00387DFD">
        <w:rPr>
          <w:rFonts w:cs="Arial"/>
        </w:rPr>
        <w:t>Critical Analysis of a Specific Model of Coaching</w:t>
      </w:r>
      <w:bookmarkEnd w:id="2"/>
    </w:p>
    <w:p w14:paraId="7C526AE4" w14:textId="6F4FEB83" w:rsidR="001D45BD" w:rsidRPr="00B167C9" w:rsidRDefault="001D45BD" w:rsidP="001D45BD">
      <w:pPr>
        <w:rPr>
          <w:rFonts w:ascii="Arial" w:hAnsi="Arial" w:cs="Arial"/>
          <w:sz w:val="22"/>
          <w:szCs w:val="22"/>
        </w:rPr>
      </w:pPr>
      <w:r w:rsidRPr="00B167C9">
        <w:rPr>
          <w:rFonts w:ascii="Arial" w:hAnsi="Arial" w:cs="Arial"/>
          <w:sz w:val="22"/>
          <w:szCs w:val="22"/>
        </w:rPr>
        <w:t>For my coaching session, I applied the GROW model (Whitmore, 2009), which is widely recognized for its simplicity and effectiveness in structuring coaching conversations.</w:t>
      </w:r>
    </w:p>
    <w:p w14:paraId="071C7723" w14:textId="2C72F5DE" w:rsidR="001D45BD" w:rsidRPr="00B167C9" w:rsidRDefault="001D45BD" w:rsidP="001D45BD">
      <w:pPr>
        <w:rPr>
          <w:rFonts w:ascii="Arial" w:hAnsi="Arial" w:cs="Arial"/>
          <w:b/>
          <w:bCs/>
          <w:sz w:val="22"/>
          <w:szCs w:val="22"/>
        </w:rPr>
      </w:pPr>
      <w:r w:rsidRPr="00B167C9">
        <w:rPr>
          <w:rFonts w:ascii="Arial" w:hAnsi="Arial" w:cs="Arial"/>
          <w:b/>
          <w:bCs/>
          <w:sz w:val="22"/>
          <w:szCs w:val="22"/>
        </w:rPr>
        <w:t>Overview of the GROW Model</w:t>
      </w:r>
    </w:p>
    <w:p w14:paraId="7BFEB661" w14:textId="125C5BD5" w:rsidR="001D45BD" w:rsidRPr="00B167C9" w:rsidRDefault="001D45BD" w:rsidP="001D45BD">
      <w:pPr>
        <w:rPr>
          <w:rFonts w:ascii="Arial" w:hAnsi="Arial" w:cs="Arial"/>
          <w:sz w:val="22"/>
          <w:szCs w:val="22"/>
        </w:rPr>
      </w:pPr>
      <w:r w:rsidRPr="00B167C9">
        <w:rPr>
          <w:rFonts w:ascii="Arial" w:hAnsi="Arial" w:cs="Arial"/>
          <w:sz w:val="22"/>
          <w:szCs w:val="22"/>
        </w:rPr>
        <w:t>The GROW model is a structured framework comprising four stages:</w:t>
      </w:r>
    </w:p>
    <w:p w14:paraId="75A78EA3" w14:textId="77777777" w:rsidR="001D45BD" w:rsidRPr="00B167C9" w:rsidRDefault="001D45BD" w:rsidP="001D45BD">
      <w:pPr>
        <w:rPr>
          <w:rFonts w:ascii="Arial" w:hAnsi="Arial" w:cs="Arial"/>
          <w:sz w:val="22"/>
          <w:szCs w:val="22"/>
        </w:rPr>
      </w:pPr>
      <w:r w:rsidRPr="00B167C9">
        <w:rPr>
          <w:rFonts w:ascii="Arial" w:hAnsi="Arial" w:cs="Arial"/>
          <w:sz w:val="22"/>
          <w:szCs w:val="22"/>
        </w:rPr>
        <w:tab/>
        <w:t>•</w:t>
      </w:r>
      <w:r w:rsidRPr="00B167C9">
        <w:rPr>
          <w:rFonts w:ascii="Arial" w:hAnsi="Arial" w:cs="Arial"/>
          <w:sz w:val="22"/>
          <w:szCs w:val="22"/>
        </w:rPr>
        <w:tab/>
        <w:t>Goal: Define the coachee’s objectives and clarify their desired outcomes.</w:t>
      </w:r>
    </w:p>
    <w:p w14:paraId="3817F688" w14:textId="77777777" w:rsidR="001D45BD" w:rsidRPr="00B167C9" w:rsidRDefault="001D45BD" w:rsidP="001D45BD">
      <w:pPr>
        <w:rPr>
          <w:rFonts w:ascii="Arial" w:hAnsi="Arial" w:cs="Arial"/>
          <w:sz w:val="22"/>
          <w:szCs w:val="22"/>
        </w:rPr>
      </w:pPr>
      <w:r w:rsidRPr="00B167C9">
        <w:rPr>
          <w:rFonts w:ascii="Arial" w:hAnsi="Arial" w:cs="Arial"/>
          <w:sz w:val="22"/>
          <w:szCs w:val="22"/>
        </w:rPr>
        <w:tab/>
        <w:t>•</w:t>
      </w:r>
      <w:r w:rsidRPr="00B167C9">
        <w:rPr>
          <w:rFonts w:ascii="Arial" w:hAnsi="Arial" w:cs="Arial"/>
          <w:sz w:val="22"/>
          <w:szCs w:val="22"/>
        </w:rPr>
        <w:tab/>
        <w:t>Reality: Explore the coachee’s current situation, assess challenges, and identify potential barriers.</w:t>
      </w:r>
    </w:p>
    <w:p w14:paraId="0A5987DE" w14:textId="77777777" w:rsidR="001D45BD" w:rsidRPr="00B167C9" w:rsidRDefault="001D45BD" w:rsidP="001D45BD">
      <w:pPr>
        <w:rPr>
          <w:rFonts w:ascii="Arial" w:hAnsi="Arial" w:cs="Arial"/>
          <w:sz w:val="22"/>
          <w:szCs w:val="22"/>
        </w:rPr>
      </w:pPr>
      <w:r w:rsidRPr="00B167C9">
        <w:rPr>
          <w:rFonts w:ascii="Arial" w:hAnsi="Arial" w:cs="Arial"/>
          <w:sz w:val="22"/>
          <w:szCs w:val="22"/>
        </w:rPr>
        <w:tab/>
        <w:t>•</w:t>
      </w:r>
      <w:r w:rsidRPr="00B167C9">
        <w:rPr>
          <w:rFonts w:ascii="Arial" w:hAnsi="Arial" w:cs="Arial"/>
          <w:sz w:val="22"/>
          <w:szCs w:val="22"/>
        </w:rPr>
        <w:tab/>
        <w:t>Options: Brainstorm solutions and strategies to overcome obstacles or close gaps.</w:t>
      </w:r>
    </w:p>
    <w:p w14:paraId="3D826BB5" w14:textId="711E67EB" w:rsidR="001D45BD" w:rsidRPr="00B167C9" w:rsidRDefault="001D45BD" w:rsidP="001D45BD">
      <w:pPr>
        <w:rPr>
          <w:rFonts w:ascii="Arial" w:hAnsi="Arial" w:cs="Arial"/>
          <w:sz w:val="22"/>
          <w:szCs w:val="22"/>
        </w:rPr>
      </w:pPr>
      <w:r w:rsidRPr="00B167C9">
        <w:rPr>
          <w:rFonts w:ascii="Arial" w:hAnsi="Arial" w:cs="Arial"/>
          <w:sz w:val="22"/>
          <w:szCs w:val="22"/>
        </w:rPr>
        <w:tab/>
        <w:t>•</w:t>
      </w:r>
      <w:r w:rsidRPr="00B167C9">
        <w:rPr>
          <w:rFonts w:ascii="Arial" w:hAnsi="Arial" w:cs="Arial"/>
          <w:sz w:val="22"/>
          <w:szCs w:val="22"/>
        </w:rPr>
        <w:tab/>
        <w:t>Way Forward: Commit to specific actions, create a timeline, and establish accountability mechanisms.</w:t>
      </w:r>
    </w:p>
    <w:p w14:paraId="4DBF9686" w14:textId="72744C59" w:rsidR="001D45BD" w:rsidRPr="00B167C9" w:rsidRDefault="001D45BD" w:rsidP="001D45BD">
      <w:pPr>
        <w:rPr>
          <w:rFonts w:ascii="Arial" w:hAnsi="Arial" w:cs="Arial"/>
          <w:sz w:val="22"/>
          <w:szCs w:val="22"/>
        </w:rPr>
      </w:pPr>
      <w:r w:rsidRPr="00B167C9">
        <w:rPr>
          <w:rFonts w:ascii="Arial" w:hAnsi="Arial" w:cs="Arial"/>
          <w:sz w:val="22"/>
          <w:szCs w:val="22"/>
        </w:rPr>
        <w:t>This approach ensures that coaching sessions follow a logical progression, making it easier for both the coach and coachee to stay focused on achieving concrete results. In my coaching session, the GROW model facilitated a systematic exploration of the coachee’s ambition to become a General Manager. It helped identify their strong leadership and budgeting skills while highlighting the need to gain more strategic decision-making experience.</w:t>
      </w:r>
    </w:p>
    <w:p w14:paraId="42030B90" w14:textId="3C2E9AE1" w:rsidR="001D45BD" w:rsidRPr="00B167C9" w:rsidRDefault="001D45BD" w:rsidP="001D45BD">
      <w:pPr>
        <w:rPr>
          <w:rFonts w:ascii="Arial" w:hAnsi="Arial" w:cs="Arial"/>
          <w:b/>
          <w:bCs/>
          <w:sz w:val="22"/>
          <w:szCs w:val="22"/>
        </w:rPr>
      </w:pPr>
      <w:r w:rsidRPr="00B167C9">
        <w:rPr>
          <w:rFonts w:ascii="Arial" w:hAnsi="Arial" w:cs="Arial"/>
          <w:b/>
          <w:bCs/>
          <w:sz w:val="22"/>
          <w:szCs w:val="22"/>
        </w:rPr>
        <w:t>Strengths of the GROW Model</w:t>
      </w:r>
    </w:p>
    <w:p w14:paraId="5D680BF3" w14:textId="2641B9A1" w:rsidR="001D45BD" w:rsidRPr="00B167C9" w:rsidRDefault="001D45BD" w:rsidP="001D45BD">
      <w:pPr>
        <w:rPr>
          <w:rFonts w:ascii="Arial" w:hAnsi="Arial" w:cs="Arial"/>
          <w:sz w:val="22"/>
          <w:szCs w:val="22"/>
        </w:rPr>
      </w:pPr>
      <w:r w:rsidRPr="00B167C9">
        <w:rPr>
          <w:rFonts w:ascii="Arial" w:hAnsi="Arial" w:cs="Arial"/>
          <w:sz w:val="22"/>
          <w:szCs w:val="22"/>
        </w:rPr>
        <w:t>One of the key strengths of the GROW model lies in its versatility and accessibility. It can be used across different industries and professional levels, making it a popular choice for workplace coaching. The model’s focus on goal-setting and self-reflection empowers coachees to take ownership of their growth and develop actionable strategies. In my session, this was evident when the coachee outlined steps such as shadowing senior leaders and enrolling in a business finance course. These clear, practical actions emerged directly from the structured questioning process of the GROW model.</w:t>
      </w:r>
    </w:p>
    <w:p w14:paraId="27B94941" w14:textId="379287DD" w:rsidR="001D45BD" w:rsidRPr="00B167C9" w:rsidRDefault="001D45BD" w:rsidP="001D45BD">
      <w:pPr>
        <w:rPr>
          <w:rFonts w:ascii="Arial" w:hAnsi="Arial" w:cs="Arial"/>
          <w:sz w:val="22"/>
          <w:szCs w:val="22"/>
        </w:rPr>
      </w:pPr>
      <w:r w:rsidRPr="00B167C9">
        <w:rPr>
          <w:rFonts w:ascii="Arial" w:hAnsi="Arial" w:cs="Arial"/>
          <w:sz w:val="22"/>
          <w:szCs w:val="22"/>
        </w:rPr>
        <w:t>Additionally, the model’s emphasis on accountability encourages coachees to take initiative and monitor their own progress. By discussing specific milestones and rewards, I was able to help the coachee feel motivated and committed to their development journey.</w:t>
      </w:r>
    </w:p>
    <w:p w14:paraId="3B95C86C" w14:textId="0235E230" w:rsidR="001D45BD" w:rsidRPr="00B167C9" w:rsidRDefault="001D45BD" w:rsidP="001D45BD">
      <w:pPr>
        <w:rPr>
          <w:rFonts w:ascii="Arial" w:hAnsi="Arial" w:cs="Arial"/>
          <w:b/>
          <w:bCs/>
          <w:sz w:val="22"/>
          <w:szCs w:val="22"/>
        </w:rPr>
      </w:pPr>
      <w:r w:rsidRPr="00B167C9">
        <w:rPr>
          <w:rFonts w:ascii="Arial" w:hAnsi="Arial" w:cs="Arial"/>
          <w:b/>
          <w:bCs/>
          <w:sz w:val="22"/>
          <w:szCs w:val="22"/>
        </w:rPr>
        <w:t>Weaknesses of the GROW Model</w:t>
      </w:r>
    </w:p>
    <w:p w14:paraId="57960A32" w14:textId="15A28DED" w:rsidR="001D45BD" w:rsidRPr="00B167C9" w:rsidRDefault="001D45BD" w:rsidP="001D45BD">
      <w:pPr>
        <w:rPr>
          <w:rFonts w:ascii="Arial" w:hAnsi="Arial" w:cs="Arial"/>
          <w:sz w:val="22"/>
          <w:szCs w:val="22"/>
        </w:rPr>
      </w:pPr>
      <w:r w:rsidRPr="00B167C9">
        <w:rPr>
          <w:rFonts w:ascii="Arial" w:hAnsi="Arial" w:cs="Arial"/>
          <w:sz w:val="22"/>
          <w:szCs w:val="22"/>
        </w:rPr>
        <w:t>Despite its strengths, the GROW model has limitations. Its structured nature, while beneficial for clarity, can sometimes feel rigid, especially in complex situations requiring a more flexible or empathetic approach. For instance, in cases where emotional or relational dynamics play a significant role—such as navigating workplace conflicts—the GROW model may not adequately address de</w:t>
      </w:r>
      <w:r w:rsidR="00C97691" w:rsidRPr="00B167C9">
        <w:rPr>
          <w:rFonts w:ascii="Arial" w:hAnsi="Arial" w:cs="Arial"/>
          <w:sz w:val="22"/>
          <w:szCs w:val="22"/>
        </w:rPr>
        <w:t>e</w:t>
      </w:r>
      <w:r w:rsidRPr="00B167C9">
        <w:rPr>
          <w:rFonts w:ascii="Arial" w:hAnsi="Arial" w:cs="Arial"/>
          <w:sz w:val="22"/>
          <w:szCs w:val="22"/>
        </w:rPr>
        <w:t>per interpersonal issues.</w:t>
      </w:r>
    </w:p>
    <w:p w14:paraId="79572B83" w14:textId="6181E258" w:rsidR="001D45BD" w:rsidRPr="00B167C9" w:rsidRDefault="001D45BD" w:rsidP="001D45BD">
      <w:pPr>
        <w:rPr>
          <w:rFonts w:ascii="Arial" w:hAnsi="Arial" w:cs="Arial"/>
          <w:sz w:val="22"/>
          <w:szCs w:val="22"/>
        </w:rPr>
      </w:pPr>
      <w:r w:rsidRPr="00B167C9">
        <w:rPr>
          <w:rFonts w:ascii="Arial" w:hAnsi="Arial" w:cs="Arial"/>
          <w:sz w:val="22"/>
          <w:szCs w:val="22"/>
        </w:rPr>
        <w:t>Moreover, the model assumes a level of self-awareness and motivation from the coachee. This reliance on the coachee’s active participation can make it less effective for individuals facing significant insecurities, mental blocks, or systemic barriers. In such scenarios, complementary approaches like the CLEAR model (Hawkins &amp; Smith, 2013), which incorporates emotional intelligence and relationship dynamics, may be more appropriate.</w:t>
      </w:r>
    </w:p>
    <w:p w14:paraId="0104D58D" w14:textId="68C21256" w:rsidR="001D45BD" w:rsidRPr="00B167C9" w:rsidRDefault="001D45BD" w:rsidP="001D45BD">
      <w:pPr>
        <w:rPr>
          <w:rFonts w:ascii="Arial" w:hAnsi="Arial" w:cs="Arial"/>
          <w:b/>
          <w:bCs/>
          <w:sz w:val="22"/>
          <w:szCs w:val="22"/>
        </w:rPr>
      </w:pPr>
      <w:r w:rsidRPr="00B167C9">
        <w:rPr>
          <w:rFonts w:ascii="Arial" w:hAnsi="Arial" w:cs="Arial"/>
          <w:b/>
          <w:bCs/>
          <w:sz w:val="22"/>
          <w:szCs w:val="22"/>
        </w:rPr>
        <w:t>Application to Workplace Scenarios</w:t>
      </w:r>
    </w:p>
    <w:p w14:paraId="31813B78" w14:textId="77777777" w:rsidR="001D45BD" w:rsidRPr="00B167C9" w:rsidRDefault="001D45BD" w:rsidP="001D45BD">
      <w:pPr>
        <w:rPr>
          <w:rFonts w:ascii="Arial" w:hAnsi="Arial" w:cs="Arial"/>
          <w:sz w:val="22"/>
          <w:szCs w:val="22"/>
        </w:rPr>
      </w:pPr>
      <w:r w:rsidRPr="00B167C9">
        <w:rPr>
          <w:rFonts w:ascii="Arial" w:hAnsi="Arial" w:cs="Arial"/>
          <w:sz w:val="22"/>
          <w:szCs w:val="22"/>
        </w:rPr>
        <w:t>The GROW model is particularly suited to scenarios requiring clarity and actionable outcomes, such as leadership development, performance improvement, or project planning. For example, it can be effectively employed to help employees transition into new roles or acquire specific skills needed for career advancement. However, in broader contexts where emotional and relational factors are critical—such as managing team conflicts or navigating organizational change—alternative frameworks may provide better results.</w:t>
      </w:r>
    </w:p>
    <w:p w14:paraId="45D33BBE" w14:textId="77777777" w:rsidR="001D45BD" w:rsidRPr="00B167C9" w:rsidRDefault="001D45BD" w:rsidP="001D45BD">
      <w:pPr>
        <w:rPr>
          <w:rFonts w:ascii="Arial" w:hAnsi="Arial" w:cs="Arial"/>
          <w:sz w:val="22"/>
          <w:szCs w:val="22"/>
        </w:rPr>
      </w:pPr>
    </w:p>
    <w:p w14:paraId="51F521B2" w14:textId="186D6B04" w:rsidR="001D45BD" w:rsidRPr="00B167C9" w:rsidRDefault="001D45BD" w:rsidP="001D45BD">
      <w:pPr>
        <w:rPr>
          <w:rFonts w:ascii="Arial" w:hAnsi="Arial" w:cs="Arial"/>
          <w:sz w:val="22"/>
          <w:szCs w:val="22"/>
        </w:rPr>
      </w:pPr>
      <w:r w:rsidRPr="00B167C9">
        <w:rPr>
          <w:rFonts w:ascii="Arial" w:hAnsi="Arial" w:cs="Arial"/>
          <w:sz w:val="22"/>
          <w:szCs w:val="22"/>
        </w:rPr>
        <w:t>In my session, while the GROW model effectively identified gaps in the coachee’s experience and mapped out actionable steps, I recognized that a more relationally focused model could have been helpful in addressing softer skills like strategic thinking and decision-making. This insight highlights the importance of tailoring the coaching model to the unique needs of each situation and individual.</w:t>
      </w:r>
    </w:p>
    <w:p w14:paraId="327276AB" w14:textId="6DBCFEC9" w:rsidR="001D45BD" w:rsidRPr="00B167C9" w:rsidRDefault="001D45BD" w:rsidP="001D45BD">
      <w:pPr>
        <w:rPr>
          <w:rFonts w:ascii="Arial" w:hAnsi="Arial" w:cs="Arial"/>
          <w:sz w:val="22"/>
          <w:szCs w:val="22"/>
        </w:rPr>
      </w:pPr>
      <w:r w:rsidRPr="00B167C9">
        <w:rPr>
          <w:rFonts w:ascii="Arial" w:hAnsi="Arial" w:cs="Arial"/>
          <w:sz w:val="22"/>
          <w:szCs w:val="22"/>
        </w:rPr>
        <w:t xml:space="preserve">The GROW model is a powerful and practical coaching framework that facilitates goal-oriented discussions and drives actionable outcomes. However, it is most effective when applied to motivated and self-aware individuals in need of clear direction. Recognizing its limitations and integrating other coaching models when </w:t>
      </w:r>
      <w:r w:rsidR="00BB65C8" w:rsidRPr="00B167C9">
        <w:rPr>
          <w:rFonts w:ascii="Arial" w:hAnsi="Arial" w:cs="Arial"/>
          <w:sz w:val="22"/>
          <w:szCs w:val="22"/>
        </w:rPr>
        <w:t>necessary,</w:t>
      </w:r>
      <w:r w:rsidRPr="00B167C9">
        <w:rPr>
          <w:rFonts w:ascii="Arial" w:hAnsi="Arial" w:cs="Arial"/>
          <w:sz w:val="22"/>
          <w:szCs w:val="22"/>
        </w:rPr>
        <w:t xml:space="preserve"> can ensure a more comprehensive approach to addressing both technical and interpersonal challenges in the workplace.</w:t>
      </w:r>
    </w:p>
    <w:p w14:paraId="53C279B0" w14:textId="77777777" w:rsidR="001D45BD" w:rsidRDefault="001D45BD" w:rsidP="001D45BD"/>
    <w:p w14:paraId="199D0482" w14:textId="6491FFDF" w:rsidR="007923CA" w:rsidRDefault="007923CA" w:rsidP="00BB65C8">
      <w:pPr>
        <w:pStyle w:val="Heading2"/>
      </w:pPr>
      <w:bookmarkStart w:id="3" w:name="_Toc182649990"/>
      <w:r>
        <w:t>Reflection on Practical 1: Coaching Session</w:t>
      </w:r>
      <w:bookmarkEnd w:id="3"/>
    </w:p>
    <w:p w14:paraId="40E2E552" w14:textId="394779FF" w:rsidR="007923CA" w:rsidRPr="00B167C9" w:rsidRDefault="007923CA" w:rsidP="007923CA">
      <w:pPr>
        <w:rPr>
          <w:rFonts w:ascii="Arial" w:hAnsi="Arial" w:cs="Arial"/>
          <w:sz w:val="22"/>
          <w:szCs w:val="22"/>
        </w:rPr>
      </w:pPr>
      <w:r w:rsidRPr="00B167C9">
        <w:rPr>
          <w:rFonts w:ascii="Arial" w:hAnsi="Arial" w:cs="Arial"/>
          <w:sz w:val="22"/>
          <w:szCs w:val="22"/>
        </w:rPr>
        <w:t>Using Gibbs’ Reflective Cycle (1988), I will reflect on my first assessed coaching session, incorporating feedback from the professor</w:t>
      </w:r>
      <w:r w:rsidR="00994765" w:rsidRPr="00B167C9">
        <w:rPr>
          <w:rFonts w:ascii="Arial" w:hAnsi="Arial" w:cs="Arial"/>
          <w:sz w:val="22"/>
          <w:szCs w:val="22"/>
        </w:rPr>
        <w:t xml:space="preserve"> (</w:t>
      </w:r>
      <w:r w:rsidR="00FF461B" w:rsidRPr="00B167C9">
        <w:rPr>
          <w:rFonts w:ascii="Arial" w:hAnsi="Arial" w:cs="Arial"/>
          <w:sz w:val="22"/>
          <w:szCs w:val="22"/>
        </w:rPr>
        <w:t xml:space="preserve">please </w:t>
      </w:r>
      <w:r w:rsidR="00994765" w:rsidRPr="00B167C9">
        <w:rPr>
          <w:rFonts w:ascii="Arial" w:hAnsi="Arial" w:cs="Arial"/>
          <w:sz w:val="22"/>
          <w:szCs w:val="22"/>
        </w:rPr>
        <w:t>see appendix</w:t>
      </w:r>
      <w:r w:rsidR="005E408F" w:rsidRPr="00B167C9">
        <w:rPr>
          <w:rFonts w:ascii="Arial" w:hAnsi="Arial" w:cs="Arial"/>
          <w:sz w:val="22"/>
          <w:szCs w:val="22"/>
        </w:rPr>
        <w:t>, fig.1</w:t>
      </w:r>
      <w:r w:rsidR="00994765" w:rsidRPr="00B167C9">
        <w:rPr>
          <w:rFonts w:ascii="Arial" w:hAnsi="Arial" w:cs="Arial"/>
          <w:sz w:val="22"/>
          <w:szCs w:val="22"/>
        </w:rPr>
        <w:t>)</w:t>
      </w:r>
      <w:r w:rsidRPr="00B167C9">
        <w:rPr>
          <w:rFonts w:ascii="Arial" w:hAnsi="Arial" w:cs="Arial"/>
          <w:sz w:val="22"/>
          <w:szCs w:val="22"/>
        </w:rPr>
        <w:t xml:space="preserve"> to highlight strengths and areas for improvement</w:t>
      </w:r>
      <w:r w:rsidR="009D1BF7" w:rsidRPr="00B167C9">
        <w:rPr>
          <w:rFonts w:ascii="Arial" w:hAnsi="Arial" w:cs="Arial"/>
          <w:sz w:val="22"/>
          <w:szCs w:val="22"/>
        </w:rPr>
        <w:t>.</w:t>
      </w:r>
    </w:p>
    <w:p w14:paraId="7FDA68B5" w14:textId="66260F98" w:rsidR="007923CA" w:rsidRPr="00B167C9" w:rsidRDefault="007923CA" w:rsidP="007923CA">
      <w:pPr>
        <w:rPr>
          <w:rFonts w:ascii="Arial" w:hAnsi="Arial" w:cs="Arial"/>
          <w:b/>
          <w:bCs/>
          <w:sz w:val="22"/>
          <w:szCs w:val="22"/>
        </w:rPr>
      </w:pPr>
      <w:r w:rsidRPr="00B167C9">
        <w:rPr>
          <w:rFonts w:ascii="Arial" w:hAnsi="Arial" w:cs="Arial"/>
          <w:b/>
          <w:bCs/>
          <w:sz w:val="22"/>
          <w:szCs w:val="22"/>
        </w:rPr>
        <w:t>Description</w:t>
      </w:r>
    </w:p>
    <w:p w14:paraId="25943FE9" w14:textId="6875CEB2" w:rsidR="007923CA" w:rsidRPr="00B167C9" w:rsidRDefault="007923CA" w:rsidP="007923CA">
      <w:pPr>
        <w:rPr>
          <w:rFonts w:ascii="Arial" w:hAnsi="Arial" w:cs="Arial"/>
          <w:sz w:val="22"/>
          <w:szCs w:val="22"/>
        </w:rPr>
      </w:pPr>
      <w:r w:rsidRPr="00B167C9">
        <w:rPr>
          <w:rFonts w:ascii="Arial" w:hAnsi="Arial" w:cs="Arial"/>
          <w:sz w:val="22"/>
          <w:szCs w:val="22"/>
        </w:rPr>
        <w:t>The coaching session employed the GROW model (Whitmore, 2009), focusing on the coachee’s goal of becoming a General Manager. The session involved structured questioning around the coachee’s aspirations, current reality, options for progress, and a plan for the way forward. The goal-setting component was implemented effectively, and follow-up questions were well-aligned with the model. However, feedback indicated that the session leaned more toward monitoring career development than coaching specific skills. Additionally, the summarization lacked clarity, and the recommendations were generic rather than tailored to the coachee’s strategic decision-making needs.</w:t>
      </w:r>
    </w:p>
    <w:p w14:paraId="03470217" w14:textId="5EA5DE40" w:rsidR="007923CA" w:rsidRPr="00B167C9" w:rsidRDefault="007923CA" w:rsidP="007923CA">
      <w:pPr>
        <w:rPr>
          <w:rFonts w:ascii="Arial" w:hAnsi="Arial" w:cs="Arial"/>
          <w:b/>
          <w:bCs/>
          <w:sz w:val="22"/>
          <w:szCs w:val="22"/>
        </w:rPr>
      </w:pPr>
      <w:r w:rsidRPr="00B167C9">
        <w:rPr>
          <w:rFonts w:ascii="Arial" w:hAnsi="Arial" w:cs="Arial"/>
          <w:b/>
          <w:bCs/>
          <w:sz w:val="22"/>
          <w:szCs w:val="22"/>
        </w:rPr>
        <w:t>Feelings</w:t>
      </w:r>
    </w:p>
    <w:p w14:paraId="53B43530" w14:textId="11ACF8A7" w:rsidR="007923CA" w:rsidRPr="00B167C9" w:rsidRDefault="007923CA" w:rsidP="007923CA">
      <w:pPr>
        <w:rPr>
          <w:rFonts w:ascii="Arial" w:hAnsi="Arial" w:cs="Arial"/>
          <w:sz w:val="22"/>
          <w:szCs w:val="22"/>
        </w:rPr>
      </w:pPr>
      <w:r w:rsidRPr="00B167C9">
        <w:rPr>
          <w:rFonts w:ascii="Arial" w:hAnsi="Arial" w:cs="Arial"/>
          <w:sz w:val="22"/>
          <w:szCs w:val="22"/>
        </w:rPr>
        <w:t>Initially, I felt confident about the structure and flow of the session, believing the GROW model provided a clear framework for guiding the conversation. However, I later realized that my focus on career progression, rather than specific skill development, limited the session’s effectiveness. Receiving the professor’s feedback evoked a mix of satisfaction (acknowledging strong listening and questioning skills) and concern about the lack of clarity and specificity in the goal and recommendations.</w:t>
      </w:r>
    </w:p>
    <w:p w14:paraId="3CDECC17" w14:textId="43D1688E" w:rsidR="007923CA" w:rsidRPr="00B167C9" w:rsidRDefault="007923CA" w:rsidP="007923CA">
      <w:pPr>
        <w:rPr>
          <w:rFonts w:ascii="Arial" w:hAnsi="Arial" w:cs="Arial"/>
          <w:b/>
          <w:bCs/>
          <w:sz w:val="22"/>
          <w:szCs w:val="22"/>
        </w:rPr>
      </w:pPr>
      <w:r w:rsidRPr="00B167C9">
        <w:rPr>
          <w:rFonts w:ascii="Arial" w:hAnsi="Arial" w:cs="Arial"/>
          <w:b/>
          <w:bCs/>
          <w:sz w:val="22"/>
          <w:szCs w:val="22"/>
        </w:rPr>
        <w:t>Evaluation</w:t>
      </w:r>
    </w:p>
    <w:p w14:paraId="567EBB96" w14:textId="36F4BEB4" w:rsidR="007923CA" w:rsidRPr="00B167C9" w:rsidRDefault="007923CA" w:rsidP="007923CA">
      <w:pPr>
        <w:rPr>
          <w:rFonts w:ascii="Arial" w:hAnsi="Arial" w:cs="Arial"/>
          <w:sz w:val="22"/>
          <w:szCs w:val="22"/>
        </w:rPr>
      </w:pPr>
      <w:r w:rsidRPr="00B167C9">
        <w:rPr>
          <w:rFonts w:ascii="Arial" w:hAnsi="Arial" w:cs="Arial"/>
          <w:sz w:val="22"/>
          <w:szCs w:val="22"/>
        </w:rPr>
        <w:t>The session had several strengths. My use of follow-up questions demonstrated good listening and the ability to probe deeper into the coachee’s aspirations. Linking the discussion to a timeline showed a forward-thinking approach. My communication skills, particularly questioning and listening, were highlighted as strong points. However, the session’s weaknesses were significant. The focus on career development overshadowed the coachee’s need for strategic decision-making skills, and the lack of tailored recommendations diminished the session’s impact.</w:t>
      </w:r>
    </w:p>
    <w:p w14:paraId="348F3EB3" w14:textId="1731BF0D" w:rsidR="007923CA" w:rsidRPr="00B167C9" w:rsidRDefault="007923CA" w:rsidP="007923CA">
      <w:pPr>
        <w:rPr>
          <w:rFonts w:ascii="Arial" w:hAnsi="Arial" w:cs="Arial"/>
          <w:b/>
          <w:bCs/>
          <w:sz w:val="22"/>
          <w:szCs w:val="22"/>
        </w:rPr>
      </w:pPr>
      <w:r w:rsidRPr="00B167C9">
        <w:rPr>
          <w:rFonts w:ascii="Arial" w:hAnsi="Arial" w:cs="Arial"/>
          <w:b/>
          <w:bCs/>
          <w:sz w:val="22"/>
          <w:szCs w:val="22"/>
        </w:rPr>
        <w:t>Analysis</w:t>
      </w:r>
    </w:p>
    <w:p w14:paraId="38896966" w14:textId="77777777" w:rsidR="00164991" w:rsidRPr="00B167C9" w:rsidRDefault="007923CA" w:rsidP="007923CA">
      <w:pPr>
        <w:rPr>
          <w:rFonts w:ascii="Arial" w:hAnsi="Arial" w:cs="Arial"/>
          <w:sz w:val="22"/>
          <w:szCs w:val="22"/>
        </w:rPr>
      </w:pPr>
      <w:r w:rsidRPr="00B167C9">
        <w:rPr>
          <w:rFonts w:ascii="Arial" w:hAnsi="Arial" w:cs="Arial"/>
          <w:sz w:val="22"/>
          <w:szCs w:val="22"/>
        </w:rPr>
        <w:t>One key issue was the vagueness of the goal-setting process. While the GROW model emphasizes clarity, the session did not delve deeply into specific areas the coachee needed to develop, such as strategic thinking or decision-making. This aligns with Grant’s (2003) findings that effective coaching must balance broad goals with targeted skill development. Furthermore, the weak summarization phase meant the coachee lacked reassurance and clarity about their next steps. Strong summarization, as emphasized by Rogers (2012), is essential for reinforcing understanding and accountability.</w:t>
      </w:r>
    </w:p>
    <w:p w14:paraId="26630B82" w14:textId="5854D62A" w:rsidR="007923CA" w:rsidRPr="00B167C9" w:rsidRDefault="00164991" w:rsidP="007923CA">
      <w:pPr>
        <w:rPr>
          <w:rFonts w:ascii="Arial" w:hAnsi="Arial" w:cs="Arial"/>
          <w:sz w:val="22"/>
          <w:szCs w:val="22"/>
        </w:rPr>
      </w:pPr>
      <w:r w:rsidRPr="00B167C9">
        <w:rPr>
          <w:rFonts w:ascii="Arial" w:hAnsi="Arial" w:cs="Arial"/>
          <w:sz w:val="22"/>
          <w:szCs w:val="22"/>
        </w:rPr>
        <w:t>Concluding on this, t</w:t>
      </w:r>
      <w:r w:rsidR="007923CA" w:rsidRPr="00B167C9">
        <w:rPr>
          <w:rFonts w:ascii="Arial" w:hAnsi="Arial" w:cs="Arial"/>
          <w:sz w:val="22"/>
          <w:szCs w:val="22"/>
        </w:rPr>
        <w:t>o improve future coaching sessions, I must ensure the goal is explicitly defined and directly linked to skill development. This includes tailoring recommendations to the coachee’s specific needs and summarizing the conversation to reinforce key points and ensure mutual understanding. By integrating active feedback-seeking techniques, I can better ensure that the coachee feels reassured and empowered.</w:t>
      </w:r>
    </w:p>
    <w:p w14:paraId="373B4549" w14:textId="042A4BC5" w:rsidR="007923CA" w:rsidRPr="00B167C9" w:rsidRDefault="007923CA" w:rsidP="007923CA">
      <w:pPr>
        <w:rPr>
          <w:rFonts w:ascii="Arial" w:hAnsi="Arial" w:cs="Arial"/>
          <w:b/>
          <w:bCs/>
          <w:sz w:val="22"/>
          <w:szCs w:val="22"/>
        </w:rPr>
      </w:pPr>
      <w:r w:rsidRPr="00B167C9">
        <w:rPr>
          <w:rFonts w:ascii="Arial" w:hAnsi="Arial" w:cs="Arial"/>
          <w:b/>
          <w:bCs/>
          <w:sz w:val="22"/>
          <w:szCs w:val="22"/>
        </w:rPr>
        <w:t>Action Plan</w:t>
      </w:r>
    </w:p>
    <w:p w14:paraId="11E25061" w14:textId="2FDB7119" w:rsidR="007923CA" w:rsidRPr="00B167C9" w:rsidRDefault="007923CA" w:rsidP="007923CA">
      <w:pPr>
        <w:rPr>
          <w:rFonts w:ascii="Arial" w:hAnsi="Arial" w:cs="Arial"/>
          <w:sz w:val="22"/>
          <w:szCs w:val="22"/>
        </w:rPr>
      </w:pPr>
      <w:r w:rsidRPr="00B167C9">
        <w:rPr>
          <w:rFonts w:ascii="Arial" w:hAnsi="Arial" w:cs="Arial"/>
          <w:sz w:val="22"/>
          <w:szCs w:val="22"/>
        </w:rPr>
        <w:t>For future coaching sessions, I will:</w:t>
      </w:r>
    </w:p>
    <w:p w14:paraId="3232449F" w14:textId="77777777" w:rsidR="007923CA" w:rsidRPr="00B167C9" w:rsidRDefault="007923CA" w:rsidP="007923CA">
      <w:pPr>
        <w:rPr>
          <w:rFonts w:ascii="Arial" w:hAnsi="Arial" w:cs="Arial"/>
          <w:sz w:val="22"/>
          <w:szCs w:val="22"/>
        </w:rPr>
      </w:pPr>
      <w:r w:rsidRPr="00B167C9">
        <w:rPr>
          <w:rFonts w:ascii="Arial" w:hAnsi="Arial" w:cs="Arial"/>
          <w:sz w:val="22"/>
          <w:szCs w:val="22"/>
        </w:rPr>
        <w:tab/>
        <w:t>1.</w:t>
      </w:r>
      <w:r w:rsidRPr="00B167C9">
        <w:rPr>
          <w:rFonts w:ascii="Arial" w:hAnsi="Arial" w:cs="Arial"/>
          <w:sz w:val="22"/>
          <w:szCs w:val="22"/>
        </w:rPr>
        <w:tab/>
        <w:t>Focus on Specific Skills: Ensure that the session prioritizes the coachee’s development of particular skills (e.g., strategic thinking).</w:t>
      </w:r>
    </w:p>
    <w:p w14:paraId="4D7F681E" w14:textId="77777777" w:rsidR="007923CA" w:rsidRPr="00B167C9" w:rsidRDefault="007923CA" w:rsidP="007923CA">
      <w:pPr>
        <w:rPr>
          <w:rFonts w:ascii="Arial" w:hAnsi="Arial" w:cs="Arial"/>
          <w:sz w:val="22"/>
          <w:szCs w:val="22"/>
        </w:rPr>
      </w:pPr>
      <w:r w:rsidRPr="00B167C9">
        <w:rPr>
          <w:rFonts w:ascii="Arial" w:hAnsi="Arial" w:cs="Arial"/>
          <w:sz w:val="22"/>
          <w:szCs w:val="22"/>
        </w:rPr>
        <w:tab/>
        <w:t>2.</w:t>
      </w:r>
      <w:r w:rsidRPr="00B167C9">
        <w:rPr>
          <w:rFonts w:ascii="Arial" w:hAnsi="Arial" w:cs="Arial"/>
          <w:sz w:val="22"/>
          <w:szCs w:val="22"/>
        </w:rPr>
        <w:tab/>
        <w:t>Enhance Summarization: Practice summarizing key takeaways and verifying understanding with the coachee to reinforce clarity.</w:t>
      </w:r>
    </w:p>
    <w:p w14:paraId="2BCA375E" w14:textId="77777777" w:rsidR="007923CA" w:rsidRPr="00B167C9" w:rsidRDefault="007923CA" w:rsidP="007923CA">
      <w:pPr>
        <w:rPr>
          <w:rFonts w:ascii="Arial" w:hAnsi="Arial" w:cs="Arial"/>
          <w:sz w:val="22"/>
          <w:szCs w:val="22"/>
        </w:rPr>
      </w:pPr>
      <w:r w:rsidRPr="00B167C9">
        <w:rPr>
          <w:rFonts w:ascii="Arial" w:hAnsi="Arial" w:cs="Arial"/>
          <w:sz w:val="22"/>
          <w:szCs w:val="22"/>
        </w:rPr>
        <w:tab/>
        <w:t>3.</w:t>
      </w:r>
      <w:r w:rsidRPr="00B167C9">
        <w:rPr>
          <w:rFonts w:ascii="Arial" w:hAnsi="Arial" w:cs="Arial"/>
          <w:sz w:val="22"/>
          <w:szCs w:val="22"/>
        </w:rPr>
        <w:tab/>
        <w:t>Seek Immediate Feedback: Incorporate opportunities for the coachee to provide verbal feedback throughout the session, ensuring alignment and engagement.</w:t>
      </w:r>
    </w:p>
    <w:p w14:paraId="07BADD48" w14:textId="77777777" w:rsidR="007923CA" w:rsidRPr="00B167C9" w:rsidRDefault="007923CA" w:rsidP="007923CA">
      <w:pPr>
        <w:rPr>
          <w:rFonts w:ascii="Arial" w:hAnsi="Arial" w:cs="Arial"/>
          <w:sz w:val="22"/>
          <w:szCs w:val="22"/>
        </w:rPr>
      </w:pPr>
      <w:r w:rsidRPr="00B167C9">
        <w:rPr>
          <w:rFonts w:ascii="Arial" w:hAnsi="Arial" w:cs="Arial"/>
          <w:sz w:val="22"/>
          <w:szCs w:val="22"/>
        </w:rPr>
        <w:tab/>
        <w:t>4.</w:t>
      </w:r>
      <w:r w:rsidRPr="00B167C9">
        <w:rPr>
          <w:rFonts w:ascii="Arial" w:hAnsi="Arial" w:cs="Arial"/>
          <w:sz w:val="22"/>
          <w:szCs w:val="22"/>
        </w:rPr>
        <w:tab/>
        <w:t>Tailor Recommendations: Use SMART (Specific, Measurable, Achievable, Relevant, Time-bound) goals to provide actionable and personalized guidance.</w:t>
      </w:r>
    </w:p>
    <w:p w14:paraId="26C7B540" w14:textId="77777777" w:rsidR="007923CA" w:rsidRPr="00B167C9" w:rsidRDefault="007923CA" w:rsidP="007923CA">
      <w:pPr>
        <w:rPr>
          <w:rFonts w:ascii="Arial" w:hAnsi="Arial" w:cs="Arial"/>
          <w:sz w:val="22"/>
          <w:szCs w:val="22"/>
        </w:rPr>
      </w:pPr>
    </w:p>
    <w:p w14:paraId="33632570" w14:textId="6EA2EDF7" w:rsidR="007923CA" w:rsidRDefault="007923CA" w:rsidP="00164991">
      <w:pPr>
        <w:pStyle w:val="Heading2"/>
      </w:pPr>
      <w:bookmarkStart w:id="4" w:name="_Toc182649991"/>
      <w:r>
        <w:t>Reflection on Practical 2: Mentoring Session</w:t>
      </w:r>
      <w:bookmarkEnd w:id="4"/>
    </w:p>
    <w:p w14:paraId="7DD57958" w14:textId="5EECDD4C" w:rsidR="007923CA" w:rsidRPr="00B167C9" w:rsidRDefault="007923CA" w:rsidP="005E408F">
      <w:pPr>
        <w:rPr>
          <w:rFonts w:ascii="Arial" w:hAnsi="Arial" w:cs="Arial"/>
          <w:sz w:val="22"/>
          <w:szCs w:val="22"/>
        </w:rPr>
      </w:pPr>
      <w:r w:rsidRPr="00B167C9">
        <w:rPr>
          <w:rFonts w:ascii="Arial" w:hAnsi="Arial" w:cs="Arial"/>
          <w:sz w:val="22"/>
          <w:szCs w:val="22"/>
        </w:rPr>
        <w:t>Using Gibbs’ Reflective Cycle (1988), I will now reflect on my second assessed mentoring session, considering the professor’s feedback</w:t>
      </w:r>
      <w:r w:rsidR="005E408F" w:rsidRPr="00B167C9">
        <w:rPr>
          <w:rFonts w:ascii="Arial" w:hAnsi="Arial" w:cs="Arial"/>
          <w:sz w:val="22"/>
          <w:szCs w:val="22"/>
        </w:rPr>
        <w:t xml:space="preserve"> (please see appendix, fig.2)</w:t>
      </w:r>
      <w:r w:rsidRPr="00B167C9">
        <w:rPr>
          <w:rFonts w:ascii="Arial" w:hAnsi="Arial" w:cs="Arial"/>
          <w:sz w:val="22"/>
          <w:szCs w:val="22"/>
        </w:rPr>
        <w:t>.</w:t>
      </w:r>
    </w:p>
    <w:p w14:paraId="0617CA2E" w14:textId="0341466B" w:rsidR="007923CA" w:rsidRPr="00B167C9" w:rsidRDefault="007923CA" w:rsidP="007923CA">
      <w:pPr>
        <w:rPr>
          <w:rFonts w:ascii="Arial" w:hAnsi="Arial" w:cs="Arial"/>
          <w:b/>
          <w:bCs/>
          <w:sz w:val="22"/>
          <w:szCs w:val="22"/>
        </w:rPr>
      </w:pPr>
      <w:r w:rsidRPr="00B167C9">
        <w:rPr>
          <w:rFonts w:ascii="Arial" w:hAnsi="Arial" w:cs="Arial"/>
          <w:b/>
          <w:bCs/>
          <w:sz w:val="22"/>
          <w:szCs w:val="22"/>
        </w:rPr>
        <w:t>Description</w:t>
      </w:r>
    </w:p>
    <w:p w14:paraId="6AFBE4CC" w14:textId="271489E1" w:rsidR="007923CA" w:rsidRPr="00B167C9" w:rsidRDefault="007923CA" w:rsidP="007923CA">
      <w:pPr>
        <w:rPr>
          <w:rFonts w:ascii="Arial" w:hAnsi="Arial" w:cs="Arial"/>
          <w:sz w:val="22"/>
          <w:szCs w:val="22"/>
        </w:rPr>
      </w:pPr>
      <w:r w:rsidRPr="00B167C9">
        <w:rPr>
          <w:rFonts w:ascii="Arial" w:hAnsi="Arial" w:cs="Arial"/>
          <w:sz w:val="22"/>
          <w:szCs w:val="22"/>
        </w:rPr>
        <w:t>The mentoring session used Force Field Analysis (Lewin, 1951) to help the mentee identify driving forces and barriers to their goal of becoming a shift manager. The session emphasized listening, questioning, and summarizing while providing three targeted feedback points. Unlike the coaching session, this session demonstrated improved use of summarization and clear time management. However, feedback indicated that the mentoring model was not explicitly articulated during the session, which could have impacted clarity.</w:t>
      </w:r>
    </w:p>
    <w:p w14:paraId="0522F7D8" w14:textId="079A23A0" w:rsidR="007923CA" w:rsidRPr="00B167C9" w:rsidRDefault="007923CA" w:rsidP="007923CA">
      <w:pPr>
        <w:rPr>
          <w:rFonts w:ascii="Arial" w:hAnsi="Arial" w:cs="Arial"/>
          <w:b/>
          <w:bCs/>
          <w:sz w:val="22"/>
          <w:szCs w:val="22"/>
        </w:rPr>
      </w:pPr>
      <w:r w:rsidRPr="00B167C9">
        <w:rPr>
          <w:rFonts w:ascii="Arial" w:hAnsi="Arial" w:cs="Arial"/>
          <w:b/>
          <w:bCs/>
          <w:sz w:val="22"/>
          <w:szCs w:val="22"/>
        </w:rPr>
        <w:t>Feelings</w:t>
      </w:r>
    </w:p>
    <w:p w14:paraId="4DD3C6DA" w14:textId="6C5C744C" w:rsidR="007923CA" w:rsidRPr="00B167C9" w:rsidRDefault="007923CA" w:rsidP="007923CA">
      <w:pPr>
        <w:rPr>
          <w:rFonts w:ascii="Arial" w:hAnsi="Arial" w:cs="Arial"/>
          <w:sz w:val="22"/>
          <w:szCs w:val="22"/>
        </w:rPr>
      </w:pPr>
      <w:r w:rsidRPr="00B167C9">
        <w:rPr>
          <w:rFonts w:ascii="Arial" w:hAnsi="Arial" w:cs="Arial"/>
          <w:sz w:val="22"/>
          <w:szCs w:val="22"/>
        </w:rPr>
        <w:t>I felt more confident and organized during the mentoring session than in the coaching session. The structured approach of Force Field Analysis helped guide the conversation effectively. Positive feedback about my listening, questioning, and summarizing skills was encouraging. However, the critique regarding the lack of explicit reference to the mentoring model highlighted a missed opportunity to provide greater clarity and structure.</w:t>
      </w:r>
    </w:p>
    <w:p w14:paraId="6B344D27" w14:textId="4A6046BA" w:rsidR="007923CA" w:rsidRPr="00B167C9" w:rsidRDefault="007923CA" w:rsidP="007923CA">
      <w:pPr>
        <w:rPr>
          <w:rFonts w:ascii="Arial" w:hAnsi="Arial" w:cs="Arial"/>
          <w:b/>
          <w:bCs/>
          <w:sz w:val="22"/>
          <w:szCs w:val="22"/>
        </w:rPr>
      </w:pPr>
      <w:r w:rsidRPr="00B167C9">
        <w:rPr>
          <w:rFonts w:ascii="Arial" w:hAnsi="Arial" w:cs="Arial"/>
          <w:b/>
          <w:bCs/>
          <w:sz w:val="22"/>
          <w:szCs w:val="22"/>
        </w:rPr>
        <w:t>Evaluation</w:t>
      </w:r>
    </w:p>
    <w:p w14:paraId="79011A6D" w14:textId="188EED33" w:rsidR="007923CA" w:rsidRPr="00B167C9" w:rsidRDefault="007923CA" w:rsidP="007923CA">
      <w:pPr>
        <w:rPr>
          <w:rFonts w:ascii="Arial" w:hAnsi="Arial" w:cs="Arial"/>
          <w:sz w:val="22"/>
          <w:szCs w:val="22"/>
        </w:rPr>
      </w:pPr>
      <w:r w:rsidRPr="00B167C9">
        <w:rPr>
          <w:rFonts w:ascii="Arial" w:hAnsi="Arial" w:cs="Arial"/>
          <w:sz w:val="22"/>
          <w:szCs w:val="22"/>
        </w:rPr>
        <w:t>The session had notable strengths. I demonstrated strong listening and communication skills, effectively summarizing the mentee’s responses and providing actionable feedback. The structured questioning facilitated a thorough exploration of driving and restraining forces. However, the absence of explicit reference to the mentoring model could have reduced the mentee’s understanding of the session’s purpose and structure.</w:t>
      </w:r>
    </w:p>
    <w:p w14:paraId="05338FCF" w14:textId="0340563F" w:rsidR="007923CA" w:rsidRPr="00B167C9" w:rsidRDefault="007923CA" w:rsidP="007923CA">
      <w:pPr>
        <w:rPr>
          <w:rFonts w:ascii="Arial" w:hAnsi="Arial" w:cs="Arial"/>
          <w:b/>
          <w:bCs/>
          <w:sz w:val="22"/>
          <w:szCs w:val="22"/>
        </w:rPr>
      </w:pPr>
      <w:r w:rsidRPr="00B167C9">
        <w:rPr>
          <w:rFonts w:ascii="Arial" w:hAnsi="Arial" w:cs="Arial"/>
          <w:b/>
          <w:bCs/>
          <w:sz w:val="22"/>
          <w:szCs w:val="22"/>
        </w:rPr>
        <w:t>Analysis</w:t>
      </w:r>
    </w:p>
    <w:p w14:paraId="508BE4D1" w14:textId="5AA81625" w:rsidR="007923CA" w:rsidRPr="00B167C9" w:rsidRDefault="007923CA" w:rsidP="007923CA">
      <w:pPr>
        <w:rPr>
          <w:rFonts w:ascii="Arial" w:hAnsi="Arial" w:cs="Arial"/>
          <w:sz w:val="22"/>
          <w:szCs w:val="22"/>
        </w:rPr>
      </w:pPr>
      <w:r w:rsidRPr="00B167C9">
        <w:rPr>
          <w:rFonts w:ascii="Arial" w:hAnsi="Arial" w:cs="Arial"/>
          <w:sz w:val="22"/>
          <w:szCs w:val="22"/>
        </w:rPr>
        <w:t>The success of the mentoring session reflects the benefits of Force Field Analysis in identifying strengths, barriers, and actionable steps. As Clutterbuck (2004) suggests, effective mentoring requires clarity in the approach, which was lacking in this instance. Additionally, while summarization was improved compared to the coaching session, articulating the mentoring model would have further reinforced the session’s objectives and outcomes.</w:t>
      </w:r>
    </w:p>
    <w:p w14:paraId="488FDB4B" w14:textId="1D9488FB" w:rsidR="007923CA" w:rsidRPr="00B167C9" w:rsidRDefault="002F1A7F" w:rsidP="007923CA">
      <w:pPr>
        <w:rPr>
          <w:rFonts w:ascii="Arial" w:hAnsi="Arial" w:cs="Arial"/>
          <w:sz w:val="22"/>
          <w:szCs w:val="22"/>
        </w:rPr>
      </w:pPr>
      <w:r w:rsidRPr="00B167C9">
        <w:rPr>
          <w:rFonts w:ascii="Arial" w:hAnsi="Arial" w:cs="Arial"/>
          <w:sz w:val="22"/>
          <w:szCs w:val="22"/>
        </w:rPr>
        <w:t>Summarising on the above,</w:t>
      </w:r>
      <w:r w:rsidR="00324470" w:rsidRPr="00B167C9">
        <w:rPr>
          <w:rFonts w:ascii="Arial" w:hAnsi="Arial" w:cs="Arial"/>
          <w:sz w:val="22"/>
          <w:szCs w:val="22"/>
        </w:rPr>
        <w:t xml:space="preserve"> t</w:t>
      </w:r>
      <w:r w:rsidR="007923CA" w:rsidRPr="00B167C9">
        <w:rPr>
          <w:rFonts w:ascii="Arial" w:hAnsi="Arial" w:cs="Arial"/>
          <w:sz w:val="22"/>
          <w:szCs w:val="22"/>
        </w:rPr>
        <w:t>he mentoring session demonstrated significant progress compared to the coaching session, particularly in listening and summarizing. However, explicitly referencing the mentoring model and its purpose would have enhanced the session’s clarity and impact.</w:t>
      </w:r>
    </w:p>
    <w:p w14:paraId="1BCAA9EA" w14:textId="6D4EB3C5" w:rsidR="007923CA" w:rsidRPr="00B167C9" w:rsidRDefault="007923CA" w:rsidP="007923CA">
      <w:pPr>
        <w:rPr>
          <w:rFonts w:ascii="Arial" w:hAnsi="Arial" w:cs="Arial"/>
          <w:b/>
          <w:bCs/>
          <w:sz w:val="22"/>
          <w:szCs w:val="22"/>
        </w:rPr>
      </w:pPr>
      <w:r w:rsidRPr="00B167C9">
        <w:rPr>
          <w:rFonts w:ascii="Arial" w:hAnsi="Arial" w:cs="Arial"/>
          <w:b/>
          <w:bCs/>
          <w:sz w:val="22"/>
          <w:szCs w:val="22"/>
        </w:rPr>
        <w:t>Action Plan</w:t>
      </w:r>
    </w:p>
    <w:p w14:paraId="1A2D6EF4" w14:textId="0ACB7977" w:rsidR="007923CA" w:rsidRPr="00B167C9" w:rsidRDefault="007923CA" w:rsidP="007923CA">
      <w:pPr>
        <w:rPr>
          <w:rFonts w:ascii="Arial" w:hAnsi="Arial" w:cs="Arial"/>
          <w:sz w:val="22"/>
          <w:szCs w:val="22"/>
        </w:rPr>
      </w:pPr>
      <w:r w:rsidRPr="00B167C9">
        <w:rPr>
          <w:rFonts w:ascii="Arial" w:hAnsi="Arial" w:cs="Arial"/>
          <w:sz w:val="22"/>
          <w:szCs w:val="22"/>
        </w:rPr>
        <w:t>For future mentoring sessions, I will:</w:t>
      </w:r>
    </w:p>
    <w:p w14:paraId="5C0653F7" w14:textId="77777777" w:rsidR="007923CA" w:rsidRPr="00B167C9" w:rsidRDefault="007923CA" w:rsidP="007923CA">
      <w:pPr>
        <w:rPr>
          <w:rFonts w:ascii="Arial" w:hAnsi="Arial" w:cs="Arial"/>
          <w:sz w:val="22"/>
          <w:szCs w:val="22"/>
        </w:rPr>
      </w:pPr>
      <w:r w:rsidRPr="00B167C9">
        <w:rPr>
          <w:rFonts w:ascii="Arial" w:hAnsi="Arial" w:cs="Arial"/>
          <w:sz w:val="22"/>
          <w:szCs w:val="22"/>
        </w:rPr>
        <w:tab/>
        <w:t>1.</w:t>
      </w:r>
      <w:r w:rsidRPr="00B167C9">
        <w:rPr>
          <w:rFonts w:ascii="Arial" w:hAnsi="Arial" w:cs="Arial"/>
          <w:sz w:val="22"/>
          <w:szCs w:val="22"/>
        </w:rPr>
        <w:tab/>
        <w:t>Articulate the Model: Clearly explain the mentoring model at the start of the session to provide context and structure.</w:t>
      </w:r>
    </w:p>
    <w:p w14:paraId="79D015F3" w14:textId="77777777" w:rsidR="007923CA" w:rsidRPr="00B167C9" w:rsidRDefault="007923CA" w:rsidP="007923CA">
      <w:pPr>
        <w:rPr>
          <w:rFonts w:ascii="Arial" w:hAnsi="Arial" w:cs="Arial"/>
          <w:sz w:val="22"/>
          <w:szCs w:val="22"/>
        </w:rPr>
      </w:pPr>
      <w:r w:rsidRPr="00B167C9">
        <w:rPr>
          <w:rFonts w:ascii="Arial" w:hAnsi="Arial" w:cs="Arial"/>
          <w:sz w:val="22"/>
          <w:szCs w:val="22"/>
        </w:rPr>
        <w:tab/>
        <w:t>2.</w:t>
      </w:r>
      <w:r w:rsidRPr="00B167C9">
        <w:rPr>
          <w:rFonts w:ascii="Arial" w:hAnsi="Arial" w:cs="Arial"/>
          <w:sz w:val="22"/>
          <w:szCs w:val="22"/>
        </w:rPr>
        <w:tab/>
        <w:t>Enhance Contextual Clarity: Continuously link the discussion to the mentee’s goal to ensure alignment and purpose.</w:t>
      </w:r>
    </w:p>
    <w:p w14:paraId="3EE708B5" w14:textId="77777777" w:rsidR="007923CA" w:rsidRPr="00B167C9" w:rsidRDefault="007923CA" w:rsidP="007923CA">
      <w:pPr>
        <w:rPr>
          <w:rFonts w:ascii="Arial" w:hAnsi="Arial" w:cs="Arial"/>
          <w:sz w:val="22"/>
          <w:szCs w:val="22"/>
        </w:rPr>
      </w:pPr>
      <w:r w:rsidRPr="00B167C9">
        <w:rPr>
          <w:rFonts w:ascii="Arial" w:hAnsi="Arial" w:cs="Arial"/>
          <w:sz w:val="22"/>
          <w:szCs w:val="22"/>
        </w:rPr>
        <w:tab/>
        <w:t>3.</w:t>
      </w:r>
      <w:r w:rsidRPr="00B167C9">
        <w:rPr>
          <w:rFonts w:ascii="Arial" w:hAnsi="Arial" w:cs="Arial"/>
          <w:sz w:val="22"/>
          <w:szCs w:val="22"/>
        </w:rPr>
        <w:tab/>
        <w:t>Leverage Feedback: Build on the strengths of listening and summarizing while seeking further feedback to refine these skills.</w:t>
      </w:r>
    </w:p>
    <w:p w14:paraId="5453D13C" w14:textId="2527ACA1" w:rsidR="007923CA" w:rsidRPr="00B167C9" w:rsidRDefault="007923CA" w:rsidP="007923CA">
      <w:pPr>
        <w:rPr>
          <w:rFonts w:ascii="Arial" w:hAnsi="Arial" w:cs="Arial"/>
          <w:sz w:val="22"/>
          <w:szCs w:val="22"/>
        </w:rPr>
      </w:pPr>
      <w:r w:rsidRPr="00B167C9">
        <w:rPr>
          <w:rFonts w:ascii="Arial" w:hAnsi="Arial" w:cs="Arial"/>
          <w:sz w:val="22"/>
          <w:szCs w:val="22"/>
        </w:rPr>
        <w:tab/>
        <w:t>4.</w:t>
      </w:r>
      <w:r w:rsidRPr="00B167C9">
        <w:rPr>
          <w:rFonts w:ascii="Arial" w:hAnsi="Arial" w:cs="Arial"/>
          <w:sz w:val="22"/>
          <w:szCs w:val="22"/>
        </w:rPr>
        <w:tab/>
        <w:t>Refine Structure: Incorporate visual aids or written summaries to reinforce key points and action plans.</w:t>
      </w:r>
    </w:p>
    <w:p w14:paraId="49CAC8C1" w14:textId="5F9D90A9" w:rsidR="00C34A19" w:rsidRPr="00B167C9" w:rsidRDefault="007923CA" w:rsidP="007923CA">
      <w:pPr>
        <w:rPr>
          <w:rFonts w:ascii="Arial" w:hAnsi="Arial" w:cs="Arial"/>
          <w:sz w:val="22"/>
          <w:szCs w:val="22"/>
        </w:rPr>
      </w:pPr>
      <w:r w:rsidRPr="00B167C9">
        <w:rPr>
          <w:rFonts w:ascii="Arial" w:hAnsi="Arial" w:cs="Arial"/>
          <w:sz w:val="22"/>
          <w:szCs w:val="22"/>
        </w:rPr>
        <w:t>By addressing these areas, I can further develop my effectiveness as both a coach and mentor.</w:t>
      </w:r>
    </w:p>
    <w:p w14:paraId="73731C61" w14:textId="58B87AF0" w:rsidR="00C34A19" w:rsidRPr="00387DFD" w:rsidRDefault="00C34A19" w:rsidP="00324470">
      <w:pPr>
        <w:pStyle w:val="Heading2"/>
        <w:rPr>
          <w:rFonts w:cs="Arial"/>
        </w:rPr>
      </w:pPr>
      <w:bookmarkStart w:id="5" w:name="_Toc182649992"/>
      <w:r w:rsidRPr="00387DFD">
        <w:rPr>
          <w:rFonts w:cs="Arial"/>
        </w:rPr>
        <w:t>Conclusion</w:t>
      </w:r>
      <w:bookmarkEnd w:id="5"/>
    </w:p>
    <w:p w14:paraId="0B7F500C" w14:textId="026B74E0" w:rsidR="00C34A19" w:rsidRPr="00B167C9" w:rsidRDefault="00C34A19" w:rsidP="00C34A19">
      <w:pPr>
        <w:rPr>
          <w:rFonts w:ascii="Arial" w:hAnsi="Arial" w:cs="Arial"/>
          <w:sz w:val="22"/>
          <w:szCs w:val="22"/>
        </w:rPr>
      </w:pPr>
      <w:r w:rsidRPr="00B167C9">
        <w:rPr>
          <w:rFonts w:ascii="Arial" w:hAnsi="Arial" w:cs="Arial"/>
          <w:sz w:val="22"/>
          <w:szCs w:val="22"/>
        </w:rPr>
        <w:t>This report has highlighted the distinct roles of coaching and mentoring in workplace development. Through reflective analysis of my practical sessions, I have identified areas for growth, such as improving questioning techniques in coaching and considering external factors in mentoring. Key theories, such as Whitmore’s GROW model and Lewin’s Force Field Analysis, provided valuable structure and insights, while Gibbs’ Reflective Cycle allowed me to evaluate my performance systematically.</w:t>
      </w:r>
    </w:p>
    <w:p w14:paraId="084794AA" w14:textId="2E2E845F" w:rsidR="00C34A19" w:rsidRPr="00B167C9" w:rsidRDefault="00C34A19" w:rsidP="00C34A19">
      <w:pPr>
        <w:rPr>
          <w:rFonts w:ascii="Arial" w:hAnsi="Arial" w:cs="Arial"/>
          <w:sz w:val="22"/>
          <w:szCs w:val="22"/>
        </w:rPr>
      </w:pPr>
      <w:r w:rsidRPr="00B167C9">
        <w:rPr>
          <w:rFonts w:ascii="Arial" w:hAnsi="Arial" w:cs="Arial"/>
          <w:sz w:val="22"/>
          <w:szCs w:val="22"/>
        </w:rPr>
        <w:t>In the future, I plan to adopt a more flexible approach, integrating multiple models and techniques to address the unique needs of each individual. By refining my skills and deepening my understanding of these practices, I aim to create more impactful coaching and mentoring experiences.</w:t>
      </w:r>
    </w:p>
    <w:p w14:paraId="003AE225" w14:textId="3E39BFCD" w:rsidR="00C34A19" w:rsidRPr="00B167C9" w:rsidRDefault="00164DB0" w:rsidP="00C34A19">
      <w:pPr>
        <w:rPr>
          <w:rFonts w:ascii="Arial" w:hAnsi="Arial" w:cs="Arial"/>
          <w:sz w:val="22"/>
          <w:szCs w:val="22"/>
        </w:rPr>
      </w:pPr>
      <w:r w:rsidRPr="00B167C9">
        <w:rPr>
          <w:rFonts w:ascii="Arial" w:hAnsi="Arial" w:cs="Arial"/>
          <w:sz w:val="22"/>
          <w:szCs w:val="22"/>
        </w:rPr>
        <w:br w:type="page"/>
      </w:r>
    </w:p>
    <w:p w14:paraId="6FE1DDCE" w14:textId="6F6F6939" w:rsidR="00C34A19" w:rsidRDefault="00790C74" w:rsidP="00324470">
      <w:pPr>
        <w:pStyle w:val="Heading2"/>
      </w:pPr>
      <w:bookmarkStart w:id="6" w:name="_Toc182649993"/>
      <w:r>
        <w:t>Reference list</w:t>
      </w:r>
      <w:bookmarkEnd w:id="6"/>
    </w:p>
    <w:p w14:paraId="2BAAAC4A" w14:textId="77777777" w:rsidR="00790C74" w:rsidRPr="00387DFD" w:rsidRDefault="00790C74" w:rsidP="00790C74">
      <w:pPr>
        <w:rPr>
          <w:rFonts w:ascii="Arial" w:hAnsi="Arial" w:cs="Arial"/>
          <w:sz w:val="20"/>
          <w:szCs w:val="20"/>
        </w:rPr>
      </w:pPr>
      <w:r w:rsidRPr="00387DFD">
        <w:rPr>
          <w:rFonts w:ascii="Arial" w:hAnsi="Arial" w:cs="Arial"/>
          <w:sz w:val="20"/>
          <w:szCs w:val="20"/>
        </w:rPr>
        <w:t>1.</w:t>
      </w:r>
      <w:r w:rsidRPr="00387DFD">
        <w:rPr>
          <w:rFonts w:ascii="Arial" w:hAnsi="Arial" w:cs="Arial"/>
          <w:sz w:val="20"/>
          <w:szCs w:val="20"/>
        </w:rPr>
        <w:tab/>
        <w:t xml:space="preserve">Clutterbuck, D. (2004) </w:t>
      </w:r>
      <w:r w:rsidRPr="00387DFD">
        <w:rPr>
          <w:rFonts w:ascii="Arial" w:hAnsi="Arial" w:cs="Arial"/>
          <w:i/>
          <w:iCs/>
          <w:sz w:val="20"/>
          <w:szCs w:val="20"/>
        </w:rPr>
        <w:t>Everyone Needs a Mentor: Fostering Talent in Your Organisation</w:t>
      </w:r>
      <w:r w:rsidRPr="00387DFD">
        <w:rPr>
          <w:rFonts w:ascii="Arial" w:hAnsi="Arial" w:cs="Arial"/>
          <w:sz w:val="20"/>
          <w:szCs w:val="20"/>
        </w:rPr>
        <w:t>. 4th edn. London: Chartered Institute of Personnel and Development.</w:t>
      </w:r>
    </w:p>
    <w:p w14:paraId="4DA06FA5" w14:textId="77777777" w:rsidR="00790C74" w:rsidRPr="00387DFD" w:rsidRDefault="00790C74" w:rsidP="00790C74">
      <w:pPr>
        <w:rPr>
          <w:rFonts w:ascii="Arial" w:hAnsi="Arial" w:cs="Arial"/>
          <w:sz w:val="20"/>
          <w:szCs w:val="20"/>
        </w:rPr>
      </w:pPr>
      <w:r w:rsidRPr="00387DFD">
        <w:rPr>
          <w:rFonts w:ascii="Arial" w:hAnsi="Arial" w:cs="Arial"/>
          <w:sz w:val="20"/>
          <w:szCs w:val="20"/>
        </w:rPr>
        <w:tab/>
        <w:t>2.</w:t>
      </w:r>
      <w:r w:rsidRPr="00387DFD">
        <w:rPr>
          <w:rFonts w:ascii="Arial" w:hAnsi="Arial" w:cs="Arial"/>
          <w:sz w:val="20"/>
          <w:szCs w:val="20"/>
        </w:rPr>
        <w:tab/>
        <w:t xml:space="preserve">Downey, M. (2003) </w:t>
      </w:r>
      <w:r w:rsidRPr="00387DFD">
        <w:rPr>
          <w:rFonts w:ascii="Arial" w:hAnsi="Arial" w:cs="Arial"/>
          <w:i/>
          <w:iCs/>
          <w:sz w:val="20"/>
          <w:szCs w:val="20"/>
        </w:rPr>
        <w:t>Effective Coaching: Lessons from the Coach’s Coach.</w:t>
      </w:r>
      <w:r w:rsidRPr="00387DFD">
        <w:rPr>
          <w:rFonts w:ascii="Arial" w:hAnsi="Arial" w:cs="Arial"/>
          <w:sz w:val="20"/>
          <w:szCs w:val="20"/>
        </w:rPr>
        <w:t xml:space="preserve"> London: Cengage Learning.</w:t>
      </w:r>
    </w:p>
    <w:p w14:paraId="1EE7E1D6" w14:textId="77777777" w:rsidR="00790C74" w:rsidRPr="00387DFD" w:rsidRDefault="00790C74" w:rsidP="00790C74">
      <w:pPr>
        <w:rPr>
          <w:rFonts w:ascii="Arial" w:hAnsi="Arial" w:cs="Arial"/>
          <w:sz w:val="20"/>
          <w:szCs w:val="20"/>
        </w:rPr>
      </w:pPr>
      <w:r w:rsidRPr="00387DFD">
        <w:rPr>
          <w:rFonts w:ascii="Arial" w:hAnsi="Arial" w:cs="Arial"/>
          <w:sz w:val="20"/>
          <w:szCs w:val="20"/>
        </w:rPr>
        <w:tab/>
        <w:t>3.</w:t>
      </w:r>
      <w:r w:rsidRPr="00387DFD">
        <w:rPr>
          <w:rFonts w:ascii="Arial" w:hAnsi="Arial" w:cs="Arial"/>
          <w:sz w:val="20"/>
          <w:szCs w:val="20"/>
        </w:rPr>
        <w:tab/>
        <w:t xml:space="preserve">Goleman, D. (1995) </w:t>
      </w:r>
      <w:r w:rsidRPr="00387DFD">
        <w:rPr>
          <w:rFonts w:ascii="Arial" w:hAnsi="Arial" w:cs="Arial"/>
          <w:i/>
          <w:iCs/>
          <w:sz w:val="20"/>
          <w:szCs w:val="20"/>
        </w:rPr>
        <w:t>Emotional Intelligence: Why It Can Matter More Than IQ.</w:t>
      </w:r>
      <w:r w:rsidRPr="00387DFD">
        <w:rPr>
          <w:rFonts w:ascii="Arial" w:hAnsi="Arial" w:cs="Arial"/>
          <w:sz w:val="20"/>
          <w:szCs w:val="20"/>
        </w:rPr>
        <w:t xml:space="preserve"> New York: Bantam Books.</w:t>
      </w:r>
    </w:p>
    <w:p w14:paraId="40CFA0DD" w14:textId="77777777" w:rsidR="00790C74" w:rsidRPr="00387DFD" w:rsidRDefault="00790C74" w:rsidP="00790C74">
      <w:pPr>
        <w:rPr>
          <w:rFonts w:ascii="Arial" w:hAnsi="Arial" w:cs="Arial"/>
          <w:sz w:val="20"/>
          <w:szCs w:val="20"/>
        </w:rPr>
      </w:pPr>
      <w:r w:rsidRPr="00387DFD">
        <w:rPr>
          <w:rFonts w:ascii="Arial" w:hAnsi="Arial" w:cs="Arial"/>
          <w:sz w:val="20"/>
          <w:szCs w:val="20"/>
        </w:rPr>
        <w:tab/>
        <w:t>4.</w:t>
      </w:r>
      <w:r w:rsidRPr="00387DFD">
        <w:rPr>
          <w:rFonts w:ascii="Arial" w:hAnsi="Arial" w:cs="Arial"/>
          <w:sz w:val="20"/>
          <w:szCs w:val="20"/>
        </w:rPr>
        <w:tab/>
        <w:t xml:space="preserve">Grant, A.M. (2003) </w:t>
      </w:r>
      <w:r w:rsidRPr="00387DFD">
        <w:rPr>
          <w:rFonts w:ascii="Arial" w:hAnsi="Arial" w:cs="Arial"/>
          <w:i/>
          <w:iCs/>
          <w:sz w:val="20"/>
          <w:szCs w:val="20"/>
        </w:rPr>
        <w:t>‘The Impact of Life Coaching on Goal Attainment, Metacognition and Mental Health’</w:t>
      </w:r>
      <w:r w:rsidRPr="00387DFD">
        <w:rPr>
          <w:rFonts w:ascii="Arial" w:hAnsi="Arial" w:cs="Arial"/>
          <w:sz w:val="20"/>
          <w:szCs w:val="20"/>
        </w:rPr>
        <w:t>, Social Behavior and Personality, 31(3), pp. 253–263.</w:t>
      </w:r>
    </w:p>
    <w:p w14:paraId="785B1B1E" w14:textId="77777777" w:rsidR="00790C74" w:rsidRPr="00387DFD" w:rsidRDefault="00790C74" w:rsidP="00790C74">
      <w:pPr>
        <w:rPr>
          <w:rFonts w:ascii="Arial" w:hAnsi="Arial" w:cs="Arial"/>
          <w:sz w:val="20"/>
          <w:szCs w:val="20"/>
        </w:rPr>
      </w:pPr>
      <w:r w:rsidRPr="00387DFD">
        <w:rPr>
          <w:rFonts w:ascii="Arial" w:hAnsi="Arial" w:cs="Arial"/>
          <w:sz w:val="20"/>
          <w:szCs w:val="20"/>
        </w:rPr>
        <w:tab/>
        <w:t>5.</w:t>
      </w:r>
      <w:r w:rsidRPr="00387DFD">
        <w:rPr>
          <w:rFonts w:ascii="Arial" w:hAnsi="Arial" w:cs="Arial"/>
          <w:sz w:val="20"/>
          <w:szCs w:val="20"/>
        </w:rPr>
        <w:tab/>
        <w:t xml:space="preserve">Hawkins, P. and Smith, N. (2013) </w:t>
      </w:r>
      <w:r w:rsidRPr="00387DFD">
        <w:rPr>
          <w:rFonts w:ascii="Arial" w:hAnsi="Arial" w:cs="Arial"/>
          <w:i/>
          <w:iCs/>
          <w:sz w:val="20"/>
          <w:szCs w:val="20"/>
        </w:rPr>
        <w:t>Coaching, Mentoring and Organizational Consultancy: Supervision and Development</w:t>
      </w:r>
      <w:r w:rsidRPr="00387DFD">
        <w:rPr>
          <w:rFonts w:ascii="Arial" w:hAnsi="Arial" w:cs="Arial"/>
          <w:sz w:val="20"/>
          <w:szCs w:val="20"/>
        </w:rPr>
        <w:t>. 2nd edn. Maidenhead: McGraw-Hill Education.</w:t>
      </w:r>
    </w:p>
    <w:p w14:paraId="5A2C501F" w14:textId="77777777" w:rsidR="00790C74" w:rsidRPr="00387DFD" w:rsidRDefault="00790C74" w:rsidP="00790C74">
      <w:pPr>
        <w:rPr>
          <w:rFonts w:ascii="Arial" w:hAnsi="Arial" w:cs="Arial"/>
          <w:sz w:val="20"/>
          <w:szCs w:val="20"/>
        </w:rPr>
      </w:pPr>
      <w:r w:rsidRPr="00387DFD">
        <w:rPr>
          <w:rFonts w:ascii="Arial" w:hAnsi="Arial" w:cs="Arial"/>
          <w:sz w:val="20"/>
          <w:szCs w:val="20"/>
        </w:rPr>
        <w:tab/>
        <w:t>6.</w:t>
      </w:r>
      <w:r w:rsidRPr="00387DFD">
        <w:rPr>
          <w:rFonts w:ascii="Arial" w:hAnsi="Arial" w:cs="Arial"/>
          <w:sz w:val="20"/>
          <w:szCs w:val="20"/>
        </w:rPr>
        <w:tab/>
        <w:t xml:space="preserve">Lewin, K. (1951) </w:t>
      </w:r>
      <w:r w:rsidRPr="00387DFD">
        <w:rPr>
          <w:rFonts w:ascii="Arial" w:hAnsi="Arial" w:cs="Arial"/>
          <w:i/>
          <w:iCs/>
          <w:sz w:val="20"/>
          <w:szCs w:val="20"/>
        </w:rPr>
        <w:t>Field Theory in Social Science</w:t>
      </w:r>
      <w:r w:rsidRPr="00387DFD">
        <w:rPr>
          <w:rFonts w:ascii="Arial" w:hAnsi="Arial" w:cs="Arial"/>
          <w:sz w:val="20"/>
          <w:szCs w:val="20"/>
        </w:rPr>
        <w:t>. New York: Harper and Row.</w:t>
      </w:r>
    </w:p>
    <w:p w14:paraId="710AA9C6" w14:textId="77777777" w:rsidR="00790C74" w:rsidRPr="00387DFD" w:rsidRDefault="00790C74" w:rsidP="00790C74">
      <w:pPr>
        <w:rPr>
          <w:rFonts w:ascii="Arial" w:hAnsi="Arial" w:cs="Arial"/>
          <w:sz w:val="20"/>
          <w:szCs w:val="20"/>
        </w:rPr>
      </w:pPr>
      <w:r w:rsidRPr="00387DFD">
        <w:rPr>
          <w:rFonts w:ascii="Arial" w:hAnsi="Arial" w:cs="Arial"/>
          <w:sz w:val="20"/>
          <w:szCs w:val="20"/>
        </w:rPr>
        <w:tab/>
        <w:t>7.</w:t>
      </w:r>
      <w:r w:rsidRPr="00387DFD">
        <w:rPr>
          <w:rFonts w:ascii="Arial" w:hAnsi="Arial" w:cs="Arial"/>
          <w:sz w:val="20"/>
          <w:szCs w:val="20"/>
        </w:rPr>
        <w:tab/>
        <w:t xml:space="preserve">Passmore, J. (2010) </w:t>
      </w:r>
      <w:r w:rsidRPr="00387DFD">
        <w:rPr>
          <w:rFonts w:ascii="Arial" w:hAnsi="Arial" w:cs="Arial"/>
          <w:i/>
          <w:iCs/>
          <w:sz w:val="20"/>
          <w:szCs w:val="20"/>
        </w:rPr>
        <w:t>Excellence in Coaching: The Industry Guide.</w:t>
      </w:r>
      <w:r w:rsidRPr="00387DFD">
        <w:rPr>
          <w:rFonts w:ascii="Arial" w:hAnsi="Arial" w:cs="Arial"/>
          <w:sz w:val="20"/>
          <w:szCs w:val="20"/>
        </w:rPr>
        <w:t xml:space="preserve"> 2nd edn. London: Kogan Page.</w:t>
      </w:r>
    </w:p>
    <w:p w14:paraId="411FFC14" w14:textId="77777777" w:rsidR="00790C74" w:rsidRPr="00387DFD" w:rsidRDefault="00790C74" w:rsidP="00790C74">
      <w:pPr>
        <w:rPr>
          <w:rFonts w:ascii="Arial" w:hAnsi="Arial" w:cs="Arial"/>
          <w:sz w:val="20"/>
          <w:szCs w:val="20"/>
        </w:rPr>
      </w:pPr>
      <w:r w:rsidRPr="00387DFD">
        <w:rPr>
          <w:rFonts w:ascii="Arial" w:hAnsi="Arial" w:cs="Arial"/>
          <w:sz w:val="20"/>
          <w:szCs w:val="20"/>
        </w:rPr>
        <w:tab/>
        <w:t>8.</w:t>
      </w:r>
      <w:r w:rsidRPr="00387DFD">
        <w:rPr>
          <w:rFonts w:ascii="Arial" w:hAnsi="Arial" w:cs="Arial"/>
          <w:sz w:val="20"/>
          <w:szCs w:val="20"/>
        </w:rPr>
        <w:tab/>
        <w:t xml:space="preserve">Parsloe, E. and Leedham, M. (2017) </w:t>
      </w:r>
      <w:r w:rsidRPr="00387DFD">
        <w:rPr>
          <w:rFonts w:ascii="Arial" w:hAnsi="Arial" w:cs="Arial"/>
          <w:i/>
          <w:iCs/>
          <w:sz w:val="20"/>
          <w:szCs w:val="20"/>
        </w:rPr>
        <w:t>Coaching and Mentoring: Practical Techniques for Developing Learning and Performance.</w:t>
      </w:r>
      <w:r w:rsidRPr="00387DFD">
        <w:rPr>
          <w:rFonts w:ascii="Arial" w:hAnsi="Arial" w:cs="Arial"/>
          <w:sz w:val="20"/>
          <w:szCs w:val="20"/>
        </w:rPr>
        <w:t xml:space="preserve"> 3rd edn. London: Kogan Page.</w:t>
      </w:r>
    </w:p>
    <w:p w14:paraId="03165B85" w14:textId="77777777" w:rsidR="00790C74" w:rsidRPr="00387DFD" w:rsidRDefault="00790C74" w:rsidP="00790C74">
      <w:pPr>
        <w:rPr>
          <w:rFonts w:ascii="Arial" w:hAnsi="Arial" w:cs="Arial"/>
          <w:sz w:val="20"/>
          <w:szCs w:val="20"/>
        </w:rPr>
      </w:pPr>
      <w:r w:rsidRPr="00387DFD">
        <w:rPr>
          <w:rFonts w:ascii="Arial" w:hAnsi="Arial" w:cs="Arial"/>
          <w:sz w:val="20"/>
          <w:szCs w:val="20"/>
        </w:rPr>
        <w:tab/>
        <w:t>9.</w:t>
      </w:r>
      <w:r w:rsidRPr="00387DFD">
        <w:rPr>
          <w:rFonts w:ascii="Arial" w:hAnsi="Arial" w:cs="Arial"/>
          <w:sz w:val="20"/>
          <w:szCs w:val="20"/>
        </w:rPr>
        <w:tab/>
        <w:t xml:space="preserve">Rogers, J. (2012) </w:t>
      </w:r>
      <w:r w:rsidRPr="00387DFD">
        <w:rPr>
          <w:rFonts w:ascii="Arial" w:hAnsi="Arial" w:cs="Arial"/>
          <w:i/>
          <w:iCs/>
          <w:sz w:val="20"/>
          <w:szCs w:val="20"/>
        </w:rPr>
        <w:t>Coaching Skills: A Handbook.</w:t>
      </w:r>
      <w:r w:rsidRPr="00387DFD">
        <w:rPr>
          <w:rFonts w:ascii="Arial" w:hAnsi="Arial" w:cs="Arial"/>
          <w:sz w:val="20"/>
          <w:szCs w:val="20"/>
        </w:rPr>
        <w:t xml:space="preserve"> 3rd edn. Maidenhead: Open University Press.</w:t>
      </w:r>
    </w:p>
    <w:p w14:paraId="0BC19F0A" w14:textId="77777777" w:rsidR="00790C74" w:rsidRPr="00387DFD" w:rsidRDefault="00790C74" w:rsidP="00790C74">
      <w:pPr>
        <w:rPr>
          <w:rFonts w:ascii="Arial" w:hAnsi="Arial" w:cs="Arial"/>
          <w:sz w:val="20"/>
          <w:szCs w:val="20"/>
        </w:rPr>
      </w:pPr>
      <w:r w:rsidRPr="00387DFD">
        <w:rPr>
          <w:rFonts w:ascii="Arial" w:hAnsi="Arial" w:cs="Arial"/>
          <w:sz w:val="20"/>
          <w:szCs w:val="20"/>
        </w:rPr>
        <w:tab/>
        <w:t>10.</w:t>
      </w:r>
      <w:r w:rsidRPr="00387DFD">
        <w:rPr>
          <w:rFonts w:ascii="Arial" w:hAnsi="Arial" w:cs="Arial"/>
          <w:sz w:val="20"/>
          <w:szCs w:val="20"/>
        </w:rPr>
        <w:tab/>
        <w:t xml:space="preserve">Stober, D.R. and Grant, A.M. (2006) </w:t>
      </w:r>
      <w:r w:rsidRPr="00387DFD">
        <w:rPr>
          <w:rFonts w:ascii="Arial" w:hAnsi="Arial" w:cs="Arial"/>
          <w:i/>
          <w:iCs/>
          <w:sz w:val="20"/>
          <w:szCs w:val="20"/>
        </w:rPr>
        <w:t>Evidence-Based Coaching Handbook: Putting Best Practices to Work for Your Clients</w:t>
      </w:r>
      <w:r w:rsidRPr="00387DFD">
        <w:rPr>
          <w:rFonts w:ascii="Arial" w:hAnsi="Arial" w:cs="Arial"/>
          <w:sz w:val="20"/>
          <w:szCs w:val="20"/>
        </w:rPr>
        <w:t>. Hoboken, NJ: Wiley.</w:t>
      </w:r>
    </w:p>
    <w:p w14:paraId="1DFEEC13" w14:textId="77777777" w:rsidR="00790C74" w:rsidRPr="00387DFD" w:rsidRDefault="00790C74" w:rsidP="00790C74">
      <w:pPr>
        <w:rPr>
          <w:rFonts w:ascii="Arial" w:hAnsi="Arial" w:cs="Arial"/>
          <w:sz w:val="20"/>
          <w:szCs w:val="20"/>
        </w:rPr>
      </w:pPr>
      <w:r w:rsidRPr="00387DFD">
        <w:rPr>
          <w:rFonts w:ascii="Arial" w:hAnsi="Arial" w:cs="Arial"/>
          <w:sz w:val="20"/>
          <w:szCs w:val="20"/>
        </w:rPr>
        <w:tab/>
        <w:t>11.</w:t>
      </w:r>
      <w:r w:rsidRPr="00387DFD">
        <w:rPr>
          <w:rFonts w:ascii="Arial" w:hAnsi="Arial" w:cs="Arial"/>
          <w:sz w:val="20"/>
          <w:szCs w:val="20"/>
        </w:rPr>
        <w:tab/>
        <w:t xml:space="preserve">Starr, J. (2016) </w:t>
      </w:r>
      <w:r w:rsidRPr="00387DFD">
        <w:rPr>
          <w:rFonts w:ascii="Arial" w:hAnsi="Arial" w:cs="Arial"/>
          <w:i/>
          <w:iCs/>
          <w:sz w:val="20"/>
          <w:szCs w:val="20"/>
        </w:rPr>
        <w:t>The Coaching Manual: The Definitive Guide to the Process, Principles and Skills of Personal Coaching.</w:t>
      </w:r>
      <w:r w:rsidRPr="00387DFD">
        <w:rPr>
          <w:rFonts w:ascii="Arial" w:hAnsi="Arial" w:cs="Arial"/>
          <w:sz w:val="20"/>
          <w:szCs w:val="20"/>
        </w:rPr>
        <w:t xml:space="preserve"> 4th edn. London: Pearson.</w:t>
      </w:r>
    </w:p>
    <w:p w14:paraId="57B34A2A" w14:textId="77777777" w:rsidR="00790C74" w:rsidRPr="00387DFD" w:rsidRDefault="00790C74" w:rsidP="00790C74">
      <w:pPr>
        <w:rPr>
          <w:rFonts w:ascii="Arial" w:hAnsi="Arial" w:cs="Arial"/>
          <w:sz w:val="20"/>
          <w:szCs w:val="20"/>
        </w:rPr>
      </w:pPr>
      <w:r w:rsidRPr="00387DFD">
        <w:rPr>
          <w:rFonts w:ascii="Arial" w:hAnsi="Arial" w:cs="Arial"/>
          <w:sz w:val="20"/>
          <w:szCs w:val="20"/>
        </w:rPr>
        <w:tab/>
        <w:t>12.</w:t>
      </w:r>
      <w:r w:rsidRPr="00387DFD">
        <w:rPr>
          <w:rFonts w:ascii="Arial" w:hAnsi="Arial" w:cs="Arial"/>
          <w:sz w:val="20"/>
          <w:szCs w:val="20"/>
        </w:rPr>
        <w:tab/>
        <w:t xml:space="preserve">Thorpe, S. and Clifford, J. (2003) </w:t>
      </w:r>
      <w:r w:rsidRPr="00387DFD">
        <w:rPr>
          <w:rFonts w:ascii="Arial" w:hAnsi="Arial" w:cs="Arial"/>
          <w:i/>
          <w:iCs/>
          <w:sz w:val="20"/>
          <w:szCs w:val="20"/>
        </w:rPr>
        <w:t>The Coaching Handbook: An Action Kit for Trainers and Managers.</w:t>
      </w:r>
      <w:r w:rsidRPr="00387DFD">
        <w:rPr>
          <w:rFonts w:ascii="Arial" w:hAnsi="Arial" w:cs="Arial"/>
          <w:sz w:val="20"/>
          <w:szCs w:val="20"/>
        </w:rPr>
        <w:t xml:space="preserve"> London: Kogan Page.</w:t>
      </w:r>
    </w:p>
    <w:p w14:paraId="143123D6" w14:textId="77777777" w:rsidR="00790C74" w:rsidRPr="00387DFD" w:rsidRDefault="00790C74" w:rsidP="00790C74">
      <w:pPr>
        <w:rPr>
          <w:rFonts w:ascii="Arial" w:hAnsi="Arial" w:cs="Arial"/>
          <w:sz w:val="20"/>
          <w:szCs w:val="20"/>
        </w:rPr>
      </w:pPr>
      <w:r w:rsidRPr="00387DFD">
        <w:rPr>
          <w:rFonts w:ascii="Arial" w:hAnsi="Arial" w:cs="Arial"/>
          <w:sz w:val="20"/>
          <w:szCs w:val="20"/>
        </w:rPr>
        <w:tab/>
        <w:t>13.</w:t>
      </w:r>
      <w:r w:rsidRPr="00387DFD">
        <w:rPr>
          <w:rFonts w:ascii="Arial" w:hAnsi="Arial" w:cs="Arial"/>
          <w:sz w:val="20"/>
          <w:szCs w:val="20"/>
        </w:rPr>
        <w:tab/>
        <w:t xml:space="preserve">Whitmore, J. (2009) </w:t>
      </w:r>
      <w:r w:rsidRPr="00387DFD">
        <w:rPr>
          <w:rFonts w:ascii="Arial" w:hAnsi="Arial" w:cs="Arial"/>
          <w:i/>
          <w:iCs/>
          <w:sz w:val="20"/>
          <w:szCs w:val="20"/>
        </w:rPr>
        <w:t xml:space="preserve">Coaching for Performance: GROWing Human Potential and Purpose. </w:t>
      </w:r>
      <w:r w:rsidRPr="00387DFD">
        <w:rPr>
          <w:rFonts w:ascii="Arial" w:hAnsi="Arial" w:cs="Arial"/>
          <w:sz w:val="20"/>
          <w:szCs w:val="20"/>
        </w:rPr>
        <w:t>4th edn. Boston: Nicholas Brealey.</w:t>
      </w:r>
    </w:p>
    <w:p w14:paraId="3C387A32" w14:textId="77777777" w:rsidR="00790C74" w:rsidRPr="00387DFD" w:rsidRDefault="00790C74" w:rsidP="00790C74">
      <w:pPr>
        <w:rPr>
          <w:rFonts w:ascii="Arial" w:hAnsi="Arial" w:cs="Arial"/>
          <w:sz w:val="20"/>
          <w:szCs w:val="20"/>
        </w:rPr>
      </w:pPr>
      <w:r w:rsidRPr="00387DFD">
        <w:rPr>
          <w:rFonts w:ascii="Arial" w:hAnsi="Arial" w:cs="Arial"/>
          <w:sz w:val="20"/>
          <w:szCs w:val="20"/>
        </w:rPr>
        <w:tab/>
        <w:t>14.</w:t>
      </w:r>
      <w:r w:rsidRPr="00387DFD">
        <w:rPr>
          <w:rFonts w:ascii="Arial" w:hAnsi="Arial" w:cs="Arial"/>
          <w:sz w:val="20"/>
          <w:szCs w:val="20"/>
        </w:rPr>
        <w:tab/>
        <w:t xml:space="preserve">Zeus, P. and Skiffington, S. (2002) </w:t>
      </w:r>
      <w:r w:rsidRPr="00387DFD">
        <w:rPr>
          <w:rFonts w:ascii="Arial" w:hAnsi="Arial" w:cs="Arial"/>
          <w:i/>
          <w:iCs/>
          <w:sz w:val="20"/>
          <w:szCs w:val="20"/>
        </w:rPr>
        <w:t>The Complete Guide to Coaching at Work.</w:t>
      </w:r>
      <w:r w:rsidRPr="00387DFD">
        <w:rPr>
          <w:rFonts w:ascii="Arial" w:hAnsi="Arial" w:cs="Arial"/>
          <w:sz w:val="20"/>
          <w:szCs w:val="20"/>
        </w:rPr>
        <w:t xml:space="preserve"> Sydney: McGraw-Hill.</w:t>
      </w:r>
    </w:p>
    <w:p w14:paraId="4392ADDD" w14:textId="460FA27B" w:rsidR="00F21611" w:rsidRPr="00387DFD" w:rsidRDefault="00790C74" w:rsidP="00790C74">
      <w:pPr>
        <w:rPr>
          <w:rFonts w:ascii="Arial" w:hAnsi="Arial" w:cs="Arial"/>
          <w:sz w:val="20"/>
          <w:szCs w:val="20"/>
        </w:rPr>
      </w:pPr>
      <w:r w:rsidRPr="00387DFD">
        <w:rPr>
          <w:rFonts w:ascii="Arial" w:hAnsi="Arial" w:cs="Arial"/>
          <w:sz w:val="20"/>
          <w:szCs w:val="20"/>
        </w:rPr>
        <w:tab/>
        <w:t>15.</w:t>
      </w:r>
      <w:r w:rsidRPr="00387DFD">
        <w:rPr>
          <w:rFonts w:ascii="Arial" w:hAnsi="Arial" w:cs="Arial"/>
          <w:sz w:val="20"/>
          <w:szCs w:val="20"/>
        </w:rPr>
        <w:tab/>
        <w:t xml:space="preserve">Zenger, J.H. and Stinnett, K. (2010) </w:t>
      </w:r>
      <w:r w:rsidRPr="00387DFD">
        <w:rPr>
          <w:rFonts w:ascii="Arial" w:hAnsi="Arial" w:cs="Arial"/>
          <w:i/>
          <w:iCs/>
          <w:sz w:val="20"/>
          <w:szCs w:val="20"/>
        </w:rPr>
        <w:t>The Extraordinary Coach: How the Best Leaders Help Others Grow.</w:t>
      </w:r>
      <w:r w:rsidRPr="00387DFD">
        <w:rPr>
          <w:rFonts w:ascii="Arial" w:hAnsi="Arial" w:cs="Arial"/>
          <w:sz w:val="20"/>
          <w:szCs w:val="20"/>
        </w:rPr>
        <w:t xml:space="preserve"> New York: McGraw-Hill.</w:t>
      </w:r>
    </w:p>
    <w:p w14:paraId="3AEFEDD9" w14:textId="37475B1B" w:rsidR="00F21611" w:rsidRDefault="00F21611" w:rsidP="00F21611">
      <w:pPr>
        <w:pStyle w:val="Heading2"/>
      </w:pPr>
      <w:bookmarkStart w:id="7" w:name="_Toc182649994"/>
      <w:r>
        <w:t>Appendix</w:t>
      </w:r>
      <w:bookmarkEnd w:id="7"/>
    </w:p>
    <w:p w14:paraId="71262CC3" w14:textId="49217395" w:rsidR="00F21611" w:rsidRDefault="00F74971" w:rsidP="00F21611">
      <w:r w:rsidRPr="00F74971">
        <w:rPr>
          <w:noProof/>
        </w:rPr>
        <w:drawing>
          <wp:inline distT="0" distB="0" distL="0" distR="0" wp14:anchorId="235BEC5A" wp14:editId="72D4395C">
            <wp:extent cx="4593964" cy="3198368"/>
            <wp:effectExtent l="0" t="0" r="0" b="2540"/>
            <wp:docPr id="1693367433"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67433" name="Picture 1">
                      <a:extLst>
                        <a:ext uri="{C183D7F6-B498-43B3-948B-1728B52AA6E4}">
                          <adec:decorative xmlns:adec="http://schemas.microsoft.com/office/drawing/2017/decorative" val="1"/>
                        </a:ext>
                      </a:extLst>
                    </pic:cNvPr>
                    <pic:cNvPicPr/>
                  </pic:nvPicPr>
                  <pic:blipFill>
                    <a:blip r:embed="rId8"/>
                    <a:stretch>
                      <a:fillRect/>
                    </a:stretch>
                  </pic:blipFill>
                  <pic:spPr>
                    <a:xfrm>
                      <a:off x="0" y="0"/>
                      <a:ext cx="4603552" cy="3205043"/>
                    </a:xfrm>
                    <a:prstGeom prst="rect">
                      <a:avLst/>
                    </a:prstGeom>
                  </pic:spPr>
                </pic:pic>
              </a:graphicData>
            </a:graphic>
          </wp:inline>
        </w:drawing>
      </w:r>
    </w:p>
    <w:p w14:paraId="020DD9B9" w14:textId="54A4944B" w:rsidR="00F74971" w:rsidRDefault="0061413D" w:rsidP="00F74971">
      <w:r>
        <w:t>Image</w:t>
      </w:r>
      <w:r w:rsidR="00F74971">
        <w:t>1</w:t>
      </w:r>
    </w:p>
    <w:p w14:paraId="2E94DE6C" w14:textId="77777777" w:rsidR="00F74971" w:rsidRDefault="00F74971" w:rsidP="00F74971"/>
    <w:p w14:paraId="5D78A314" w14:textId="38099431" w:rsidR="00F74971" w:rsidRDefault="000734A4" w:rsidP="00F74971">
      <w:r w:rsidRPr="000734A4">
        <w:rPr>
          <w:noProof/>
        </w:rPr>
        <w:drawing>
          <wp:inline distT="0" distB="0" distL="0" distR="0" wp14:anchorId="6286FB8F" wp14:editId="6A7DD21F">
            <wp:extent cx="4992111" cy="3527552"/>
            <wp:effectExtent l="0" t="0" r="0" b="0"/>
            <wp:docPr id="315788806"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88806" name="Picture 1">
                      <a:extLst>
                        <a:ext uri="{C183D7F6-B498-43B3-948B-1728B52AA6E4}">
                          <adec:decorative xmlns:adec="http://schemas.microsoft.com/office/drawing/2017/decorative" val="1"/>
                        </a:ext>
                      </a:extLst>
                    </pic:cNvPr>
                    <pic:cNvPicPr/>
                  </pic:nvPicPr>
                  <pic:blipFill>
                    <a:blip r:embed="rId9"/>
                    <a:stretch>
                      <a:fillRect/>
                    </a:stretch>
                  </pic:blipFill>
                  <pic:spPr>
                    <a:xfrm>
                      <a:off x="0" y="0"/>
                      <a:ext cx="5001844" cy="3534429"/>
                    </a:xfrm>
                    <a:prstGeom prst="rect">
                      <a:avLst/>
                    </a:prstGeom>
                  </pic:spPr>
                </pic:pic>
              </a:graphicData>
            </a:graphic>
          </wp:inline>
        </w:drawing>
      </w:r>
    </w:p>
    <w:p w14:paraId="0ADC8A99" w14:textId="3A524080" w:rsidR="000734A4" w:rsidRPr="00F21611" w:rsidRDefault="0061413D" w:rsidP="00F74971">
      <w:r>
        <w:t>Image 2</w:t>
      </w:r>
    </w:p>
    <w:sectPr w:rsidR="000734A4" w:rsidRPr="00F216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B48"/>
    <w:rsid w:val="00066968"/>
    <w:rsid w:val="000734A4"/>
    <w:rsid w:val="000E13B8"/>
    <w:rsid w:val="0010239A"/>
    <w:rsid w:val="0013261B"/>
    <w:rsid w:val="00164991"/>
    <w:rsid w:val="00164DB0"/>
    <w:rsid w:val="00172951"/>
    <w:rsid w:val="001D45BD"/>
    <w:rsid w:val="001D6219"/>
    <w:rsid w:val="00227AEC"/>
    <w:rsid w:val="002F1A7F"/>
    <w:rsid w:val="00324470"/>
    <w:rsid w:val="00387DFD"/>
    <w:rsid w:val="003A5393"/>
    <w:rsid w:val="004174DA"/>
    <w:rsid w:val="004325FC"/>
    <w:rsid w:val="004E6C31"/>
    <w:rsid w:val="00515422"/>
    <w:rsid w:val="00520588"/>
    <w:rsid w:val="00555B00"/>
    <w:rsid w:val="005E408F"/>
    <w:rsid w:val="0061413D"/>
    <w:rsid w:val="0062213F"/>
    <w:rsid w:val="006B3B48"/>
    <w:rsid w:val="007766D3"/>
    <w:rsid w:val="00790C74"/>
    <w:rsid w:val="007923CA"/>
    <w:rsid w:val="00814E94"/>
    <w:rsid w:val="00857DA1"/>
    <w:rsid w:val="008D2E3A"/>
    <w:rsid w:val="00926A6F"/>
    <w:rsid w:val="0095500A"/>
    <w:rsid w:val="00994765"/>
    <w:rsid w:val="009C572B"/>
    <w:rsid w:val="009D1BF7"/>
    <w:rsid w:val="009F43AE"/>
    <w:rsid w:val="00A546E6"/>
    <w:rsid w:val="00A70E41"/>
    <w:rsid w:val="00B167C9"/>
    <w:rsid w:val="00B910B2"/>
    <w:rsid w:val="00BB65C8"/>
    <w:rsid w:val="00C26C6B"/>
    <w:rsid w:val="00C33850"/>
    <w:rsid w:val="00C34A19"/>
    <w:rsid w:val="00C45605"/>
    <w:rsid w:val="00C97691"/>
    <w:rsid w:val="00D066B1"/>
    <w:rsid w:val="00D258BE"/>
    <w:rsid w:val="00ED7001"/>
    <w:rsid w:val="00EE60FB"/>
    <w:rsid w:val="00F21611"/>
    <w:rsid w:val="00F230C1"/>
    <w:rsid w:val="00F74971"/>
    <w:rsid w:val="00FB45E9"/>
    <w:rsid w:val="00FF4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C498E"/>
  <w15:chartTrackingRefBased/>
  <w15:docId w15:val="{558D90F8-4513-40C8-95FC-7856986ED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B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3B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3B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B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B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B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B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B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B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B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3B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3B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B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B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B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B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B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B48"/>
    <w:rPr>
      <w:rFonts w:eastAsiaTheme="majorEastAsia" w:cstheme="majorBidi"/>
      <w:color w:val="272727" w:themeColor="text1" w:themeTint="D8"/>
    </w:rPr>
  </w:style>
  <w:style w:type="paragraph" w:styleId="Title">
    <w:name w:val="Title"/>
    <w:basedOn w:val="Normal"/>
    <w:next w:val="Normal"/>
    <w:link w:val="TitleChar"/>
    <w:uiPriority w:val="10"/>
    <w:qFormat/>
    <w:rsid w:val="006B3B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B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B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B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B48"/>
    <w:pPr>
      <w:spacing w:before="160"/>
      <w:jc w:val="center"/>
    </w:pPr>
    <w:rPr>
      <w:i/>
      <w:iCs/>
      <w:color w:val="404040" w:themeColor="text1" w:themeTint="BF"/>
    </w:rPr>
  </w:style>
  <w:style w:type="character" w:customStyle="1" w:styleId="QuoteChar">
    <w:name w:val="Quote Char"/>
    <w:basedOn w:val="DefaultParagraphFont"/>
    <w:link w:val="Quote"/>
    <w:uiPriority w:val="29"/>
    <w:rsid w:val="006B3B48"/>
    <w:rPr>
      <w:i/>
      <w:iCs/>
      <w:color w:val="404040" w:themeColor="text1" w:themeTint="BF"/>
    </w:rPr>
  </w:style>
  <w:style w:type="paragraph" w:styleId="ListParagraph">
    <w:name w:val="List Paragraph"/>
    <w:basedOn w:val="Normal"/>
    <w:uiPriority w:val="34"/>
    <w:qFormat/>
    <w:rsid w:val="006B3B48"/>
    <w:pPr>
      <w:ind w:left="720"/>
      <w:contextualSpacing/>
    </w:pPr>
  </w:style>
  <w:style w:type="character" w:styleId="IntenseEmphasis">
    <w:name w:val="Intense Emphasis"/>
    <w:basedOn w:val="DefaultParagraphFont"/>
    <w:uiPriority w:val="21"/>
    <w:qFormat/>
    <w:rsid w:val="006B3B48"/>
    <w:rPr>
      <w:i/>
      <w:iCs/>
      <w:color w:val="0F4761" w:themeColor="accent1" w:themeShade="BF"/>
    </w:rPr>
  </w:style>
  <w:style w:type="paragraph" w:styleId="IntenseQuote">
    <w:name w:val="Intense Quote"/>
    <w:basedOn w:val="Normal"/>
    <w:next w:val="Normal"/>
    <w:link w:val="IntenseQuoteChar"/>
    <w:uiPriority w:val="30"/>
    <w:qFormat/>
    <w:rsid w:val="006B3B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B48"/>
    <w:rPr>
      <w:i/>
      <w:iCs/>
      <w:color w:val="0F4761" w:themeColor="accent1" w:themeShade="BF"/>
    </w:rPr>
  </w:style>
  <w:style w:type="character" w:styleId="IntenseReference">
    <w:name w:val="Intense Reference"/>
    <w:basedOn w:val="DefaultParagraphFont"/>
    <w:uiPriority w:val="32"/>
    <w:qFormat/>
    <w:rsid w:val="006B3B48"/>
    <w:rPr>
      <w:b/>
      <w:bCs/>
      <w:smallCaps/>
      <w:color w:val="0F4761" w:themeColor="accent1" w:themeShade="BF"/>
      <w:spacing w:val="5"/>
    </w:rPr>
  </w:style>
  <w:style w:type="paragraph" w:styleId="NoSpacing">
    <w:name w:val="No Spacing"/>
    <w:link w:val="NoSpacingChar"/>
    <w:uiPriority w:val="1"/>
    <w:qFormat/>
    <w:rsid w:val="003A539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A539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C26C6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26C6B"/>
    <w:pPr>
      <w:spacing w:after="100"/>
      <w:ind w:left="240"/>
    </w:pPr>
  </w:style>
  <w:style w:type="character" w:styleId="Hyperlink">
    <w:name w:val="Hyperlink"/>
    <w:basedOn w:val="DefaultParagraphFont"/>
    <w:uiPriority w:val="99"/>
    <w:unhideWhenUsed/>
    <w:rsid w:val="00C26C6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4812835">
      <w:bodyDiv w:val="1"/>
      <w:marLeft w:val="0"/>
      <w:marRight w:val="0"/>
      <w:marTop w:val="0"/>
      <w:marBottom w:val="0"/>
      <w:divBdr>
        <w:top w:val="none" w:sz="0" w:space="0" w:color="auto"/>
        <w:left w:val="none" w:sz="0" w:space="0" w:color="auto"/>
        <w:bottom w:val="none" w:sz="0" w:space="0" w:color="auto"/>
        <w:right w:val="none" w:sz="0" w:space="0" w:color="auto"/>
      </w:divBdr>
      <w:divsChild>
        <w:div w:id="579019342">
          <w:marLeft w:val="0"/>
          <w:marRight w:val="0"/>
          <w:marTop w:val="0"/>
          <w:marBottom w:val="0"/>
          <w:divBdr>
            <w:top w:val="none" w:sz="0" w:space="0" w:color="auto"/>
            <w:left w:val="none" w:sz="0" w:space="0" w:color="auto"/>
            <w:bottom w:val="none" w:sz="0" w:space="0" w:color="auto"/>
            <w:right w:val="none" w:sz="0" w:space="0" w:color="auto"/>
          </w:divBdr>
          <w:divsChild>
            <w:div w:id="874460158">
              <w:marLeft w:val="0"/>
              <w:marRight w:val="0"/>
              <w:marTop w:val="0"/>
              <w:marBottom w:val="0"/>
              <w:divBdr>
                <w:top w:val="none" w:sz="0" w:space="0" w:color="auto"/>
                <w:left w:val="none" w:sz="0" w:space="0" w:color="auto"/>
                <w:bottom w:val="none" w:sz="0" w:space="0" w:color="auto"/>
                <w:right w:val="none" w:sz="0" w:space="0" w:color="auto"/>
              </w:divBdr>
              <w:divsChild>
                <w:div w:id="1968775061">
                  <w:marLeft w:val="0"/>
                  <w:marRight w:val="0"/>
                  <w:marTop w:val="0"/>
                  <w:marBottom w:val="0"/>
                  <w:divBdr>
                    <w:top w:val="none" w:sz="0" w:space="0" w:color="auto"/>
                    <w:left w:val="none" w:sz="0" w:space="0" w:color="auto"/>
                    <w:bottom w:val="none" w:sz="0" w:space="0" w:color="auto"/>
                    <w:right w:val="none" w:sz="0" w:space="0" w:color="auto"/>
                  </w:divBdr>
                  <w:divsChild>
                    <w:div w:id="1075006949">
                      <w:marLeft w:val="0"/>
                      <w:marRight w:val="0"/>
                      <w:marTop w:val="0"/>
                      <w:marBottom w:val="0"/>
                      <w:divBdr>
                        <w:top w:val="none" w:sz="0" w:space="0" w:color="auto"/>
                        <w:left w:val="none" w:sz="0" w:space="0" w:color="auto"/>
                        <w:bottom w:val="none" w:sz="0" w:space="0" w:color="auto"/>
                        <w:right w:val="none" w:sz="0" w:space="0" w:color="auto"/>
                      </w:divBdr>
                      <w:divsChild>
                        <w:div w:id="435448447">
                          <w:marLeft w:val="0"/>
                          <w:marRight w:val="0"/>
                          <w:marTop w:val="0"/>
                          <w:marBottom w:val="0"/>
                          <w:divBdr>
                            <w:top w:val="none" w:sz="0" w:space="0" w:color="auto"/>
                            <w:left w:val="none" w:sz="0" w:space="0" w:color="auto"/>
                            <w:bottom w:val="none" w:sz="0" w:space="0" w:color="auto"/>
                            <w:right w:val="none" w:sz="0" w:space="0" w:color="auto"/>
                          </w:divBdr>
                          <w:divsChild>
                            <w:div w:id="1453669891">
                              <w:marLeft w:val="0"/>
                              <w:marRight w:val="0"/>
                              <w:marTop w:val="0"/>
                              <w:marBottom w:val="0"/>
                              <w:divBdr>
                                <w:top w:val="single" w:sz="24" w:space="0" w:color="auto"/>
                                <w:left w:val="single" w:sz="24" w:space="0" w:color="auto"/>
                                <w:bottom w:val="single" w:sz="24" w:space="0" w:color="auto"/>
                                <w:right w:val="single" w:sz="24" w:space="0" w:color="auto"/>
                              </w:divBdr>
                              <w:divsChild>
                                <w:div w:id="202447906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1042646">
      <w:bodyDiv w:val="1"/>
      <w:marLeft w:val="0"/>
      <w:marRight w:val="0"/>
      <w:marTop w:val="0"/>
      <w:marBottom w:val="0"/>
      <w:divBdr>
        <w:top w:val="none" w:sz="0" w:space="0" w:color="auto"/>
        <w:left w:val="none" w:sz="0" w:space="0" w:color="auto"/>
        <w:bottom w:val="none" w:sz="0" w:space="0" w:color="auto"/>
        <w:right w:val="none" w:sz="0" w:space="0" w:color="auto"/>
      </w:divBdr>
      <w:divsChild>
        <w:div w:id="637809460">
          <w:marLeft w:val="0"/>
          <w:marRight w:val="0"/>
          <w:marTop w:val="0"/>
          <w:marBottom w:val="0"/>
          <w:divBdr>
            <w:top w:val="none" w:sz="0" w:space="0" w:color="auto"/>
            <w:left w:val="none" w:sz="0" w:space="0" w:color="auto"/>
            <w:bottom w:val="none" w:sz="0" w:space="0" w:color="auto"/>
            <w:right w:val="none" w:sz="0" w:space="0" w:color="auto"/>
          </w:divBdr>
          <w:divsChild>
            <w:div w:id="1918974898">
              <w:marLeft w:val="0"/>
              <w:marRight w:val="0"/>
              <w:marTop w:val="0"/>
              <w:marBottom w:val="0"/>
              <w:divBdr>
                <w:top w:val="none" w:sz="0" w:space="0" w:color="auto"/>
                <w:left w:val="none" w:sz="0" w:space="0" w:color="auto"/>
                <w:bottom w:val="none" w:sz="0" w:space="0" w:color="auto"/>
                <w:right w:val="none" w:sz="0" w:space="0" w:color="auto"/>
              </w:divBdr>
              <w:divsChild>
                <w:div w:id="1698121062">
                  <w:marLeft w:val="0"/>
                  <w:marRight w:val="0"/>
                  <w:marTop w:val="0"/>
                  <w:marBottom w:val="0"/>
                  <w:divBdr>
                    <w:top w:val="none" w:sz="0" w:space="0" w:color="auto"/>
                    <w:left w:val="none" w:sz="0" w:space="0" w:color="auto"/>
                    <w:bottom w:val="none" w:sz="0" w:space="0" w:color="auto"/>
                    <w:right w:val="none" w:sz="0" w:space="0" w:color="auto"/>
                  </w:divBdr>
                  <w:divsChild>
                    <w:div w:id="1797260407">
                      <w:marLeft w:val="0"/>
                      <w:marRight w:val="0"/>
                      <w:marTop w:val="0"/>
                      <w:marBottom w:val="0"/>
                      <w:divBdr>
                        <w:top w:val="none" w:sz="0" w:space="0" w:color="auto"/>
                        <w:left w:val="none" w:sz="0" w:space="0" w:color="auto"/>
                        <w:bottom w:val="none" w:sz="0" w:space="0" w:color="auto"/>
                        <w:right w:val="none" w:sz="0" w:space="0" w:color="auto"/>
                      </w:divBdr>
                      <w:divsChild>
                        <w:div w:id="1935362136">
                          <w:marLeft w:val="0"/>
                          <w:marRight w:val="0"/>
                          <w:marTop w:val="0"/>
                          <w:marBottom w:val="0"/>
                          <w:divBdr>
                            <w:top w:val="none" w:sz="0" w:space="0" w:color="auto"/>
                            <w:left w:val="none" w:sz="0" w:space="0" w:color="auto"/>
                            <w:bottom w:val="none" w:sz="0" w:space="0" w:color="auto"/>
                            <w:right w:val="none" w:sz="0" w:space="0" w:color="auto"/>
                          </w:divBdr>
                          <w:divsChild>
                            <w:div w:id="990402075">
                              <w:marLeft w:val="0"/>
                              <w:marRight w:val="0"/>
                              <w:marTop w:val="0"/>
                              <w:marBottom w:val="0"/>
                              <w:divBdr>
                                <w:top w:val="single" w:sz="24" w:space="0" w:color="auto"/>
                                <w:left w:val="single" w:sz="24" w:space="0" w:color="auto"/>
                                <w:bottom w:val="single" w:sz="24" w:space="0" w:color="auto"/>
                                <w:right w:val="single" w:sz="24" w:space="0" w:color="auto"/>
                              </w:divBdr>
                              <w:divsChild>
                                <w:div w:id="43852928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625F6A-D182-476C-96F2-A651B0213A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1</Pages>
  <Words>3156</Words>
  <Characters>17995</Characters>
  <Application>Microsoft Office Word</Application>
  <DocSecurity>4</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51</cp:revision>
  <dcterms:created xsi:type="dcterms:W3CDTF">2024-11-16T14:23:00Z</dcterms:created>
  <dcterms:modified xsi:type="dcterms:W3CDTF">2024-11-16T11:47:00Z</dcterms:modified>
</cp:coreProperties>
</file>