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923406"/>
        <w:docPartObj>
          <w:docPartGallery w:val="Cover Pages"/>
          <w:docPartUnique/>
        </w:docPartObj>
      </w:sdtPr>
      <w:sdtEndPr>
        <w:rPr>
          <w:rFonts w:ascii="Arial" w:eastAsia="Arial" w:hAnsi="Arial" w:cs="Arial"/>
          <w:color w:val="000000" w:themeColor="text1"/>
        </w:rPr>
      </w:sdtEndPr>
      <w:sdtContent>
        <w:p w14:paraId="7B047E5D" w14:textId="0604AC36" w:rsidR="002B642B" w:rsidRDefault="002B642B">
          <w:r>
            <w:rPr>
              <w:noProof/>
            </w:rPr>
            <mc:AlternateContent>
              <mc:Choice Requires="wpg">
                <w:drawing>
                  <wp:anchor distT="0" distB="0" distL="114300" distR="114300" simplePos="0" relativeHeight="251661312" behindDoc="0" locked="0" layoutInCell="1" allowOverlap="1" wp14:anchorId="7670AB32" wp14:editId="5B648F47">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E37B85" w14:textId="5E128D8E" w:rsidR="002B642B" w:rsidRDefault="002B642B">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74066BD7" w14:textId="0381D6D7" w:rsidR="002B642B"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642B">
                                        <w:rPr>
                                          <w:color w:val="0E2841" w:themeColor="text2"/>
                                          <w:spacing w:val="10"/>
                                          <w:sz w:val="28"/>
                                          <w:szCs w:val="28"/>
                                        </w:rPr>
                                        <w:t>BMPL5011</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70AB32"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E37B85" w14:textId="5E128D8E" w:rsidR="002B642B" w:rsidRDefault="002B642B">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74066BD7" w14:textId="0381D6D7" w:rsidR="002B642B"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642B">
                                  <w:rPr>
                                    <w:color w:val="0E2841" w:themeColor="text2"/>
                                    <w:spacing w:val="10"/>
                                    <w:sz w:val="28"/>
                                    <w:szCs w:val="28"/>
                                  </w:rPr>
                                  <w:t>BMPL5011</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BD98936" wp14:editId="23719E1B">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b/>
                                      <w:bCs/>
                                      <w:color w:val="0E2841" w:themeColor="text2"/>
                                      <w:spacing w:val="10"/>
                                      <w:sz w:val="44"/>
                                      <w:szCs w:val="44"/>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8302DDD" w14:textId="6880F85D" w:rsidR="002B642B" w:rsidRPr="002B642B" w:rsidRDefault="00C85697" w:rsidP="002B642B">
                                      <w:pPr>
                                        <w:pStyle w:val="NoSpacing"/>
                                        <w:spacing w:after="240" w:line="216" w:lineRule="auto"/>
                                        <w:jc w:val="center"/>
                                        <w:rPr>
                                          <w:rFonts w:asciiTheme="majorHAnsi" w:hAnsiTheme="majorHAnsi"/>
                                          <w:b/>
                                          <w:bCs/>
                                          <w:color w:val="0E2841" w:themeColor="text2"/>
                                          <w:spacing w:val="10"/>
                                          <w:sz w:val="44"/>
                                          <w:szCs w:val="44"/>
                                        </w:rPr>
                                      </w:pPr>
                                      <w:r>
                                        <w:rPr>
                                          <w:rFonts w:asciiTheme="majorHAnsi" w:hAnsiTheme="majorHAnsi"/>
                                          <w:b/>
                                          <w:bCs/>
                                          <w:color w:val="0E2841" w:themeColor="text2"/>
                                          <w:spacing w:val="10"/>
                                          <w:sz w:val="44"/>
                                          <w:szCs w:val="44"/>
                                        </w:rPr>
                                        <w:t>Evaluate how community policing and community engagement can help to prevent terrorism and support counter-terrorism policing.</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B5C60A2" w14:textId="54EF4C98" w:rsidR="002B642B" w:rsidRDefault="00C85697">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D98936"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b/>
                                <w:bCs/>
                                <w:color w:val="0E2841" w:themeColor="text2"/>
                                <w:spacing w:val="10"/>
                                <w:sz w:val="44"/>
                                <w:szCs w:val="44"/>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8302DDD" w14:textId="6880F85D" w:rsidR="002B642B" w:rsidRPr="002B642B" w:rsidRDefault="00C85697" w:rsidP="002B642B">
                                <w:pPr>
                                  <w:pStyle w:val="NoSpacing"/>
                                  <w:spacing w:after="240" w:line="216" w:lineRule="auto"/>
                                  <w:jc w:val="center"/>
                                  <w:rPr>
                                    <w:rFonts w:asciiTheme="majorHAnsi" w:hAnsiTheme="majorHAnsi"/>
                                    <w:b/>
                                    <w:bCs/>
                                    <w:color w:val="0E2841" w:themeColor="text2"/>
                                    <w:spacing w:val="10"/>
                                    <w:sz w:val="44"/>
                                    <w:szCs w:val="44"/>
                                  </w:rPr>
                                </w:pPr>
                                <w:r>
                                  <w:rPr>
                                    <w:rFonts w:asciiTheme="majorHAnsi" w:hAnsiTheme="majorHAnsi"/>
                                    <w:b/>
                                    <w:bCs/>
                                    <w:color w:val="0E2841" w:themeColor="text2"/>
                                    <w:spacing w:val="10"/>
                                    <w:sz w:val="44"/>
                                    <w:szCs w:val="44"/>
                                  </w:rPr>
                                  <w:t>Evaluate how community policing and community engagement can help to prevent terrorism and support counter-terrorism policing.</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B5C60A2" w14:textId="54EF4C98" w:rsidR="002B642B" w:rsidRDefault="00C85697">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8CB4235" wp14:editId="08B7C146">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8A4381B"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95F1DD5" w14:textId="7E52DAB9" w:rsidR="002B642B" w:rsidRDefault="002B642B">
          <w:pPr>
            <w:rPr>
              <w:rFonts w:ascii="Arial" w:eastAsia="Arial" w:hAnsi="Arial" w:cs="Arial"/>
              <w:color w:val="000000" w:themeColor="text1"/>
            </w:rPr>
          </w:pPr>
          <w:r>
            <w:rPr>
              <w:rFonts w:ascii="Arial" w:eastAsia="Arial" w:hAnsi="Arial" w:cs="Arial"/>
              <w:color w:val="000000" w:themeColor="text1"/>
            </w:rPr>
            <w:br w:type="page"/>
          </w:r>
        </w:p>
      </w:sdtContent>
    </w:sdt>
    <w:p w14:paraId="1CE6E780" w14:textId="77777777" w:rsidR="002403FE" w:rsidRDefault="002B642B" w:rsidP="002403FE">
      <w:pPr>
        <w:pStyle w:val="paragraph"/>
        <w:spacing w:before="0" w:beforeAutospacing="0" w:after="0" w:afterAutospacing="0" w:line="360" w:lineRule="auto"/>
        <w:textAlignment w:val="baseline"/>
        <w:rPr>
          <w:rFonts w:ascii="Segoe UI" w:hAnsi="Segoe UI" w:cs="Segoe UI"/>
          <w:sz w:val="18"/>
          <w:szCs w:val="18"/>
        </w:rPr>
      </w:pPr>
      <w:r>
        <w:lastRenderedPageBreak/>
        <w:tab/>
      </w:r>
      <w:r w:rsidR="002403FE">
        <w:rPr>
          <w:rStyle w:val="normaltextrun"/>
          <w:rFonts w:ascii="Arial" w:eastAsiaTheme="majorEastAsia" w:hAnsi="Arial" w:cs="Arial"/>
        </w:rPr>
        <w:t>Community policing and community engagement are key methods used within societies to try and prevent terrorism and support counter terrorism policing. I will be evaluating how successful the strategies used to deter, detect and prevent terrorism. With terrorist attacks increased levels over the recent years I will be looking at the current steps community policing and community engagement are currently using to attempt to tackle this issue.</w:t>
      </w:r>
      <w:r w:rsidR="002403FE">
        <w:rPr>
          <w:rStyle w:val="eop"/>
          <w:rFonts w:ascii="Arial" w:eastAsiaTheme="majorEastAsia" w:hAnsi="Arial" w:cs="Arial"/>
        </w:rPr>
        <w:t> </w:t>
      </w:r>
    </w:p>
    <w:p w14:paraId="614BD72A" w14:textId="46DFEFE7"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According to Counter Terrorism Policing (2024) community policing can help to prevent terrorism and support counter-terrorism policing by putting in place the Prevent programme. This programme attempts to prevent </w:t>
      </w:r>
      <w:r w:rsidR="00944571">
        <w:rPr>
          <w:rStyle w:val="normaltextrun"/>
          <w:rFonts w:ascii="Arial" w:eastAsiaTheme="majorEastAsia" w:hAnsi="Arial" w:cs="Arial"/>
        </w:rPr>
        <w:t>individual’s</w:t>
      </w:r>
      <w:r>
        <w:rPr>
          <w:rStyle w:val="normaltextrun"/>
          <w:rFonts w:ascii="Arial" w:eastAsiaTheme="majorEastAsia" w:hAnsi="Arial" w:cs="Arial"/>
        </w:rPr>
        <w:t xml:space="preserve"> from becoming terrorists by working closely with local authority partners. This is done by protecting and supporting vulnerable individuals. An advantage to the Prevent Programme is that it enables the police to work closely with other organisations for example, mental health teams, housing, or other education departments. By doing this different community partners can work together to use their different authorities and powers to provide the sufficient support that the individual’s seek such as referring them to the Home Office’s Channel Programme. Therefore, this is an effective method of preventing terrorism. On the other hand, Thomas (2016) argues that there is little educational content within the Prevent programme and issues regarding the public's trust. The programme relies on the confinement and trust of individuals within the communities. Therefore, if communities do not have enough trust within the police and the strategies, they are using this will highlight struggles regarding intelligence and information that may be crucial to the police force.</w:t>
      </w:r>
      <w:r>
        <w:rPr>
          <w:rStyle w:val="eop"/>
          <w:rFonts w:ascii="Arial" w:eastAsiaTheme="majorEastAsia" w:hAnsi="Arial" w:cs="Arial"/>
        </w:rPr>
        <w:t> </w:t>
      </w:r>
    </w:p>
    <w:p w14:paraId="358A52E8" w14:textId="3F179784"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Another way community policing and community engagement can help prevent terrorism and support counter-terrorism policing is CONTEST which is the United Kingdom’s counter-terrorism strategy. It is stated by </w:t>
      </w:r>
      <w:r w:rsidR="00A00EE4">
        <w:rPr>
          <w:rStyle w:val="normaltextrun"/>
          <w:rFonts w:ascii="Arial" w:eastAsiaTheme="majorEastAsia" w:hAnsi="Arial" w:cs="Arial"/>
        </w:rPr>
        <w:t>Home Office</w:t>
      </w:r>
      <w:r>
        <w:rPr>
          <w:rStyle w:val="normaltextrun"/>
          <w:rFonts w:ascii="Arial" w:eastAsiaTheme="majorEastAsia" w:hAnsi="Arial" w:cs="Arial"/>
        </w:rPr>
        <w:t xml:space="preserve"> (2023) that CONTEST is based on the four aspects of prevent, pursue, protect, and prepare. This includes preventing </w:t>
      </w:r>
      <w:r w:rsidR="00944571">
        <w:rPr>
          <w:rStyle w:val="normaltextrun"/>
          <w:rFonts w:ascii="Arial" w:eastAsiaTheme="majorEastAsia" w:hAnsi="Arial" w:cs="Arial"/>
        </w:rPr>
        <w:t>individual’s</w:t>
      </w:r>
      <w:r>
        <w:rPr>
          <w:rStyle w:val="normaltextrun"/>
          <w:rFonts w:ascii="Arial" w:eastAsiaTheme="majorEastAsia" w:hAnsi="Arial" w:cs="Arial"/>
        </w:rPr>
        <w:t xml:space="preserve"> becoming terrorists in the first place by giving them the support they need. It also includes stopping terrorist attacks from happening and attempting to strengthen and protect the terrorism strategy plan. An advantage to the CONTEST strategy and the 4 P’s according to </w:t>
      </w:r>
      <w:proofErr w:type="spellStart"/>
      <w:r>
        <w:rPr>
          <w:rStyle w:val="normaltextrun"/>
          <w:rFonts w:ascii="Arial" w:eastAsiaTheme="majorEastAsia" w:hAnsi="Arial" w:cs="Arial"/>
          <w:color w:val="000000"/>
        </w:rPr>
        <w:t>Gearson</w:t>
      </w:r>
      <w:proofErr w:type="spellEnd"/>
      <w:r>
        <w:rPr>
          <w:rStyle w:val="normaltextrun"/>
          <w:rFonts w:ascii="Arial" w:eastAsiaTheme="majorEastAsia" w:hAnsi="Arial" w:cs="Arial"/>
          <w:color w:val="000000"/>
        </w:rPr>
        <w:t xml:space="preserve"> &amp; Rosemont (2015) is that this strategy reduces the risk of terrorist attacks within the United Kingdom. By placing this strategy, it gives communities the safety and confinement of feeling safe within society. without being harmed. On the other hand, a disadvantage to the CONTEST strategy is that within Prevent it is essential to </w:t>
      </w:r>
      <w:r>
        <w:rPr>
          <w:rStyle w:val="normaltextrun"/>
          <w:rFonts w:ascii="Arial" w:eastAsiaTheme="majorEastAsia" w:hAnsi="Arial" w:cs="Arial"/>
          <w:color w:val="000000"/>
        </w:rPr>
        <w:lastRenderedPageBreak/>
        <w:t>catch it as an early intervention for example schools to reduce terrorists or other violent actions. Therefore, if there is a failure in the early interventions to acknowledge this then it becomes difficult to prevent this at an early stage that makes it worse long term.</w:t>
      </w:r>
      <w:r>
        <w:rPr>
          <w:rStyle w:val="eop"/>
          <w:rFonts w:ascii="Arial" w:eastAsiaTheme="majorEastAsia" w:hAnsi="Arial" w:cs="Arial"/>
          <w:color w:val="000000"/>
        </w:rPr>
        <w:t> </w:t>
      </w:r>
    </w:p>
    <w:p w14:paraId="169B504C" w14:textId="031C3730"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color w:val="000000"/>
        </w:rPr>
        <w:t xml:space="preserve">Briggs (2010) states that since the 7/7 terrorist attack this brought community policing and community engagement to help prevent terrorism and support counter-terrorism policing. After the 7/7 terrorist attack it was highlighted, there was a need for community policing approach that bought the introduction of the Preventing Extremism Together that then further developed into Prevent that comes from </w:t>
      </w:r>
      <w:r w:rsidR="00A00EE4">
        <w:rPr>
          <w:rStyle w:val="normaltextrun"/>
          <w:rFonts w:ascii="Arial" w:eastAsiaTheme="majorEastAsia" w:hAnsi="Arial" w:cs="Arial"/>
          <w:color w:val="000000"/>
        </w:rPr>
        <w:t>Cabinet Office</w:t>
      </w:r>
      <w:r>
        <w:rPr>
          <w:rStyle w:val="normaltextrun"/>
          <w:rFonts w:ascii="Arial" w:eastAsiaTheme="majorEastAsia" w:hAnsi="Arial" w:cs="Arial"/>
          <w:color w:val="000000"/>
        </w:rPr>
        <w:t xml:space="preserve"> (2013) is report into the London terrorist attack July 2005. There has been an increase in resources regarding information and intelligence for any planned terrorist attacks. This is done by using resources such as Action Counters Terrorism where you can report any information, or anything related to a terrorist attack online. This is an advantage for the reason that the counter-terrorism policing work closely with the intelligence from communities to ensure safety for communities. This ensures the prevention and investigation into any terrorist activity. On the other hand, </w:t>
      </w:r>
      <w:proofErr w:type="spellStart"/>
      <w:r>
        <w:rPr>
          <w:rStyle w:val="normaltextrun"/>
          <w:rFonts w:ascii="Arial" w:eastAsiaTheme="majorEastAsia" w:hAnsi="Arial" w:cs="Arial"/>
          <w:color w:val="000000"/>
        </w:rPr>
        <w:t>Henschke</w:t>
      </w:r>
      <w:proofErr w:type="spellEnd"/>
      <w:r>
        <w:rPr>
          <w:rStyle w:val="normaltextrun"/>
          <w:rFonts w:ascii="Arial" w:eastAsiaTheme="majorEastAsia" w:hAnsi="Arial" w:cs="Arial"/>
          <w:color w:val="000000"/>
        </w:rPr>
        <w:t xml:space="preserve"> et al. (2021) highlights the issue of the community’s trust within the police. If the community do not trust the police or feel as though the information is confidential and are ensured, they are able to be kept confidential they are not likely to report any </w:t>
      </w:r>
      <w:r w:rsidR="004C00DF">
        <w:rPr>
          <w:rStyle w:val="normaltextrun"/>
          <w:rFonts w:ascii="Arial" w:eastAsiaTheme="majorEastAsia" w:hAnsi="Arial" w:cs="Arial"/>
          <w:color w:val="000000"/>
        </w:rPr>
        <w:t>information</w:t>
      </w:r>
      <w:r>
        <w:rPr>
          <w:rStyle w:val="normaltextrun"/>
          <w:rFonts w:ascii="Arial" w:eastAsiaTheme="majorEastAsia" w:hAnsi="Arial" w:cs="Arial"/>
          <w:color w:val="000000"/>
        </w:rPr>
        <w:t xml:space="preserve"> or intelligence they are aware of. Therefore, without the reports of information from the community of any terrorist activity they are aware of this brings up the issue of not being able to prevent and detect the </w:t>
      </w:r>
      <w:r w:rsidR="00944571">
        <w:rPr>
          <w:rStyle w:val="normaltextrun"/>
          <w:rFonts w:ascii="Arial" w:eastAsiaTheme="majorEastAsia" w:hAnsi="Arial" w:cs="Arial"/>
          <w:color w:val="000000"/>
        </w:rPr>
        <w:t>terrorist</w:t>
      </w:r>
      <w:r>
        <w:rPr>
          <w:rStyle w:val="normaltextrun"/>
          <w:rFonts w:ascii="Arial" w:eastAsiaTheme="majorEastAsia" w:hAnsi="Arial" w:cs="Arial"/>
          <w:color w:val="000000"/>
        </w:rPr>
        <w:t xml:space="preserve"> </w:t>
      </w:r>
      <w:r w:rsidR="00944571">
        <w:rPr>
          <w:rStyle w:val="normaltextrun"/>
          <w:rFonts w:ascii="Arial" w:eastAsiaTheme="majorEastAsia" w:hAnsi="Arial" w:cs="Arial"/>
          <w:color w:val="000000"/>
        </w:rPr>
        <w:t>activity</w:t>
      </w:r>
      <w:r>
        <w:rPr>
          <w:rStyle w:val="normaltextrun"/>
          <w:rFonts w:ascii="Arial" w:eastAsiaTheme="majorEastAsia" w:hAnsi="Arial" w:cs="Arial"/>
          <w:color w:val="000000"/>
        </w:rPr>
        <w:t xml:space="preserve"> at an early enough stage.</w:t>
      </w:r>
      <w:r>
        <w:rPr>
          <w:rStyle w:val="eop"/>
          <w:rFonts w:ascii="Arial" w:eastAsiaTheme="majorEastAsia" w:hAnsi="Arial" w:cs="Arial"/>
          <w:color w:val="000000"/>
        </w:rPr>
        <w:t> </w:t>
      </w:r>
    </w:p>
    <w:p w14:paraId="5F64280F" w14:textId="77777777"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color w:val="000000"/>
        </w:rPr>
        <w:t xml:space="preserve">According to Cherney (2018) community policing and community engagement approaches have become essential components of police counterterrorism strategies to help prevent terrorism and support counter-terrorism policing. This includes strategies such as initiatives to use collaborative problem solving between individuals in the community and the police to tackle radicalisation. This may include methods such as identifying young individual’s that may be at risk of exposure to terrorist attacks and dealing with this at an early stage. An advantage to this is that police partnering with Muslim communities is a huge benefit to how effective community-based approaches. This is effective for crime control and to collect information and relevant intelligence. This helps promote the relationship between the police and the communities in responding to relevant issues communities have </w:t>
      </w:r>
      <w:r>
        <w:rPr>
          <w:rStyle w:val="normaltextrun"/>
          <w:rFonts w:ascii="Arial" w:eastAsiaTheme="majorEastAsia" w:hAnsi="Arial" w:cs="Arial"/>
          <w:color w:val="000000"/>
        </w:rPr>
        <w:lastRenderedPageBreak/>
        <w:t>concerns about. However, on the other hand it is stated by Hartley (2017) that people have concerns regarding the police role within community-based counterterrorism. The reasoning for this is the individual ‘s within the Muslim communities have concerns when they decide to work with the police, they face the issue of the community turning against them facing their own risk of going against their community. Therefore, they may face consequences from betraying their communities by building relationships and trusting the police with certain and intelligence with the police.</w:t>
      </w:r>
      <w:r>
        <w:rPr>
          <w:rStyle w:val="eop"/>
          <w:rFonts w:ascii="Arial" w:eastAsiaTheme="majorEastAsia" w:hAnsi="Arial" w:cs="Arial"/>
          <w:color w:val="000000"/>
        </w:rPr>
        <w:t> </w:t>
      </w:r>
    </w:p>
    <w:p w14:paraId="2061A6FC" w14:textId="77777777"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Another way community policing and community engagement can help prevent terrorism and support counter-terrorism policing is Counter Violent Extremist programmes. Thomas (2012) states that the use of Counter Violent Extremist programmes is effective for engaging with individuals at risk of turning violent extremism before it is too late. Therefore, they partner with the counter-terrorism policing to identify individuals who may be associated with terrorist groups and offer and seek support to prevent terrorist groups and new recruits of these groups. The advantage to this is that Counter Violent Extremist programmes take initiatives to tackle certain conditions by the government and civil society organizations partnering up with the police dealing with victims of terrorist in the immediate aftermath of a terrorist attack.</w:t>
      </w:r>
      <w:r>
        <w:rPr>
          <w:rStyle w:val="eop"/>
          <w:rFonts w:ascii="Arial" w:eastAsiaTheme="majorEastAsia" w:hAnsi="Arial" w:cs="Arial"/>
        </w:rPr>
        <w:t> </w:t>
      </w:r>
    </w:p>
    <w:p w14:paraId="5D4FDBB9" w14:textId="2215AFDA" w:rsidR="002403FE" w:rsidRDefault="002403FE" w:rsidP="002403FE">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To conclude the strategies put in place such as the CONTEST strategy, Prevent strategy and Counter Violent Extremist programmes are effective strategies that er being put in place. These strategies are being put in place by community policing and community engagement to prevent terrorism and support-counter terrorism policing. The strategies being put in place are strategies that have implications and issues that are being improved.</w:t>
      </w:r>
      <w:r>
        <w:rPr>
          <w:rStyle w:val="eop"/>
          <w:rFonts w:ascii="Arial" w:eastAsiaTheme="majorEastAsia" w:hAnsi="Arial" w:cs="Arial"/>
        </w:rPr>
        <w:t> </w:t>
      </w:r>
    </w:p>
    <w:p w14:paraId="45A0C384" w14:textId="5BAD41AA" w:rsidR="002403FE" w:rsidRDefault="002403FE" w:rsidP="002403FE">
      <w:pPr>
        <w:spacing w:line="360" w:lineRule="auto"/>
        <w:rPr>
          <w:rFonts w:ascii="Arial" w:hAnsi="Arial" w:cs="Arial"/>
          <w:noProof/>
        </w:rPr>
      </w:pPr>
    </w:p>
    <w:p w14:paraId="2350159F" w14:textId="16DE89EE" w:rsidR="002403FE" w:rsidRPr="00422673" w:rsidRDefault="002403FE" w:rsidP="002403FE">
      <w:pPr>
        <w:spacing w:line="360" w:lineRule="auto"/>
        <w:rPr>
          <w:rFonts w:ascii="Arial" w:hAnsi="Arial" w:cs="Arial"/>
          <w:noProof/>
        </w:rPr>
      </w:pPr>
      <w:r>
        <w:rPr>
          <w:rFonts w:ascii="Arial" w:hAnsi="Arial" w:cs="Arial"/>
          <w:noProof/>
        </w:rPr>
        <w:t>Word count=1088</w:t>
      </w:r>
    </w:p>
    <w:p w14:paraId="08B9BCDC" w14:textId="77777777" w:rsidR="00FB05D2" w:rsidRDefault="00FB05D2" w:rsidP="001F0E6B">
      <w:pPr>
        <w:spacing w:line="360" w:lineRule="auto"/>
      </w:pPr>
    </w:p>
    <w:p w14:paraId="23FC7CF1" w14:textId="77777777" w:rsidR="00422673" w:rsidRDefault="00422673" w:rsidP="001F0E6B">
      <w:pPr>
        <w:spacing w:line="360" w:lineRule="auto"/>
      </w:pPr>
    </w:p>
    <w:p w14:paraId="681A8165" w14:textId="77777777" w:rsidR="00422673" w:rsidRDefault="00422673" w:rsidP="001F0E6B">
      <w:pPr>
        <w:spacing w:line="360" w:lineRule="auto"/>
      </w:pPr>
    </w:p>
    <w:p w14:paraId="29A31DDD" w14:textId="77777777" w:rsidR="00422673" w:rsidRDefault="00422673" w:rsidP="001F0E6B">
      <w:pPr>
        <w:spacing w:line="360" w:lineRule="auto"/>
      </w:pPr>
    </w:p>
    <w:p w14:paraId="0B327B47" w14:textId="202A2041" w:rsidR="00422673" w:rsidRDefault="00944571" w:rsidP="001F0E6B">
      <w:pPr>
        <w:spacing w:line="360" w:lineRule="auto"/>
        <w:rPr>
          <w:b/>
          <w:bCs/>
          <w:u w:val="single"/>
        </w:rPr>
      </w:pPr>
      <w:r>
        <w:rPr>
          <w:b/>
          <w:bCs/>
          <w:u w:val="single"/>
        </w:rPr>
        <w:lastRenderedPageBreak/>
        <w:t>Reference list:</w:t>
      </w:r>
    </w:p>
    <w:bookmarkStart w:id="0" w:name="OLE_LINK1" w:displacedByCustomXml="next"/>
    <w:bookmarkStart w:id="1" w:name="OLE_LINK2" w:displacedByCustomXml="next"/>
    <w:sdt>
      <w:sdtPr>
        <w:rPr>
          <w:rFonts w:asciiTheme="minorHAnsi" w:eastAsiaTheme="minorEastAsia" w:hAnsiTheme="minorHAnsi" w:cstheme="minorBidi"/>
          <w:color w:val="auto"/>
          <w:sz w:val="24"/>
          <w:szCs w:val="24"/>
        </w:rPr>
        <w:id w:val="-1140716109"/>
        <w:docPartObj>
          <w:docPartGallery w:val="Bibliographies"/>
          <w:docPartUnique/>
        </w:docPartObj>
      </w:sdtPr>
      <w:sdtContent>
        <w:p w14:paraId="281EF79A" w14:textId="0A7A2525" w:rsidR="00944571" w:rsidRDefault="00944571">
          <w:pPr>
            <w:pStyle w:val="Heading1"/>
          </w:pPr>
        </w:p>
        <w:p w14:paraId="2FAF63D7" w14:textId="2A621E42" w:rsidR="00944571" w:rsidRDefault="00944571" w:rsidP="00944571">
          <w:pPr>
            <w:pStyle w:val="Bibliography"/>
            <w:rPr>
              <w:noProof/>
            </w:rPr>
          </w:pPr>
          <w:r>
            <w:rPr>
              <w:noProof/>
            </w:rPr>
            <w:t xml:space="preserve">Briggs, R., </w:t>
          </w:r>
          <w:r w:rsidR="00C63E41">
            <w:rPr>
              <w:noProof/>
            </w:rPr>
            <w:t>(</w:t>
          </w:r>
          <w:r>
            <w:rPr>
              <w:noProof/>
            </w:rPr>
            <w:t>2010</w:t>
          </w:r>
          <w:r w:rsidR="00C63E41">
            <w:rPr>
              <w:noProof/>
            </w:rPr>
            <w:t>)</w:t>
          </w:r>
          <w:r>
            <w:rPr>
              <w:noProof/>
            </w:rPr>
            <w:t xml:space="preserve"> Community engagement for counterterrorism: lessons from the United Kingdom. </w:t>
          </w:r>
          <w:r>
            <w:rPr>
              <w:i/>
              <w:iCs/>
              <w:noProof/>
            </w:rPr>
            <w:t xml:space="preserve">International affairs, </w:t>
          </w:r>
          <w:r>
            <w:rPr>
              <w:noProof/>
            </w:rPr>
            <w:t>86(4), pp. 971-981.</w:t>
          </w:r>
        </w:p>
        <w:p w14:paraId="76960E43" w14:textId="2F4B47D0" w:rsidR="00944571" w:rsidRDefault="00944571" w:rsidP="00944571">
          <w:pPr>
            <w:pStyle w:val="Bibliography"/>
            <w:rPr>
              <w:noProof/>
            </w:rPr>
          </w:pPr>
          <w:r>
            <w:rPr>
              <w:noProof/>
            </w:rPr>
            <w:t xml:space="preserve">Cherney, A., </w:t>
          </w:r>
          <w:r w:rsidR="00C63E41">
            <w:rPr>
              <w:noProof/>
            </w:rPr>
            <w:t>(</w:t>
          </w:r>
          <w:r>
            <w:rPr>
              <w:noProof/>
            </w:rPr>
            <w:t>2018</w:t>
          </w:r>
          <w:r w:rsidR="00C63E41">
            <w:rPr>
              <w:noProof/>
            </w:rPr>
            <w:t xml:space="preserve">) </w:t>
          </w:r>
          <w:r>
            <w:rPr>
              <w:noProof/>
            </w:rPr>
            <w:t xml:space="preserve"> Police community engagement and outbreach in a counterterrorism context. </w:t>
          </w:r>
          <w:r>
            <w:rPr>
              <w:i/>
              <w:iCs/>
              <w:noProof/>
            </w:rPr>
            <w:t xml:space="preserve">intelligence and counter terrorism, </w:t>
          </w:r>
          <w:r>
            <w:rPr>
              <w:noProof/>
            </w:rPr>
            <w:t>13(1), pp. 60-79.</w:t>
          </w:r>
        </w:p>
        <w:p w14:paraId="75AE1467" w14:textId="22AF5A18" w:rsidR="00944571" w:rsidRDefault="00944571" w:rsidP="00944571">
          <w:pPr>
            <w:pStyle w:val="Bibliography"/>
            <w:rPr>
              <w:noProof/>
            </w:rPr>
          </w:pPr>
          <w:r>
            <w:rPr>
              <w:noProof/>
            </w:rPr>
            <w:t xml:space="preserve">Counter Terrorism Policing, </w:t>
          </w:r>
          <w:r w:rsidR="00C63E41">
            <w:rPr>
              <w:noProof/>
            </w:rPr>
            <w:t>(</w:t>
          </w:r>
          <w:r>
            <w:rPr>
              <w:noProof/>
            </w:rPr>
            <w:t>2024</w:t>
          </w:r>
          <w:r w:rsidR="00C63E41">
            <w:rPr>
              <w:noProof/>
            </w:rPr>
            <w:t xml:space="preserve">) </w:t>
          </w:r>
          <w:r>
            <w:rPr>
              <w:i/>
              <w:iCs/>
              <w:noProof/>
            </w:rPr>
            <w:t xml:space="preserve">Prevent. </w:t>
          </w:r>
          <w:r>
            <w:rPr>
              <w:noProof/>
            </w:rPr>
            <w:t xml:space="preserve"> </w:t>
          </w:r>
          <w:r>
            <w:rPr>
              <w:noProof/>
            </w:rPr>
            <w:br/>
            <w:t xml:space="preserve">Available at: </w:t>
          </w:r>
          <w:r>
            <w:rPr>
              <w:noProof/>
              <w:u w:val="single"/>
            </w:rPr>
            <w:t>https://www.counterterrorism.police.uk/what-we-do/prevent/</w:t>
          </w:r>
          <w:r>
            <w:rPr>
              <w:noProof/>
            </w:rPr>
            <w:br/>
            <w:t>[Accessed 11 April 2024].</w:t>
          </w:r>
        </w:p>
        <w:p w14:paraId="32519B32" w14:textId="3284E0FA" w:rsidR="00944571" w:rsidRDefault="00944571" w:rsidP="00944571">
          <w:pPr>
            <w:pStyle w:val="Bibliography"/>
            <w:rPr>
              <w:noProof/>
            </w:rPr>
          </w:pPr>
          <w:r>
            <w:rPr>
              <w:noProof/>
            </w:rPr>
            <w:t xml:space="preserve">Gearson, J. &amp; Rosemont, H., </w:t>
          </w:r>
          <w:r w:rsidR="00C63E41">
            <w:rPr>
              <w:noProof/>
            </w:rPr>
            <w:t>(</w:t>
          </w:r>
          <w:r>
            <w:rPr>
              <w:noProof/>
            </w:rPr>
            <w:t>2015</w:t>
          </w:r>
          <w:r w:rsidR="00C63E41">
            <w:rPr>
              <w:noProof/>
            </w:rPr>
            <w:t>)</w:t>
          </w:r>
          <w:r>
            <w:rPr>
              <w:noProof/>
            </w:rPr>
            <w:t xml:space="preserve"> CONTEST as Strategy: Reassessing Britain's Counterterrorism Approach. </w:t>
          </w:r>
          <w:r>
            <w:rPr>
              <w:i/>
              <w:iCs/>
              <w:noProof/>
            </w:rPr>
            <w:t xml:space="preserve">Studies in conflict and terrorism, </w:t>
          </w:r>
          <w:r>
            <w:rPr>
              <w:noProof/>
            </w:rPr>
            <w:t>38(12), pp. 1038-1064.</w:t>
          </w:r>
        </w:p>
        <w:p w14:paraId="7FBB96AA" w14:textId="5B4B6EBF" w:rsidR="00944571" w:rsidRDefault="00C63E41" w:rsidP="00944571">
          <w:pPr>
            <w:pStyle w:val="Bibliography"/>
            <w:rPr>
              <w:noProof/>
            </w:rPr>
          </w:pPr>
          <w:r>
            <w:rPr>
              <w:noProof/>
            </w:rPr>
            <w:t>Cabinet Office</w:t>
          </w:r>
          <w:r w:rsidR="00944571">
            <w:rPr>
              <w:noProof/>
            </w:rPr>
            <w:t xml:space="preserve">, </w:t>
          </w:r>
          <w:r>
            <w:rPr>
              <w:noProof/>
            </w:rPr>
            <w:t>(</w:t>
          </w:r>
          <w:r w:rsidR="00944571">
            <w:rPr>
              <w:noProof/>
            </w:rPr>
            <w:t>2013</w:t>
          </w:r>
          <w:r>
            <w:rPr>
              <w:noProof/>
            </w:rPr>
            <w:t>)</w:t>
          </w:r>
          <w:r w:rsidR="00944571">
            <w:rPr>
              <w:noProof/>
            </w:rPr>
            <w:t xml:space="preserve"> </w:t>
          </w:r>
          <w:r w:rsidR="00944571">
            <w:rPr>
              <w:i/>
              <w:iCs/>
              <w:noProof/>
            </w:rPr>
            <w:t>Report into the London terrorist attacks on 7 July 2005.</w:t>
          </w:r>
          <w:r w:rsidR="00944571">
            <w:rPr>
              <w:noProof/>
            </w:rPr>
            <w:t xml:space="preserve"> </w:t>
          </w:r>
          <w:r w:rsidR="00944571">
            <w:rPr>
              <w:noProof/>
            </w:rPr>
            <w:br/>
            <w:t xml:space="preserve">Available at: </w:t>
          </w:r>
          <w:r w:rsidR="00944571">
            <w:rPr>
              <w:noProof/>
              <w:u w:val="single"/>
            </w:rPr>
            <w:t>https://www.gov.uk/government/publications/report-into-the-london-terrorist-attacks-on-7-july-2005</w:t>
          </w:r>
          <w:r w:rsidR="00944571">
            <w:rPr>
              <w:noProof/>
            </w:rPr>
            <w:br/>
            <w:t>[Accessed 14 April 2024].</w:t>
          </w:r>
        </w:p>
        <w:p w14:paraId="5A8FFF3A" w14:textId="14FF218A" w:rsidR="00944571" w:rsidRDefault="00C63E41" w:rsidP="00944571">
          <w:pPr>
            <w:pStyle w:val="Bibliography"/>
            <w:rPr>
              <w:noProof/>
            </w:rPr>
          </w:pPr>
          <w:r>
            <w:rPr>
              <w:noProof/>
            </w:rPr>
            <w:t>Home Office</w:t>
          </w:r>
          <w:r w:rsidR="00944571">
            <w:rPr>
              <w:noProof/>
            </w:rPr>
            <w:t xml:space="preserve">, </w:t>
          </w:r>
          <w:r>
            <w:rPr>
              <w:noProof/>
            </w:rPr>
            <w:t>(</w:t>
          </w:r>
          <w:r w:rsidR="00944571">
            <w:rPr>
              <w:noProof/>
            </w:rPr>
            <w:t>2023</w:t>
          </w:r>
          <w:r>
            <w:rPr>
              <w:noProof/>
            </w:rPr>
            <w:t>)</w:t>
          </w:r>
          <w:r w:rsidR="00944571">
            <w:rPr>
              <w:noProof/>
            </w:rPr>
            <w:t xml:space="preserve"> </w:t>
          </w:r>
          <w:r w:rsidR="00944571">
            <w:rPr>
              <w:i/>
              <w:iCs/>
              <w:noProof/>
            </w:rPr>
            <w:t>CONTEST.</w:t>
          </w:r>
          <w:r w:rsidR="00944571">
            <w:rPr>
              <w:noProof/>
            </w:rPr>
            <w:br/>
            <w:t xml:space="preserve">Available at: </w:t>
          </w:r>
          <w:r w:rsidR="00944571">
            <w:rPr>
              <w:noProof/>
              <w:u w:val="single"/>
            </w:rPr>
            <w:t>https://assets.publishing.service.gov.uk/media/650b1b8d52e73c000d54dc82/CONTEST_2023_English_updated.pdf</w:t>
          </w:r>
          <w:r w:rsidR="00944571">
            <w:rPr>
              <w:noProof/>
            </w:rPr>
            <w:br/>
            <w:t>[Accessed 12 April 2024].</w:t>
          </w:r>
        </w:p>
        <w:p w14:paraId="613F3D7E" w14:textId="7DD3BF0E" w:rsidR="00944571" w:rsidRDefault="00944571" w:rsidP="00944571">
          <w:pPr>
            <w:pStyle w:val="Bibliography"/>
            <w:rPr>
              <w:noProof/>
            </w:rPr>
          </w:pPr>
          <w:r>
            <w:rPr>
              <w:noProof/>
            </w:rPr>
            <w:t xml:space="preserve">Hartley, J., </w:t>
          </w:r>
          <w:r w:rsidR="00C63E41">
            <w:rPr>
              <w:noProof/>
            </w:rPr>
            <w:t>(</w:t>
          </w:r>
          <w:r>
            <w:rPr>
              <w:noProof/>
            </w:rPr>
            <w:t>2017</w:t>
          </w:r>
          <w:r w:rsidR="00C63E41">
            <w:rPr>
              <w:noProof/>
            </w:rPr>
            <w:t>)</w:t>
          </w:r>
          <w:r>
            <w:rPr>
              <w:noProof/>
            </w:rPr>
            <w:t xml:space="preserve"> Community engagement to tackle terrorism and violent extremism: challenges, tensions and pitfalls. </w:t>
          </w:r>
          <w:r>
            <w:rPr>
              <w:i/>
              <w:iCs/>
              <w:noProof/>
            </w:rPr>
            <w:t xml:space="preserve">Policing &amp; society, </w:t>
          </w:r>
          <w:r>
            <w:rPr>
              <w:noProof/>
            </w:rPr>
            <w:t>27(2), pp. 750-763.</w:t>
          </w:r>
        </w:p>
        <w:p w14:paraId="5226FA6A" w14:textId="23E2F695" w:rsidR="00944571" w:rsidRDefault="00944571" w:rsidP="00944571">
          <w:pPr>
            <w:pStyle w:val="Bibliography"/>
            <w:rPr>
              <w:noProof/>
            </w:rPr>
          </w:pPr>
          <w:r>
            <w:rPr>
              <w:noProof/>
            </w:rPr>
            <w:t xml:space="preserve">Henschke, A., Reed, A. &amp; Robbins, S., </w:t>
          </w:r>
          <w:r w:rsidR="00C63E41">
            <w:rPr>
              <w:noProof/>
            </w:rPr>
            <w:t>(</w:t>
          </w:r>
          <w:r>
            <w:rPr>
              <w:noProof/>
            </w:rPr>
            <w:t>2021</w:t>
          </w:r>
          <w:r w:rsidR="00C63E41">
            <w:rPr>
              <w:noProof/>
            </w:rPr>
            <w:t>)</w:t>
          </w:r>
          <w:r>
            <w:rPr>
              <w:noProof/>
            </w:rPr>
            <w:t xml:space="preserve"> </w:t>
          </w:r>
          <w:r>
            <w:rPr>
              <w:i/>
              <w:iCs/>
              <w:noProof/>
            </w:rPr>
            <w:t xml:space="preserve">Counter-Terrorism, Ethics and Technology : Emerging Challenges at the Frontiers of Counter-Terrorism.. </w:t>
          </w:r>
          <w:r>
            <w:rPr>
              <w:noProof/>
            </w:rPr>
            <w:t>1st Edition ed. London: Springer Nature.</w:t>
          </w:r>
        </w:p>
        <w:p w14:paraId="3C61A713" w14:textId="54BD952F" w:rsidR="00944571" w:rsidRDefault="00944571" w:rsidP="00944571">
          <w:pPr>
            <w:pStyle w:val="Bibliography"/>
            <w:rPr>
              <w:noProof/>
            </w:rPr>
          </w:pPr>
          <w:r>
            <w:rPr>
              <w:noProof/>
            </w:rPr>
            <w:t xml:space="preserve">Thomas, P., </w:t>
          </w:r>
          <w:r w:rsidR="00C63E41">
            <w:rPr>
              <w:noProof/>
            </w:rPr>
            <w:t>(</w:t>
          </w:r>
          <w:r>
            <w:rPr>
              <w:noProof/>
            </w:rPr>
            <w:t>2012</w:t>
          </w:r>
          <w:r w:rsidR="00C63E41">
            <w:rPr>
              <w:noProof/>
            </w:rPr>
            <w:t>)</w:t>
          </w:r>
          <w:r>
            <w:rPr>
              <w:noProof/>
            </w:rPr>
            <w:t xml:space="preserve"> </w:t>
          </w:r>
          <w:r>
            <w:rPr>
              <w:i/>
              <w:iCs/>
              <w:noProof/>
            </w:rPr>
            <w:t xml:space="preserve">Responding to the threat of violent extremism failing to prevent. </w:t>
          </w:r>
          <w:r>
            <w:rPr>
              <w:noProof/>
            </w:rPr>
            <w:t>1st Edition ed. London: Bloomsbury Academic.</w:t>
          </w:r>
        </w:p>
        <w:p w14:paraId="275FFCE1" w14:textId="3825F39A" w:rsidR="007E7AD4" w:rsidRPr="00944571" w:rsidRDefault="00944571" w:rsidP="00944571">
          <w:pPr>
            <w:pStyle w:val="Bibliography"/>
            <w:rPr>
              <w:noProof/>
            </w:rPr>
          </w:pPr>
          <w:r>
            <w:rPr>
              <w:noProof/>
            </w:rPr>
            <w:t xml:space="preserve">Thomas, P., </w:t>
          </w:r>
          <w:r w:rsidR="00C63E41">
            <w:rPr>
              <w:noProof/>
            </w:rPr>
            <w:t>(</w:t>
          </w:r>
          <w:r>
            <w:rPr>
              <w:noProof/>
            </w:rPr>
            <w:t>2016</w:t>
          </w:r>
          <w:r w:rsidR="00C63E41">
            <w:rPr>
              <w:noProof/>
            </w:rPr>
            <w:t>)</w:t>
          </w:r>
          <w:r>
            <w:rPr>
              <w:noProof/>
            </w:rPr>
            <w:t xml:space="preserve"> Youth, terrorism and education: Britain's prevent programme. </w:t>
          </w:r>
          <w:r>
            <w:rPr>
              <w:i/>
              <w:iCs/>
              <w:noProof/>
            </w:rPr>
            <w:t xml:space="preserve">International journal of lifelong education, </w:t>
          </w:r>
          <w:r>
            <w:rPr>
              <w:noProof/>
            </w:rPr>
            <w:t>35(2), pp. 171-187.</w:t>
          </w:r>
        </w:p>
      </w:sdtContent>
    </w:sdt>
    <w:bookmarkEnd w:id="1"/>
    <w:bookmarkEnd w:id="0"/>
    <w:p w14:paraId="2E503BB5" w14:textId="77777777" w:rsidR="007E7AD4" w:rsidRDefault="007E7AD4" w:rsidP="001F0E6B">
      <w:pPr>
        <w:spacing w:line="360" w:lineRule="auto"/>
        <w:rPr>
          <w:rFonts w:ascii="Helvetica Neue" w:hAnsi="Helvetica Neue"/>
          <w:color w:val="333333"/>
          <w:sz w:val="21"/>
          <w:szCs w:val="21"/>
          <w:shd w:val="clear" w:color="auto" w:fill="FFFFFF"/>
        </w:rPr>
      </w:pPr>
    </w:p>
    <w:p w14:paraId="0523C148" w14:textId="77777777" w:rsidR="007E7AD4" w:rsidRDefault="007E7AD4" w:rsidP="001F0E6B">
      <w:pPr>
        <w:spacing w:line="360" w:lineRule="auto"/>
        <w:rPr>
          <w:rFonts w:ascii="Helvetica Neue" w:hAnsi="Helvetica Neue"/>
          <w:color w:val="333333"/>
          <w:sz w:val="21"/>
          <w:szCs w:val="21"/>
          <w:shd w:val="clear" w:color="auto" w:fill="FFFFFF"/>
        </w:rPr>
      </w:pPr>
    </w:p>
    <w:p w14:paraId="4715A891" w14:textId="1C3001A6" w:rsidR="00177A3C" w:rsidRPr="002B642B" w:rsidRDefault="00177A3C" w:rsidP="002B642B">
      <w:pPr>
        <w:spacing w:line="360" w:lineRule="auto"/>
        <w:rPr>
          <w:rFonts w:ascii="Arial" w:hAnsi="Arial" w:cs="Arial"/>
        </w:rPr>
      </w:pPr>
    </w:p>
    <w:sectPr w:rsidR="00177A3C" w:rsidRPr="002B642B" w:rsidSect="00912258">
      <w:footerReference w:type="even" r:id="rId8"/>
      <w:footerReference w:type="default" r:id="rId9"/>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EDD04" w14:textId="77777777" w:rsidR="00912258" w:rsidRDefault="00912258" w:rsidP="002B642B">
      <w:pPr>
        <w:spacing w:after="0" w:line="240" w:lineRule="auto"/>
      </w:pPr>
      <w:r>
        <w:separator/>
      </w:r>
    </w:p>
  </w:endnote>
  <w:endnote w:type="continuationSeparator" w:id="0">
    <w:p w14:paraId="19F44718" w14:textId="77777777" w:rsidR="00912258" w:rsidRDefault="00912258" w:rsidP="002B6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1740408"/>
      <w:docPartObj>
        <w:docPartGallery w:val="Page Numbers (Bottom of Page)"/>
        <w:docPartUnique/>
      </w:docPartObj>
    </w:sdtPr>
    <w:sdtContent>
      <w:p w14:paraId="2B0F362C" w14:textId="237F351E" w:rsidR="00C85697" w:rsidRDefault="00C85697" w:rsidP="00C930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74FCB3" w14:textId="77777777" w:rsidR="00C85697" w:rsidRDefault="00C85697" w:rsidP="00C856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2421157"/>
      <w:docPartObj>
        <w:docPartGallery w:val="Page Numbers (Bottom of Page)"/>
        <w:docPartUnique/>
      </w:docPartObj>
    </w:sdtPr>
    <w:sdtContent>
      <w:p w14:paraId="74ED5474" w14:textId="25601B75" w:rsidR="00C85697" w:rsidRDefault="00C85697" w:rsidP="00C930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228DE85" w14:textId="77777777" w:rsidR="00C85697" w:rsidRDefault="00C85697" w:rsidP="00C856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34070" w14:textId="77777777" w:rsidR="00912258" w:rsidRDefault="00912258" w:rsidP="002B642B">
      <w:pPr>
        <w:spacing w:after="0" w:line="240" w:lineRule="auto"/>
      </w:pPr>
      <w:r>
        <w:separator/>
      </w:r>
    </w:p>
  </w:footnote>
  <w:footnote w:type="continuationSeparator" w:id="0">
    <w:p w14:paraId="7A033E90" w14:textId="77777777" w:rsidR="00912258" w:rsidRDefault="00912258" w:rsidP="002B64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B427F"/>
    <w:multiLevelType w:val="hybridMultilevel"/>
    <w:tmpl w:val="BBE495C2"/>
    <w:lvl w:ilvl="0" w:tplc="CA104A56">
      <w:start w:val="1"/>
      <w:numFmt w:val="bullet"/>
      <w:lvlText w:val=""/>
      <w:lvlJc w:val="left"/>
      <w:pPr>
        <w:ind w:left="720" w:hanging="360"/>
      </w:pPr>
      <w:rPr>
        <w:rFonts w:ascii="Symbol" w:hAnsi="Symbol" w:hint="default"/>
      </w:rPr>
    </w:lvl>
    <w:lvl w:ilvl="1" w:tplc="4642ADC6">
      <w:start w:val="1"/>
      <w:numFmt w:val="bullet"/>
      <w:lvlText w:val="o"/>
      <w:lvlJc w:val="left"/>
      <w:pPr>
        <w:ind w:left="1440" w:hanging="360"/>
      </w:pPr>
      <w:rPr>
        <w:rFonts w:ascii="Courier New" w:hAnsi="Courier New" w:hint="default"/>
      </w:rPr>
    </w:lvl>
    <w:lvl w:ilvl="2" w:tplc="0D2CC756">
      <w:start w:val="1"/>
      <w:numFmt w:val="bullet"/>
      <w:lvlText w:val=""/>
      <w:lvlJc w:val="left"/>
      <w:pPr>
        <w:ind w:left="2160" w:hanging="360"/>
      </w:pPr>
      <w:rPr>
        <w:rFonts w:ascii="Wingdings" w:hAnsi="Wingdings" w:hint="default"/>
      </w:rPr>
    </w:lvl>
    <w:lvl w:ilvl="3" w:tplc="E50A7720">
      <w:start w:val="1"/>
      <w:numFmt w:val="bullet"/>
      <w:lvlText w:val=""/>
      <w:lvlJc w:val="left"/>
      <w:pPr>
        <w:ind w:left="2880" w:hanging="360"/>
      </w:pPr>
      <w:rPr>
        <w:rFonts w:ascii="Symbol" w:hAnsi="Symbol" w:hint="default"/>
      </w:rPr>
    </w:lvl>
    <w:lvl w:ilvl="4" w:tplc="A992BAFA">
      <w:start w:val="1"/>
      <w:numFmt w:val="bullet"/>
      <w:lvlText w:val="o"/>
      <w:lvlJc w:val="left"/>
      <w:pPr>
        <w:ind w:left="3600" w:hanging="360"/>
      </w:pPr>
      <w:rPr>
        <w:rFonts w:ascii="Courier New" w:hAnsi="Courier New" w:hint="default"/>
      </w:rPr>
    </w:lvl>
    <w:lvl w:ilvl="5" w:tplc="BC28DFC6">
      <w:start w:val="1"/>
      <w:numFmt w:val="bullet"/>
      <w:lvlText w:val=""/>
      <w:lvlJc w:val="left"/>
      <w:pPr>
        <w:ind w:left="4320" w:hanging="360"/>
      </w:pPr>
      <w:rPr>
        <w:rFonts w:ascii="Wingdings" w:hAnsi="Wingdings" w:hint="default"/>
      </w:rPr>
    </w:lvl>
    <w:lvl w:ilvl="6" w:tplc="59744922">
      <w:start w:val="1"/>
      <w:numFmt w:val="bullet"/>
      <w:lvlText w:val=""/>
      <w:lvlJc w:val="left"/>
      <w:pPr>
        <w:ind w:left="5040" w:hanging="360"/>
      </w:pPr>
      <w:rPr>
        <w:rFonts w:ascii="Symbol" w:hAnsi="Symbol" w:hint="default"/>
      </w:rPr>
    </w:lvl>
    <w:lvl w:ilvl="7" w:tplc="3468C4F8">
      <w:start w:val="1"/>
      <w:numFmt w:val="bullet"/>
      <w:lvlText w:val="o"/>
      <w:lvlJc w:val="left"/>
      <w:pPr>
        <w:ind w:left="5760" w:hanging="360"/>
      </w:pPr>
      <w:rPr>
        <w:rFonts w:ascii="Courier New" w:hAnsi="Courier New" w:hint="default"/>
      </w:rPr>
    </w:lvl>
    <w:lvl w:ilvl="8" w:tplc="ED4C443E">
      <w:start w:val="1"/>
      <w:numFmt w:val="bullet"/>
      <w:lvlText w:val=""/>
      <w:lvlJc w:val="left"/>
      <w:pPr>
        <w:ind w:left="6480" w:hanging="360"/>
      </w:pPr>
      <w:rPr>
        <w:rFonts w:ascii="Wingdings" w:hAnsi="Wingdings" w:hint="default"/>
      </w:rPr>
    </w:lvl>
  </w:abstractNum>
  <w:num w:numId="1" w16cid:durableId="2028020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9FB328"/>
    <w:rsid w:val="000E607F"/>
    <w:rsid w:val="000E7073"/>
    <w:rsid w:val="000F38D0"/>
    <w:rsid w:val="000F7415"/>
    <w:rsid w:val="00177A3C"/>
    <w:rsid w:val="001F0E6B"/>
    <w:rsid w:val="002403FE"/>
    <w:rsid w:val="00241D2E"/>
    <w:rsid w:val="0026125D"/>
    <w:rsid w:val="002B642B"/>
    <w:rsid w:val="002F3E6E"/>
    <w:rsid w:val="00326239"/>
    <w:rsid w:val="00330EF7"/>
    <w:rsid w:val="003C615A"/>
    <w:rsid w:val="003D0C5F"/>
    <w:rsid w:val="00422673"/>
    <w:rsid w:val="00434D21"/>
    <w:rsid w:val="0048702D"/>
    <w:rsid w:val="004C00DF"/>
    <w:rsid w:val="005001E2"/>
    <w:rsid w:val="00665663"/>
    <w:rsid w:val="006656EA"/>
    <w:rsid w:val="0075163D"/>
    <w:rsid w:val="00781D96"/>
    <w:rsid w:val="007B0A9A"/>
    <w:rsid w:val="007E7AD4"/>
    <w:rsid w:val="007F1D2B"/>
    <w:rsid w:val="008D61B1"/>
    <w:rsid w:val="008F33F8"/>
    <w:rsid w:val="00912258"/>
    <w:rsid w:val="00944571"/>
    <w:rsid w:val="00A00EE4"/>
    <w:rsid w:val="00A465E3"/>
    <w:rsid w:val="00B52A33"/>
    <w:rsid w:val="00C63E41"/>
    <w:rsid w:val="00C665FA"/>
    <w:rsid w:val="00C732CE"/>
    <w:rsid w:val="00C85697"/>
    <w:rsid w:val="00DC43E5"/>
    <w:rsid w:val="00EB37E0"/>
    <w:rsid w:val="00FB05D2"/>
    <w:rsid w:val="499FB328"/>
    <w:rsid w:val="6B2C6E9B"/>
    <w:rsid w:val="72526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FB328"/>
  <w15:chartTrackingRefBased/>
  <w15:docId w15:val="{1EDE1403-4806-40F8-9188-5CDD6120B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2B642B"/>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2B642B"/>
    <w:rPr>
      <w:sz w:val="22"/>
      <w:szCs w:val="22"/>
      <w:lang w:val="en-US" w:eastAsia="zh-CN"/>
    </w:rPr>
  </w:style>
  <w:style w:type="paragraph" w:styleId="Footer">
    <w:name w:val="footer"/>
    <w:basedOn w:val="Normal"/>
    <w:link w:val="FooterChar"/>
    <w:uiPriority w:val="99"/>
    <w:unhideWhenUsed/>
    <w:rsid w:val="002B6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42B"/>
  </w:style>
  <w:style w:type="character" w:styleId="PageNumber">
    <w:name w:val="page number"/>
    <w:basedOn w:val="DefaultParagraphFont"/>
    <w:uiPriority w:val="99"/>
    <w:semiHidden/>
    <w:unhideWhenUsed/>
    <w:rsid w:val="002B642B"/>
  </w:style>
  <w:style w:type="paragraph" w:styleId="NormalWeb">
    <w:name w:val="Normal (Web)"/>
    <w:basedOn w:val="Normal"/>
    <w:uiPriority w:val="99"/>
    <w:unhideWhenUsed/>
    <w:rsid w:val="00177A3C"/>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177A3C"/>
    <w:rPr>
      <w:color w:val="0000FF"/>
      <w:u w:val="single"/>
    </w:rPr>
  </w:style>
  <w:style w:type="character" w:customStyle="1" w:styleId="hgkelc">
    <w:name w:val="hgkelc"/>
    <w:basedOn w:val="DefaultParagraphFont"/>
    <w:rsid w:val="008D61B1"/>
  </w:style>
  <w:style w:type="character" w:customStyle="1" w:styleId="ref-lnk">
    <w:name w:val="ref-lnk"/>
    <w:basedOn w:val="DefaultParagraphFont"/>
    <w:rsid w:val="007E7AD4"/>
  </w:style>
  <w:style w:type="character" w:customStyle="1" w:styleId="off-screen">
    <w:name w:val="off-screen"/>
    <w:basedOn w:val="DefaultParagraphFont"/>
    <w:rsid w:val="007E7AD4"/>
  </w:style>
  <w:style w:type="paragraph" w:customStyle="1" w:styleId="paragraph">
    <w:name w:val="paragraph"/>
    <w:basedOn w:val="Normal"/>
    <w:rsid w:val="002403F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403FE"/>
  </w:style>
  <w:style w:type="character" w:customStyle="1" w:styleId="eop">
    <w:name w:val="eop"/>
    <w:basedOn w:val="DefaultParagraphFont"/>
    <w:rsid w:val="002403FE"/>
  </w:style>
  <w:style w:type="paragraph" w:styleId="Bibliography">
    <w:name w:val="Bibliography"/>
    <w:basedOn w:val="Normal"/>
    <w:next w:val="Normal"/>
    <w:uiPriority w:val="37"/>
    <w:unhideWhenUsed/>
    <w:rsid w:val="00944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6920">
      <w:bodyDiv w:val="1"/>
      <w:marLeft w:val="0"/>
      <w:marRight w:val="0"/>
      <w:marTop w:val="0"/>
      <w:marBottom w:val="0"/>
      <w:divBdr>
        <w:top w:val="none" w:sz="0" w:space="0" w:color="auto"/>
        <w:left w:val="none" w:sz="0" w:space="0" w:color="auto"/>
        <w:bottom w:val="none" w:sz="0" w:space="0" w:color="auto"/>
        <w:right w:val="none" w:sz="0" w:space="0" w:color="auto"/>
      </w:divBdr>
    </w:div>
    <w:div w:id="170146223">
      <w:bodyDiv w:val="1"/>
      <w:marLeft w:val="0"/>
      <w:marRight w:val="0"/>
      <w:marTop w:val="0"/>
      <w:marBottom w:val="0"/>
      <w:divBdr>
        <w:top w:val="none" w:sz="0" w:space="0" w:color="auto"/>
        <w:left w:val="none" w:sz="0" w:space="0" w:color="auto"/>
        <w:bottom w:val="none" w:sz="0" w:space="0" w:color="auto"/>
        <w:right w:val="none" w:sz="0" w:space="0" w:color="auto"/>
      </w:divBdr>
    </w:div>
    <w:div w:id="455684586">
      <w:bodyDiv w:val="1"/>
      <w:marLeft w:val="0"/>
      <w:marRight w:val="0"/>
      <w:marTop w:val="0"/>
      <w:marBottom w:val="0"/>
      <w:divBdr>
        <w:top w:val="none" w:sz="0" w:space="0" w:color="auto"/>
        <w:left w:val="none" w:sz="0" w:space="0" w:color="auto"/>
        <w:bottom w:val="none" w:sz="0" w:space="0" w:color="auto"/>
        <w:right w:val="none" w:sz="0" w:space="0" w:color="auto"/>
      </w:divBdr>
    </w:div>
    <w:div w:id="640620679">
      <w:bodyDiv w:val="1"/>
      <w:marLeft w:val="0"/>
      <w:marRight w:val="0"/>
      <w:marTop w:val="0"/>
      <w:marBottom w:val="0"/>
      <w:divBdr>
        <w:top w:val="none" w:sz="0" w:space="0" w:color="auto"/>
        <w:left w:val="none" w:sz="0" w:space="0" w:color="auto"/>
        <w:bottom w:val="none" w:sz="0" w:space="0" w:color="auto"/>
        <w:right w:val="none" w:sz="0" w:space="0" w:color="auto"/>
      </w:divBdr>
    </w:div>
    <w:div w:id="709109316">
      <w:bodyDiv w:val="1"/>
      <w:marLeft w:val="0"/>
      <w:marRight w:val="0"/>
      <w:marTop w:val="0"/>
      <w:marBottom w:val="0"/>
      <w:divBdr>
        <w:top w:val="none" w:sz="0" w:space="0" w:color="auto"/>
        <w:left w:val="none" w:sz="0" w:space="0" w:color="auto"/>
        <w:bottom w:val="none" w:sz="0" w:space="0" w:color="auto"/>
        <w:right w:val="none" w:sz="0" w:space="0" w:color="auto"/>
      </w:divBdr>
    </w:div>
    <w:div w:id="800807487">
      <w:bodyDiv w:val="1"/>
      <w:marLeft w:val="0"/>
      <w:marRight w:val="0"/>
      <w:marTop w:val="0"/>
      <w:marBottom w:val="0"/>
      <w:divBdr>
        <w:top w:val="none" w:sz="0" w:space="0" w:color="auto"/>
        <w:left w:val="none" w:sz="0" w:space="0" w:color="auto"/>
        <w:bottom w:val="none" w:sz="0" w:space="0" w:color="auto"/>
        <w:right w:val="none" w:sz="0" w:space="0" w:color="auto"/>
      </w:divBdr>
    </w:div>
    <w:div w:id="921641154">
      <w:bodyDiv w:val="1"/>
      <w:marLeft w:val="0"/>
      <w:marRight w:val="0"/>
      <w:marTop w:val="0"/>
      <w:marBottom w:val="0"/>
      <w:divBdr>
        <w:top w:val="none" w:sz="0" w:space="0" w:color="auto"/>
        <w:left w:val="none" w:sz="0" w:space="0" w:color="auto"/>
        <w:bottom w:val="none" w:sz="0" w:space="0" w:color="auto"/>
        <w:right w:val="none" w:sz="0" w:space="0" w:color="auto"/>
      </w:divBdr>
      <w:divsChild>
        <w:div w:id="725833425">
          <w:marLeft w:val="0"/>
          <w:marRight w:val="0"/>
          <w:marTop w:val="0"/>
          <w:marBottom w:val="0"/>
          <w:divBdr>
            <w:top w:val="none" w:sz="0" w:space="0" w:color="auto"/>
            <w:left w:val="none" w:sz="0" w:space="0" w:color="auto"/>
            <w:bottom w:val="none" w:sz="0" w:space="0" w:color="auto"/>
            <w:right w:val="none" w:sz="0" w:space="0" w:color="auto"/>
          </w:divBdr>
          <w:divsChild>
            <w:div w:id="1485010079">
              <w:marLeft w:val="0"/>
              <w:marRight w:val="0"/>
              <w:marTop w:val="0"/>
              <w:marBottom w:val="0"/>
              <w:divBdr>
                <w:top w:val="none" w:sz="0" w:space="0" w:color="auto"/>
                <w:left w:val="none" w:sz="0" w:space="0" w:color="auto"/>
                <w:bottom w:val="none" w:sz="0" w:space="0" w:color="auto"/>
                <w:right w:val="none" w:sz="0" w:space="0" w:color="auto"/>
              </w:divBdr>
              <w:divsChild>
                <w:div w:id="1732313357">
                  <w:marLeft w:val="180"/>
                  <w:marRight w:val="0"/>
                  <w:marTop w:val="180"/>
                  <w:marBottom w:val="180"/>
                  <w:divBdr>
                    <w:top w:val="none" w:sz="0" w:space="0" w:color="auto"/>
                    <w:left w:val="none" w:sz="0" w:space="0" w:color="auto"/>
                    <w:bottom w:val="none" w:sz="0" w:space="0" w:color="auto"/>
                    <w:right w:val="none" w:sz="0" w:space="0" w:color="auto"/>
                  </w:divBdr>
                </w:div>
              </w:divsChild>
            </w:div>
          </w:divsChild>
        </w:div>
        <w:div w:id="1404986286">
          <w:marLeft w:val="0"/>
          <w:marRight w:val="0"/>
          <w:marTop w:val="0"/>
          <w:marBottom w:val="0"/>
          <w:divBdr>
            <w:top w:val="none" w:sz="0" w:space="0" w:color="auto"/>
            <w:left w:val="none" w:sz="0" w:space="0" w:color="auto"/>
            <w:bottom w:val="none" w:sz="0" w:space="0" w:color="auto"/>
            <w:right w:val="none" w:sz="0" w:space="0" w:color="auto"/>
          </w:divBdr>
          <w:divsChild>
            <w:div w:id="1409688951">
              <w:marLeft w:val="0"/>
              <w:marRight w:val="0"/>
              <w:marTop w:val="0"/>
              <w:marBottom w:val="0"/>
              <w:divBdr>
                <w:top w:val="none" w:sz="0" w:space="0" w:color="auto"/>
                <w:left w:val="none" w:sz="0" w:space="0" w:color="auto"/>
                <w:bottom w:val="none" w:sz="0" w:space="0" w:color="auto"/>
                <w:right w:val="none" w:sz="0" w:space="0" w:color="auto"/>
              </w:divBdr>
              <w:divsChild>
                <w:div w:id="90125214">
                  <w:marLeft w:val="0"/>
                  <w:marRight w:val="0"/>
                  <w:marTop w:val="0"/>
                  <w:marBottom w:val="0"/>
                  <w:divBdr>
                    <w:top w:val="none" w:sz="0" w:space="0" w:color="auto"/>
                    <w:left w:val="none" w:sz="0" w:space="0" w:color="auto"/>
                    <w:bottom w:val="none" w:sz="0" w:space="0" w:color="auto"/>
                    <w:right w:val="none" w:sz="0" w:space="0" w:color="auto"/>
                  </w:divBdr>
                  <w:divsChild>
                    <w:div w:id="1124271538">
                      <w:marLeft w:val="0"/>
                      <w:marRight w:val="0"/>
                      <w:marTop w:val="0"/>
                      <w:marBottom w:val="0"/>
                      <w:divBdr>
                        <w:top w:val="none" w:sz="0" w:space="0" w:color="auto"/>
                        <w:left w:val="none" w:sz="0" w:space="0" w:color="auto"/>
                        <w:bottom w:val="none" w:sz="0" w:space="0" w:color="auto"/>
                        <w:right w:val="none" w:sz="0" w:space="0" w:color="auto"/>
                      </w:divBdr>
                      <w:divsChild>
                        <w:div w:id="573005709">
                          <w:marLeft w:val="0"/>
                          <w:marRight w:val="0"/>
                          <w:marTop w:val="0"/>
                          <w:marBottom w:val="0"/>
                          <w:divBdr>
                            <w:top w:val="none" w:sz="0" w:space="0" w:color="auto"/>
                            <w:left w:val="none" w:sz="0" w:space="0" w:color="auto"/>
                            <w:bottom w:val="none" w:sz="0" w:space="0" w:color="auto"/>
                            <w:right w:val="none" w:sz="0" w:space="0" w:color="auto"/>
                          </w:divBdr>
                          <w:divsChild>
                            <w:div w:id="90086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720692">
      <w:bodyDiv w:val="1"/>
      <w:marLeft w:val="0"/>
      <w:marRight w:val="0"/>
      <w:marTop w:val="0"/>
      <w:marBottom w:val="0"/>
      <w:divBdr>
        <w:top w:val="none" w:sz="0" w:space="0" w:color="auto"/>
        <w:left w:val="none" w:sz="0" w:space="0" w:color="auto"/>
        <w:bottom w:val="none" w:sz="0" w:space="0" w:color="auto"/>
        <w:right w:val="none" w:sz="0" w:space="0" w:color="auto"/>
      </w:divBdr>
    </w:div>
    <w:div w:id="1258444559">
      <w:bodyDiv w:val="1"/>
      <w:marLeft w:val="0"/>
      <w:marRight w:val="0"/>
      <w:marTop w:val="0"/>
      <w:marBottom w:val="0"/>
      <w:divBdr>
        <w:top w:val="none" w:sz="0" w:space="0" w:color="auto"/>
        <w:left w:val="none" w:sz="0" w:space="0" w:color="auto"/>
        <w:bottom w:val="none" w:sz="0" w:space="0" w:color="auto"/>
        <w:right w:val="none" w:sz="0" w:space="0" w:color="auto"/>
      </w:divBdr>
    </w:div>
    <w:div w:id="1312640075">
      <w:bodyDiv w:val="1"/>
      <w:marLeft w:val="0"/>
      <w:marRight w:val="0"/>
      <w:marTop w:val="0"/>
      <w:marBottom w:val="0"/>
      <w:divBdr>
        <w:top w:val="none" w:sz="0" w:space="0" w:color="auto"/>
        <w:left w:val="none" w:sz="0" w:space="0" w:color="auto"/>
        <w:bottom w:val="none" w:sz="0" w:space="0" w:color="auto"/>
        <w:right w:val="none" w:sz="0" w:space="0" w:color="auto"/>
      </w:divBdr>
    </w:div>
    <w:div w:id="1372464363">
      <w:bodyDiv w:val="1"/>
      <w:marLeft w:val="0"/>
      <w:marRight w:val="0"/>
      <w:marTop w:val="0"/>
      <w:marBottom w:val="0"/>
      <w:divBdr>
        <w:top w:val="none" w:sz="0" w:space="0" w:color="auto"/>
        <w:left w:val="none" w:sz="0" w:space="0" w:color="auto"/>
        <w:bottom w:val="none" w:sz="0" w:space="0" w:color="auto"/>
        <w:right w:val="none" w:sz="0" w:space="0" w:color="auto"/>
      </w:divBdr>
    </w:div>
    <w:div w:id="1380015259">
      <w:bodyDiv w:val="1"/>
      <w:marLeft w:val="0"/>
      <w:marRight w:val="0"/>
      <w:marTop w:val="0"/>
      <w:marBottom w:val="0"/>
      <w:divBdr>
        <w:top w:val="none" w:sz="0" w:space="0" w:color="auto"/>
        <w:left w:val="none" w:sz="0" w:space="0" w:color="auto"/>
        <w:bottom w:val="none" w:sz="0" w:space="0" w:color="auto"/>
        <w:right w:val="none" w:sz="0" w:space="0" w:color="auto"/>
      </w:divBdr>
    </w:div>
    <w:div w:id="1532955249">
      <w:bodyDiv w:val="1"/>
      <w:marLeft w:val="0"/>
      <w:marRight w:val="0"/>
      <w:marTop w:val="0"/>
      <w:marBottom w:val="0"/>
      <w:divBdr>
        <w:top w:val="none" w:sz="0" w:space="0" w:color="auto"/>
        <w:left w:val="none" w:sz="0" w:space="0" w:color="auto"/>
        <w:bottom w:val="none" w:sz="0" w:space="0" w:color="auto"/>
        <w:right w:val="none" w:sz="0" w:space="0" w:color="auto"/>
      </w:divBdr>
    </w:div>
    <w:div w:id="1883904876">
      <w:bodyDiv w:val="1"/>
      <w:marLeft w:val="0"/>
      <w:marRight w:val="0"/>
      <w:marTop w:val="0"/>
      <w:marBottom w:val="0"/>
      <w:divBdr>
        <w:top w:val="none" w:sz="0" w:space="0" w:color="auto"/>
        <w:left w:val="none" w:sz="0" w:space="0" w:color="auto"/>
        <w:bottom w:val="none" w:sz="0" w:space="0" w:color="auto"/>
        <w:right w:val="none" w:sz="0" w:space="0" w:color="auto"/>
      </w:divBdr>
    </w:div>
    <w:div w:id="1902711854">
      <w:bodyDiv w:val="1"/>
      <w:marLeft w:val="0"/>
      <w:marRight w:val="0"/>
      <w:marTop w:val="0"/>
      <w:marBottom w:val="0"/>
      <w:divBdr>
        <w:top w:val="none" w:sz="0" w:space="0" w:color="auto"/>
        <w:left w:val="none" w:sz="0" w:space="0" w:color="auto"/>
        <w:bottom w:val="none" w:sz="0" w:space="0" w:color="auto"/>
        <w:right w:val="none" w:sz="0" w:space="0" w:color="auto"/>
      </w:divBdr>
    </w:div>
    <w:div w:id="1905526711">
      <w:bodyDiv w:val="1"/>
      <w:marLeft w:val="0"/>
      <w:marRight w:val="0"/>
      <w:marTop w:val="0"/>
      <w:marBottom w:val="0"/>
      <w:divBdr>
        <w:top w:val="none" w:sz="0" w:space="0" w:color="auto"/>
        <w:left w:val="none" w:sz="0" w:space="0" w:color="auto"/>
        <w:bottom w:val="none" w:sz="0" w:space="0" w:color="auto"/>
        <w:right w:val="none" w:sz="0" w:space="0" w:color="auto"/>
      </w:divBdr>
      <w:divsChild>
        <w:div w:id="132868114">
          <w:marLeft w:val="0"/>
          <w:marRight w:val="0"/>
          <w:marTop w:val="0"/>
          <w:marBottom w:val="0"/>
          <w:divBdr>
            <w:top w:val="none" w:sz="0" w:space="0" w:color="auto"/>
            <w:left w:val="none" w:sz="0" w:space="0" w:color="auto"/>
            <w:bottom w:val="none" w:sz="0" w:space="0" w:color="auto"/>
            <w:right w:val="none" w:sz="0" w:space="0" w:color="auto"/>
          </w:divBdr>
        </w:div>
        <w:div w:id="506135179">
          <w:marLeft w:val="0"/>
          <w:marRight w:val="0"/>
          <w:marTop w:val="0"/>
          <w:marBottom w:val="0"/>
          <w:divBdr>
            <w:top w:val="none" w:sz="0" w:space="0" w:color="auto"/>
            <w:left w:val="none" w:sz="0" w:space="0" w:color="auto"/>
            <w:bottom w:val="none" w:sz="0" w:space="0" w:color="auto"/>
            <w:right w:val="none" w:sz="0" w:space="0" w:color="auto"/>
          </w:divBdr>
        </w:div>
        <w:div w:id="367608963">
          <w:marLeft w:val="0"/>
          <w:marRight w:val="0"/>
          <w:marTop w:val="0"/>
          <w:marBottom w:val="0"/>
          <w:divBdr>
            <w:top w:val="none" w:sz="0" w:space="0" w:color="auto"/>
            <w:left w:val="none" w:sz="0" w:space="0" w:color="auto"/>
            <w:bottom w:val="none" w:sz="0" w:space="0" w:color="auto"/>
            <w:right w:val="none" w:sz="0" w:space="0" w:color="auto"/>
          </w:divBdr>
        </w:div>
        <w:div w:id="47917790">
          <w:marLeft w:val="0"/>
          <w:marRight w:val="0"/>
          <w:marTop w:val="0"/>
          <w:marBottom w:val="0"/>
          <w:divBdr>
            <w:top w:val="none" w:sz="0" w:space="0" w:color="auto"/>
            <w:left w:val="none" w:sz="0" w:space="0" w:color="auto"/>
            <w:bottom w:val="none" w:sz="0" w:space="0" w:color="auto"/>
            <w:right w:val="none" w:sz="0" w:space="0" w:color="auto"/>
          </w:divBdr>
        </w:div>
        <w:div w:id="633023914">
          <w:marLeft w:val="0"/>
          <w:marRight w:val="0"/>
          <w:marTop w:val="0"/>
          <w:marBottom w:val="0"/>
          <w:divBdr>
            <w:top w:val="none" w:sz="0" w:space="0" w:color="auto"/>
            <w:left w:val="none" w:sz="0" w:space="0" w:color="auto"/>
            <w:bottom w:val="none" w:sz="0" w:space="0" w:color="auto"/>
            <w:right w:val="none" w:sz="0" w:space="0" w:color="auto"/>
          </w:divBdr>
        </w:div>
        <w:div w:id="1829515300">
          <w:marLeft w:val="0"/>
          <w:marRight w:val="0"/>
          <w:marTop w:val="0"/>
          <w:marBottom w:val="0"/>
          <w:divBdr>
            <w:top w:val="none" w:sz="0" w:space="0" w:color="auto"/>
            <w:left w:val="none" w:sz="0" w:space="0" w:color="auto"/>
            <w:bottom w:val="none" w:sz="0" w:space="0" w:color="auto"/>
            <w:right w:val="none" w:sz="0" w:space="0" w:color="auto"/>
          </w:divBdr>
        </w:div>
        <w:div w:id="1662076192">
          <w:marLeft w:val="0"/>
          <w:marRight w:val="0"/>
          <w:marTop w:val="0"/>
          <w:marBottom w:val="0"/>
          <w:divBdr>
            <w:top w:val="none" w:sz="0" w:space="0" w:color="auto"/>
            <w:left w:val="none" w:sz="0" w:space="0" w:color="auto"/>
            <w:bottom w:val="none" w:sz="0" w:space="0" w:color="auto"/>
            <w:right w:val="none" w:sz="0" w:space="0" w:color="auto"/>
          </w:divBdr>
        </w:div>
      </w:divsChild>
    </w:div>
    <w:div w:id="1919944661">
      <w:bodyDiv w:val="1"/>
      <w:marLeft w:val="0"/>
      <w:marRight w:val="0"/>
      <w:marTop w:val="0"/>
      <w:marBottom w:val="0"/>
      <w:divBdr>
        <w:top w:val="none" w:sz="0" w:space="0" w:color="auto"/>
        <w:left w:val="none" w:sz="0" w:space="0" w:color="auto"/>
        <w:bottom w:val="none" w:sz="0" w:space="0" w:color="auto"/>
        <w:right w:val="none" w:sz="0" w:space="0" w:color="auto"/>
      </w:divBdr>
    </w:div>
    <w:div w:id="2001957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Cou24</b:Tag>
    <b:SourceType>InternetSite</b:SourceType>
    <b:Guid>{CEDC8730-9672-3F49-AFB5-92562439F3E9}</b:Guid>
    <b:Title>Prevent</b:Title>
    <b:Year>2024</b:Year>
    <b:Author>
      <b:Author>
        <b:Corporate>Counter Terrorism Policing</b:Corporate>
      </b:Author>
    </b:Author>
    <b:URL>https://www.counterterrorism.police.uk/what-we-do/prevent/</b:URL>
    <b:YearAccessed>2024</b:YearAccessed>
    <b:MonthAccessed>April</b:MonthAccessed>
    <b:DayAccessed>11</b:DayAccessed>
    <b:RefOrder>1</b:RefOrder>
  </b:Source>
  <b:Source>
    <b:Tag>Tho16</b:Tag>
    <b:SourceType>JournalArticle</b:SourceType>
    <b:Guid>{5F692000-9606-A74E-BDAE-54CC11E21BF7}</b:Guid>
    <b:Title>Youth, terrorism and education: Britain's prevent programme</b:Title>
    <b:Year>2016</b:Year>
    <b:JournalName>International journal of lifelong education</b:JournalName>
    <b:Volume>35</b:Volume>
    <b:Issue>2</b:Issue>
    <b:Pages>171-187</b:Pages>
    <b:Author>
      <b:Author>
        <b:NameList>
          <b:Person>
            <b:Last>Thomas</b:Last>
            <b:First>Paul</b:First>
          </b:Person>
        </b:NameList>
      </b:Author>
    </b:Author>
    <b:RefOrder>2</b:RefOrder>
  </b:Source>
  <b:Source>
    <b:Tag>Gea151</b:Tag>
    <b:SourceType>JournalArticle</b:SourceType>
    <b:Guid>{AC538D08-9B10-BD45-A70C-10B31C9C5A62}</b:Guid>
    <b:Title>CONTEST as Strategy: Reassessing Britain's Counterterrorism Approach</b:Title>
    <b:JournalName>Studies in conflict and terrorism</b:JournalName>
    <b:Year>2015</b:Year>
    <b:Volume>38</b:Volume>
    <b:Issue>12</b:Issue>
    <b:Pages>1038-1064</b:Pages>
    <b:Author>
      <b:Author>
        <b:NameList>
          <b:Person>
            <b:Last>Gearson</b:Last>
            <b:First>John</b:First>
          </b:Person>
          <b:Person>
            <b:Last>Rosemont</b:Last>
            <b:First>Hugo</b:First>
          </b:Person>
        </b:NameList>
      </b:Author>
    </b:Author>
    <b:RefOrder>3</b:RefOrder>
  </b:Source>
  <b:Source>
    <b:Tag>GOV232</b:Tag>
    <b:SourceType>InternetSite</b:SourceType>
    <b:Guid>{C08DCD2C-2A0D-A647-8110-1421AD669705}</b:Guid>
    <b:Title>CONTEST</b:Title>
    <b:Year>2023</b:Year>
    <b:Author>
      <b:Author>
        <b:Corporate>GOV.UK</b:Corporate>
      </b:Author>
    </b:Author>
    <b:URL>https://assets.publishing.service.gov.uk/media/650b1b8d52e73c000d54dc82/CONTEST_2023_English_updated.pdf</b:URL>
    <b:YearAccessed>2024</b:YearAccessed>
    <b:MonthAccessed>April</b:MonthAccessed>
    <b:DayAccessed>12</b:DayAccessed>
    <b:RefOrder>4</b:RefOrder>
  </b:Source>
  <b:Source>
    <b:Tag>Bri10</b:Tag>
    <b:SourceType>JournalArticle</b:SourceType>
    <b:Guid>{53E7C891-355C-4B4F-B93A-D9A4FE66278B}</b:Guid>
    <b:Title>Community engagement for counterterrorism: lessons from the United Kingdom</b:Title>
    <b:Year>2010</b:Year>
    <b:JournalName>International affairs</b:JournalName>
    <b:Volume>86</b:Volume>
    <b:Issue>4</b:Issue>
    <b:Pages>971-981</b:Pages>
    <b:Author>
      <b:Author>
        <b:NameList>
          <b:Person>
            <b:Last>Briggs</b:Last>
            <b:First>Rachel</b:First>
          </b:Person>
        </b:NameList>
      </b:Author>
    </b:Author>
    <b:RefOrder>5</b:RefOrder>
  </b:Source>
  <b:Source>
    <b:Tag>Hen211</b:Tag>
    <b:SourceType>Book</b:SourceType>
    <b:Guid>{A28058F1-495A-D042-BBBC-227D42D8BEEF}</b:Guid>
    <b:Title>Counter-Terrorism, Ethics and Technology : Emerging Challenges at the Frontiers of Counter-Terrorism.</b:Title>
    <b:Year>2021</b:Year>
    <b:City>London</b:City>
    <b:Publisher>Springer Nature</b:Publisher>
    <b:Edition>1st Edition</b:Edition>
    <b:Author>
      <b:Author>
        <b:NameList>
          <b:Person>
            <b:Last>Henschke</b:Last>
            <b:First>Adam</b:First>
          </b:Person>
          <b:Person>
            <b:Last>Reed</b:Last>
            <b:First>Alstair</b:First>
          </b:Person>
          <b:Person>
            <b:Last>Robbins</b:Last>
            <b:First>Scott</b:First>
          </b:Person>
        </b:NameList>
      </b:Author>
    </b:Author>
    <b:RefOrder>6</b:RefOrder>
  </b:Source>
  <b:Source>
    <b:Tag>Che18</b:Tag>
    <b:SourceType>JournalArticle</b:SourceType>
    <b:Guid>{8D681022-1816-C24C-8B10-E987A45CFE8D}</b:Guid>
    <b:Title>Police community engagement and outbreach in a counterterrorism context</b:Title>
    <b:Year>2018</b:Year>
    <b:JournalName>intelligence and counter terrorism</b:JournalName>
    <b:Volume>13</b:Volume>
    <b:Issue>1</b:Issue>
    <b:Pages>60-79</b:Pages>
    <b:Author>
      <b:Author>
        <b:NameList>
          <b:Person>
            <b:Last>Cherney</b:Last>
            <b:First>Adrian</b:First>
          </b:Person>
        </b:NameList>
      </b:Author>
    </b:Author>
    <b:RefOrder>7</b:RefOrder>
  </b:Source>
  <b:Source>
    <b:Tag>Har17</b:Tag>
    <b:SourceType>JournalArticle</b:SourceType>
    <b:Guid>{9E743950-0E58-A940-8122-B3D1EDB98D97}</b:Guid>
    <b:Title>Community engagement to tackle terrorism and violent extremism: challenges, tensions and pitfalls</b:Title>
    <b:JournalName>Policing &amp; society</b:JournalName>
    <b:Year>2017</b:Year>
    <b:Volume>27</b:Volume>
    <b:Issue>2</b:Issue>
    <b:Pages>750-763</b:Pages>
    <b:Author>
      <b:Author>
        <b:NameList>
          <b:Person>
            <b:Last>Hartley</b:Last>
            <b:First>Jason</b:First>
          </b:Person>
        </b:NameList>
      </b:Author>
    </b:Author>
    <b:RefOrder>8</b:RefOrder>
  </b:Source>
  <b:Source>
    <b:Tag>Tho12</b:Tag>
    <b:SourceType>Book</b:SourceType>
    <b:Guid>{54ABB9AC-8EF1-BD4E-B1AF-C9D120F064A4}</b:Guid>
    <b:Title>Responding to the threat of violent extremism failing to prevent</b:Title>
    <b:Year>2012</b:Year>
    <b:City>London</b:City>
    <b:Publisher>Bloomsbury Academic</b:Publisher>
    <b:Edition>1st Edition</b:Edition>
    <b:Author>
      <b:Author>
        <b:NameList>
          <b:Person>
            <b:Last>Thomas</b:Last>
            <b:First>Paul</b:First>
          </b:Person>
        </b:NameList>
      </b:Author>
    </b:Author>
    <b:RefOrder>9</b:RefOrder>
  </b:Source>
  <b:Source>
    <b:Tag>GOV13</b:Tag>
    <b:SourceType>InternetSite</b:SourceType>
    <b:Guid>{D22F33A3-75D9-C145-8DA8-DE5A98BE2D4D}</b:Guid>
    <b:Author>
      <b:Author>
        <b:Corporate>GOV.UK</b:Corporate>
      </b:Author>
    </b:Author>
    <b:Title>Report into the London terrorist attacks on 7 July 2005</b:Title>
    <b:Year>2013</b:Year>
    <b:URL>https://www.gov.uk/government/publications/report-into-the-london-terrorist-attacks-on-7-july-2005</b:URL>
    <b:YearAccessed>2024</b:YearAccessed>
    <b:MonthAccessed>April</b:MonthAccessed>
    <b:DayAccessed>14</b:DayAccessed>
    <b:RefOrder>10</b:RefOrder>
  </b:Source>
</b:Sources>
</file>

<file path=customXml/itemProps1.xml><?xml version="1.0" encoding="utf-8"?>
<ds:datastoreItem xmlns:ds="http://schemas.openxmlformats.org/officeDocument/2006/customXml" ds:itemID="{6CEF40BA-ED76-2C43-B3B9-4A2AA15AD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5</Pages>
  <Words>1331</Words>
  <Characters>7589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BMPL5011</Company>
  <LinksUpToDate>false</LinksUpToDate>
  <CharactersWithSpaces>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Evaluate how community policing and community engagement can help to prevent terrorism and support counter-terrorism policing.</dc:subject>
  <dc:creator>Cerys Bowen (2203320)</dc:creator>
  <cp:keywords/>
  <dc:description/>
  <cp:lastModifiedBy>Cerys Bowen (2203320)</cp:lastModifiedBy>
  <cp:revision>10</cp:revision>
  <dcterms:created xsi:type="dcterms:W3CDTF">2024-04-12T22:06:00Z</dcterms:created>
  <dcterms:modified xsi:type="dcterms:W3CDTF">2024-04-15T20:17:00Z</dcterms:modified>
</cp:coreProperties>
</file>