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7A7650" w14:textId="2AC10D09" w:rsidR="00842B24" w:rsidRDefault="2C06230B">
      <w:r w:rsidRPr="1740C23A">
        <w:rPr>
          <w:rFonts w:ascii="Arial" w:eastAsia="Arial" w:hAnsi="Arial" w:cs="Arial"/>
          <w:b/>
          <w:bCs/>
          <w:color w:val="000000" w:themeColor="text1"/>
          <w:sz w:val="36"/>
          <w:szCs w:val="36"/>
        </w:rPr>
        <w:t xml:space="preserve">                                  </w:t>
      </w:r>
    </w:p>
    <w:p w14:paraId="2F05B2A9" w14:textId="09C2FF95" w:rsidR="00842B24" w:rsidRDefault="00842B24" w:rsidP="1740C23A">
      <w:pPr>
        <w:rPr>
          <w:rFonts w:ascii="Arial" w:eastAsia="Arial" w:hAnsi="Arial" w:cs="Arial"/>
          <w:b/>
          <w:bCs/>
          <w:color w:val="000000" w:themeColor="text1"/>
          <w:sz w:val="36"/>
          <w:szCs w:val="36"/>
        </w:rPr>
      </w:pPr>
    </w:p>
    <w:p w14:paraId="580AB9B2" w14:textId="6E9445A9" w:rsidR="00842B24" w:rsidRDefault="2C06230B" w:rsidP="1740C23A">
      <w:pPr>
        <w:rPr>
          <w:rFonts w:ascii="Arial" w:eastAsia="Arial" w:hAnsi="Arial" w:cs="Arial"/>
          <w:color w:val="000000" w:themeColor="text1"/>
          <w:sz w:val="36"/>
          <w:szCs w:val="36"/>
        </w:rPr>
      </w:pPr>
      <w:r w:rsidRPr="1740C23A">
        <w:rPr>
          <w:rFonts w:ascii="Arial" w:eastAsia="Arial" w:hAnsi="Arial" w:cs="Arial"/>
          <w:b/>
          <w:bCs/>
          <w:color w:val="000000" w:themeColor="text1"/>
          <w:sz w:val="36"/>
          <w:szCs w:val="36"/>
        </w:rPr>
        <w:t xml:space="preserve">                                   Portfolio</w:t>
      </w:r>
    </w:p>
    <w:p w14:paraId="7102BF40" w14:textId="1643082B" w:rsidR="00842B24" w:rsidRDefault="00842B24" w:rsidP="1740C23A">
      <w:pPr>
        <w:rPr>
          <w:rFonts w:ascii="Arial" w:eastAsia="Arial" w:hAnsi="Arial" w:cs="Arial"/>
          <w:color w:val="000000" w:themeColor="text1"/>
          <w:sz w:val="36"/>
          <w:szCs w:val="36"/>
        </w:rPr>
      </w:pPr>
    </w:p>
    <w:p w14:paraId="4DA80D4B" w14:textId="265DE14F" w:rsidR="00842B24" w:rsidRDefault="00842B24" w:rsidP="1740C23A">
      <w:pPr>
        <w:rPr>
          <w:rFonts w:ascii="Arial" w:eastAsia="Arial" w:hAnsi="Arial" w:cs="Arial"/>
          <w:color w:val="000000" w:themeColor="text1"/>
          <w:sz w:val="36"/>
          <w:szCs w:val="36"/>
        </w:rPr>
      </w:pPr>
    </w:p>
    <w:p w14:paraId="44FD7452" w14:textId="58A14DB1" w:rsidR="00842B24" w:rsidRDefault="2C06230B" w:rsidP="1740C23A">
      <w:pPr>
        <w:rPr>
          <w:rFonts w:ascii="Arial" w:eastAsia="Arial" w:hAnsi="Arial" w:cs="Arial"/>
          <w:color w:val="000000" w:themeColor="text1"/>
          <w:sz w:val="22"/>
          <w:szCs w:val="22"/>
        </w:rPr>
      </w:pPr>
      <w:r w:rsidRPr="1740C23A">
        <w:rPr>
          <w:rFonts w:ascii="Arial" w:eastAsia="Arial" w:hAnsi="Arial" w:cs="Arial"/>
          <w:b/>
          <w:bCs/>
          <w:color w:val="000000" w:themeColor="text1"/>
          <w:sz w:val="22"/>
          <w:szCs w:val="22"/>
        </w:rPr>
        <w:t xml:space="preserve">Name: </w:t>
      </w:r>
      <w:r w:rsidR="5D4D910C" w:rsidRPr="1740C23A">
        <w:rPr>
          <w:rFonts w:ascii="Arial" w:eastAsia="Arial" w:hAnsi="Arial" w:cs="Arial"/>
          <w:color w:val="000000" w:themeColor="text1"/>
          <w:sz w:val="22"/>
          <w:szCs w:val="22"/>
        </w:rPr>
        <w:t>Ibrar Hussain</w:t>
      </w:r>
    </w:p>
    <w:p w14:paraId="11802770" w14:textId="74027A95" w:rsidR="00842B24" w:rsidRDefault="2C06230B" w:rsidP="1740C23A">
      <w:pPr>
        <w:rPr>
          <w:rFonts w:ascii="Arial" w:eastAsia="Arial" w:hAnsi="Arial" w:cs="Arial"/>
          <w:color w:val="000000" w:themeColor="text1"/>
          <w:sz w:val="22"/>
          <w:szCs w:val="22"/>
        </w:rPr>
      </w:pPr>
      <w:r w:rsidRPr="1740C23A">
        <w:rPr>
          <w:rFonts w:ascii="Arial" w:eastAsia="Arial" w:hAnsi="Arial" w:cs="Arial"/>
          <w:b/>
          <w:bCs/>
          <w:color w:val="000000" w:themeColor="text1"/>
          <w:sz w:val="22"/>
          <w:szCs w:val="22"/>
        </w:rPr>
        <w:t>Student ID:</w:t>
      </w:r>
      <w:r w:rsidR="0240F8F0" w:rsidRPr="1740C23A">
        <w:rPr>
          <w:rFonts w:ascii="Arial" w:eastAsia="Arial" w:hAnsi="Arial" w:cs="Arial"/>
          <w:b/>
          <w:bCs/>
          <w:color w:val="000000" w:themeColor="text1"/>
          <w:sz w:val="22"/>
          <w:szCs w:val="22"/>
        </w:rPr>
        <w:t xml:space="preserve"> </w:t>
      </w:r>
      <w:r w:rsidR="581DD770" w:rsidRPr="7F3175DC">
        <w:rPr>
          <w:rFonts w:ascii="Arial" w:eastAsia="Arial" w:hAnsi="Arial" w:cs="Arial"/>
          <w:color w:val="000000" w:themeColor="text1"/>
          <w:sz w:val="22"/>
          <w:szCs w:val="22"/>
        </w:rPr>
        <w:t>2131900</w:t>
      </w:r>
    </w:p>
    <w:p w14:paraId="0CBC8424" w14:textId="10EFE2A9" w:rsidR="00842B24" w:rsidRDefault="2C06230B" w:rsidP="1740C23A">
      <w:pPr>
        <w:rPr>
          <w:rFonts w:ascii="Arial" w:eastAsia="Arial" w:hAnsi="Arial" w:cs="Arial"/>
          <w:color w:val="000000" w:themeColor="text1"/>
          <w:sz w:val="22"/>
          <w:szCs w:val="22"/>
        </w:rPr>
      </w:pPr>
      <w:r w:rsidRPr="1740C23A">
        <w:rPr>
          <w:rFonts w:ascii="Arial" w:eastAsia="Arial" w:hAnsi="Arial" w:cs="Arial"/>
          <w:b/>
          <w:bCs/>
          <w:color w:val="000000" w:themeColor="text1"/>
          <w:sz w:val="22"/>
          <w:szCs w:val="22"/>
        </w:rPr>
        <w:t xml:space="preserve">Programme: </w:t>
      </w:r>
      <w:r w:rsidRPr="1740C23A">
        <w:rPr>
          <w:rFonts w:ascii="Arial" w:eastAsia="Arial" w:hAnsi="Arial" w:cs="Arial"/>
          <w:color w:val="000000" w:themeColor="text1"/>
          <w:sz w:val="22"/>
          <w:szCs w:val="22"/>
        </w:rPr>
        <w:t>BSc Health and Social Care</w:t>
      </w:r>
    </w:p>
    <w:p w14:paraId="7BACC6CC" w14:textId="4C79D009" w:rsidR="00842B24" w:rsidRDefault="2C06230B" w:rsidP="1740C23A">
      <w:pPr>
        <w:rPr>
          <w:rFonts w:ascii="Arial" w:eastAsia="Arial" w:hAnsi="Arial" w:cs="Arial"/>
          <w:color w:val="000000" w:themeColor="text1"/>
          <w:sz w:val="22"/>
          <w:szCs w:val="22"/>
        </w:rPr>
      </w:pPr>
      <w:r w:rsidRPr="1740C23A">
        <w:rPr>
          <w:rFonts w:ascii="Arial" w:eastAsia="Arial" w:hAnsi="Arial" w:cs="Arial"/>
          <w:b/>
          <w:bCs/>
          <w:color w:val="000000" w:themeColor="text1"/>
          <w:sz w:val="22"/>
          <w:szCs w:val="22"/>
        </w:rPr>
        <w:t xml:space="preserve">Module: </w:t>
      </w:r>
      <w:r w:rsidRPr="1740C23A">
        <w:rPr>
          <w:rFonts w:ascii="Arial" w:eastAsia="Arial" w:hAnsi="Arial" w:cs="Arial"/>
          <w:color w:val="000000" w:themeColor="text1"/>
          <w:sz w:val="22"/>
          <w:szCs w:val="22"/>
        </w:rPr>
        <w:t>Changemakers: Creativity and Value Creation</w:t>
      </w:r>
    </w:p>
    <w:p w14:paraId="3A11E41A" w14:textId="7A8B8C4A" w:rsidR="00842B24" w:rsidRDefault="2C06230B" w:rsidP="1740C23A">
      <w:pPr>
        <w:rPr>
          <w:rFonts w:ascii="Arial" w:eastAsia="Arial" w:hAnsi="Arial" w:cs="Arial"/>
          <w:color w:val="000000" w:themeColor="text1"/>
          <w:sz w:val="22"/>
          <w:szCs w:val="22"/>
        </w:rPr>
      </w:pPr>
      <w:r w:rsidRPr="1740C23A">
        <w:rPr>
          <w:rFonts w:ascii="Arial" w:eastAsia="Arial" w:hAnsi="Arial" w:cs="Arial"/>
          <w:b/>
          <w:bCs/>
          <w:color w:val="000000" w:themeColor="text1"/>
          <w:sz w:val="22"/>
          <w:szCs w:val="22"/>
        </w:rPr>
        <w:t xml:space="preserve">Module Code: </w:t>
      </w:r>
      <w:r w:rsidRPr="1740C23A">
        <w:rPr>
          <w:rFonts w:ascii="Arial" w:eastAsia="Arial" w:hAnsi="Arial" w:cs="Arial"/>
          <w:color w:val="000000" w:themeColor="text1"/>
          <w:sz w:val="22"/>
          <w:szCs w:val="22"/>
        </w:rPr>
        <w:t>BMHP5014</w:t>
      </w:r>
    </w:p>
    <w:p w14:paraId="5E5787A5" w14:textId="238EE60F" w:rsidR="00842B24" w:rsidRDefault="00842B24" w:rsidP="1740C23A">
      <w:pPr>
        <w:rPr>
          <w:sz w:val="22"/>
          <w:szCs w:val="22"/>
        </w:rPr>
      </w:pPr>
    </w:p>
    <w:p w14:paraId="1A67C000" w14:textId="3A957B6C" w:rsidR="1740C23A" w:rsidRDefault="1740C23A" w:rsidP="1740C23A">
      <w:pPr>
        <w:rPr>
          <w:sz w:val="22"/>
          <w:szCs w:val="22"/>
        </w:rPr>
      </w:pPr>
    </w:p>
    <w:p w14:paraId="1ECF3718" w14:textId="6EB20ABC" w:rsidR="1740C23A" w:rsidRDefault="1740C23A" w:rsidP="1740C23A">
      <w:pPr>
        <w:rPr>
          <w:sz w:val="22"/>
          <w:szCs w:val="22"/>
        </w:rPr>
      </w:pPr>
    </w:p>
    <w:p w14:paraId="2B7FA7D4" w14:textId="5774BF4C" w:rsidR="0043652B" w:rsidRDefault="0043652B" w:rsidP="1740C23A">
      <w:pPr>
        <w:rPr>
          <w:sz w:val="22"/>
          <w:szCs w:val="22"/>
        </w:rPr>
      </w:pPr>
    </w:p>
    <w:p w14:paraId="40100B72" w14:textId="5ABEF25D" w:rsidR="0043652B" w:rsidRDefault="0043652B" w:rsidP="1740C23A">
      <w:pPr>
        <w:rPr>
          <w:sz w:val="22"/>
          <w:szCs w:val="22"/>
        </w:rPr>
      </w:pPr>
    </w:p>
    <w:p w14:paraId="218C02BE" w14:textId="681744D4" w:rsidR="0043652B" w:rsidRDefault="0043652B" w:rsidP="1740C23A">
      <w:pPr>
        <w:rPr>
          <w:sz w:val="22"/>
          <w:szCs w:val="22"/>
        </w:rPr>
      </w:pPr>
    </w:p>
    <w:p w14:paraId="0F906D34" w14:textId="22D6B0CF" w:rsidR="0043652B" w:rsidRDefault="0043652B" w:rsidP="1740C23A">
      <w:pPr>
        <w:rPr>
          <w:sz w:val="22"/>
          <w:szCs w:val="22"/>
        </w:rPr>
      </w:pPr>
    </w:p>
    <w:p w14:paraId="2E280670" w14:textId="32B02319" w:rsidR="0043652B" w:rsidRDefault="0043652B" w:rsidP="1740C23A">
      <w:pPr>
        <w:rPr>
          <w:sz w:val="22"/>
          <w:szCs w:val="22"/>
        </w:rPr>
      </w:pPr>
    </w:p>
    <w:p w14:paraId="19A22470" w14:textId="546E32B9" w:rsidR="0043652B" w:rsidRDefault="0043652B" w:rsidP="1740C23A">
      <w:pPr>
        <w:rPr>
          <w:sz w:val="22"/>
          <w:szCs w:val="22"/>
        </w:rPr>
      </w:pPr>
    </w:p>
    <w:p w14:paraId="4181A6D5" w14:textId="03AB64CD" w:rsidR="0043652B" w:rsidRDefault="0043652B" w:rsidP="1740C23A">
      <w:pPr>
        <w:rPr>
          <w:sz w:val="22"/>
          <w:szCs w:val="22"/>
        </w:rPr>
      </w:pPr>
    </w:p>
    <w:p w14:paraId="5E23E664" w14:textId="3EC8804E" w:rsidR="0043652B" w:rsidRDefault="0043652B" w:rsidP="1740C23A">
      <w:pPr>
        <w:rPr>
          <w:sz w:val="22"/>
          <w:szCs w:val="22"/>
        </w:rPr>
      </w:pPr>
    </w:p>
    <w:p w14:paraId="06E9F563" w14:textId="20CD7CE1" w:rsidR="0043652B" w:rsidRDefault="0043652B" w:rsidP="1740C23A">
      <w:pPr>
        <w:rPr>
          <w:sz w:val="22"/>
          <w:szCs w:val="22"/>
        </w:rPr>
      </w:pPr>
    </w:p>
    <w:p w14:paraId="74C70961" w14:textId="11F30A07" w:rsidR="0043652B" w:rsidRDefault="0043652B" w:rsidP="1740C23A">
      <w:pPr>
        <w:rPr>
          <w:sz w:val="22"/>
          <w:szCs w:val="22"/>
        </w:rPr>
      </w:pPr>
    </w:p>
    <w:p w14:paraId="1182275A" w14:textId="0A261D98" w:rsidR="0043652B" w:rsidRDefault="0043652B" w:rsidP="1740C23A">
      <w:pPr>
        <w:rPr>
          <w:sz w:val="22"/>
          <w:szCs w:val="22"/>
        </w:rPr>
      </w:pPr>
    </w:p>
    <w:p w14:paraId="3022577F" w14:textId="1DF50499" w:rsidR="0043652B" w:rsidRDefault="0043652B" w:rsidP="1740C23A">
      <w:pPr>
        <w:rPr>
          <w:sz w:val="22"/>
          <w:szCs w:val="22"/>
        </w:rPr>
      </w:pPr>
    </w:p>
    <w:p w14:paraId="24FC9DA6" w14:textId="0245B9B3" w:rsidR="0043652B" w:rsidRDefault="0043652B" w:rsidP="1740C23A">
      <w:pPr>
        <w:rPr>
          <w:sz w:val="22"/>
          <w:szCs w:val="22"/>
        </w:rPr>
      </w:pPr>
    </w:p>
    <w:p w14:paraId="32734ED6" w14:textId="5282948F" w:rsidR="0043652B" w:rsidRDefault="0043652B" w:rsidP="1740C23A">
      <w:pPr>
        <w:rPr>
          <w:sz w:val="22"/>
          <w:szCs w:val="22"/>
        </w:rPr>
      </w:pPr>
    </w:p>
    <w:p w14:paraId="4B61E495" w14:textId="126D89CD" w:rsidR="7F3175DC" w:rsidRDefault="7F3175DC" w:rsidP="7F3175DC">
      <w:pPr>
        <w:rPr>
          <w:sz w:val="22"/>
          <w:szCs w:val="22"/>
        </w:rPr>
      </w:pPr>
    </w:p>
    <w:p w14:paraId="7422024B" w14:textId="0D46D48E" w:rsidR="7F3175DC" w:rsidRDefault="7F3175DC" w:rsidP="7F3175DC">
      <w:pPr>
        <w:rPr>
          <w:sz w:val="22"/>
          <w:szCs w:val="22"/>
        </w:rPr>
      </w:pPr>
    </w:p>
    <w:p w14:paraId="76BEA6D4" w14:textId="68052271" w:rsidR="0043652B" w:rsidRPr="009670A9" w:rsidRDefault="0012733F" w:rsidP="0012733F">
      <w:pPr>
        <w:pStyle w:val="ListParagraph"/>
        <w:numPr>
          <w:ilvl w:val="0"/>
          <w:numId w:val="2"/>
        </w:numPr>
        <w:rPr>
          <w:b/>
          <w:bCs/>
          <w:sz w:val="22"/>
          <w:szCs w:val="22"/>
        </w:rPr>
      </w:pPr>
      <w:r w:rsidRPr="009670A9">
        <w:rPr>
          <w:b/>
          <w:bCs/>
          <w:sz w:val="22"/>
          <w:szCs w:val="22"/>
        </w:rPr>
        <w:lastRenderedPageBreak/>
        <w:t>Concept Map</w:t>
      </w:r>
    </w:p>
    <w:p w14:paraId="2F0B369C" w14:textId="732BE7DB" w:rsidR="0012733F" w:rsidRPr="009670A9" w:rsidRDefault="00F23517" w:rsidP="0012733F">
      <w:pPr>
        <w:rPr>
          <w:b/>
          <w:bCs/>
          <w:sz w:val="22"/>
          <w:szCs w:val="22"/>
        </w:rPr>
      </w:pPr>
      <w:r w:rsidRPr="009670A9">
        <w:rPr>
          <w:b/>
          <w:bCs/>
          <w:sz w:val="22"/>
          <w:szCs w:val="22"/>
        </w:rPr>
        <w:t>Focus on Environmental Culture and Systematic Change (The Press and Product)</w:t>
      </w:r>
    </w:p>
    <w:p w14:paraId="4139C9DA" w14:textId="2D49ACAD" w:rsidR="00F23517" w:rsidRPr="009670A9" w:rsidRDefault="00B3067F" w:rsidP="0012733F">
      <w:pPr>
        <w:rPr>
          <w:sz w:val="22"/>
          <w:szCs w:val="22"/>
        </w:rPr>
      </w:pPr>
      <w:r w:rsidRPr="009670A9">
        <w:rPr>
          <w:noProof/>
          <w:sz w:val="22"/>
          <w:szCs w:val="22"/>
        </w:rPr>
        <mc:AlternateContent>
          <mc:Choice Requires="wps">
            <w:drawing>
              <wp:anchor distT="0" distB="0" distL="114300" distR="114300" simplePos="0" relativeHeight="251658243" behindDoc="0" locked="0" layoutInCell="1" allowOverlap="1" wp14:anchorId="67AB893B" wp14:editId="7C8888CE">
                <wp:simplePos x="0" y="0"/>
                <wp:positionH relativeFrom="column">
                  <wp:posOffset>1493520</wp:posOffset>
                </wp:positionH>
                <wp:positionV relativeFrom="paragraph">
                  <wp:posOffset>217805</wp:posOffset>
                </wp:positionV>
                <wp:extent cx="2731135" cy="375920"/>
                <wp:effectExtent l="0" t="0" r="12065" b="24130"/>
                <wp:wrapNone/>
                <wp:docPr id="111455446" name="Text Box 5">
                  <a:extLst xmlns:a="http://schemas.openxmlformats.org/drawingml/2006/main">
                    <a:ext uri="{FF2B5EF4-FFF2-40B4-BE49-F238E27FC236}">
                      <a16:creationId xmlns:a16="http://schemas.microsoft.com/office/drawing/2014/main" id="{5F405012-D77C-4CA6-86F6-ED6698374AA0}"/>
                    </a:ext>
                  </a:extLst>
                </wp:docPr>
                <wp:cNvGraphicFramePr/>
                <a:graphic xmlns:a="http://schemas.openxmlformats.org/drawingml/2006/main">
                  <a:graphicData uri="http://schemas.microsoft.com/office/word/2010/wordprocessingShape">
                    <wps:wsp>
                      <wps:cNvSpPr txBox="1"/>
                      <wps:spPr>
                        <a:xfrm>
                          <a:off x="0" y="0"/>
                          <a:ext cx="2731135" cy="375920"/>
                        </a:xfrm>
                        <a:prstGeom prst="rect">
                          <a:avLst/>
                        </a:prstGeom>
                        <a:solidFill>
                          <a:schemeClr val="lt1"/>
                        </a:solidFill>
                        <a:ln w="6350">
                          <a:solidFill>
                            <a:prstClr val="black"/>
                          </a:solidFill>
                        </a:ln>
                      </wps:spPr>
                      <wps:txbx>
                        <w:txbxContent>
                          <w:p w14:paraId="7D336CA6" w14:textId="6813C383" w:rsidR="00923175" w:rsidRPr="008E2352" w:rsidRDefault="00837CA1">
                            <w:r w:rsidRPr="008E2352">
                              <w:t>Environmental Press (Cultural)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7AB893B" id="_x0000_t202" coordsize="21600,21600" o:spt="202" path="m,l,21600r21600,l21600,xe">
                <v:stroke joinstyle="miter"/>
                <v:path gradientshapeok="t" o:connecttype="rect"/>
              </v:shapetype>
              <v:shape id="Text Box 5" o:spid="_x0000_s1026" type="#_x0000_t202" style="position:absolute;margin-left:117.6pt;margin-top:17.15pt;width:215.05pt;height:29.6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" fillcolor="white [3201]" strokeweight=".5pt">
                <v:textbox>
                  <w:txbxContent>
                    <w:p w14:paraId="7D336CA6" w14:textId="6813C383" w:rsidR="00923175" w:rsidRPr="008E2352" w:rsidRDefault="00837CA1">
                      <w:r w:rsidRPr="008E2352">
                        <w:t>Environmental Press (Cultural)</w:t>
                      </w:r>
                    </w:p>
                  </w:txbxContent>
                </v:textbox>
              </v:shape>
            </w:pict>
          </mc:Fallback>
        </mc:AlternateContent>
      </w:r>
    </w:p>
    <w:p w14:paraId="145B3E76" w14:textId="32CDFDA0" w:rsidR="00F23517" w:rsidRDefault="00AC737F" w:rsidP="0012733F">
      <w:pPr>
        <w:rPr>
          <w:sz w:val="22"/>
          <w:szCs w:val="22"/>
        </w:rPr>
      </w:pPr>
      <w:r>
        <w:rPr>
          <w:noProof/>
          <w:sz w:val="22"/>
          <w:szCs w:val="22"/>
        </w:rPr>
        <mc:AlternateContent>
          <mc:Choice Requires="wps">
            <w:drawing>
              <wp:anchor distT="0" distB="0" distL="114300" distR="114300" simplePos="0" relativeHeight="251658248" behindDoc="0" locked="0" layoutInCell="1" allowOverlap="1" wp14:anchorId="2387A058" wp14:editId="0A7317BF">
                <wp:simplePos x="0" y="0"/>
                <wp:positionH relativeFrom="column">
                  <wp:posOffset>2660650</wp:posOffset>
                </wp:positionH>
                <wp:positionV relativeFrom="paragraph">
                  <wp:posOffset>4429760</wp:posOffset>
                </wp:positionV>
                <wp:extent cx="276225" cy="1254760"/>
                <wp:effectExtent l="19050" t="0" r="47625" b="59690"/>
                <wp:wrapNone/>
                <wp:docPr id="680325793" name="Arrow: Down 7">
                  <a:extLst xmlns:a="http://schemas.openxmlformats.org/drawingml/2006/main">
                    <a:ext uri="{FF2B5EF4-FFF2-40B4-BE49-F238E27FC236}">
                      <a16:creationId xmlns:a16="http://schemas.microsoft.com/office/drawing/2014/main" id="{1D1EACB1-781B-49D5-97C0-AB8E495BD581}"/>
                    </a:ext>
                  </a:extLst>
                </wp:docPr>
                <wp:cNvGraphicFramePr/>
                <a:graphic xmlns:a="http://schemas.openxmlformats.org/drawingml/2006/main">
                  <a:graphicData uri="http://schemas.microsoft.com/office/word/2010/wordprocessingShape">
                    <wps:wsp>
                      <wps:cNvSpPr/>
                      <wps:spPr>
                        <a:xfrm>
                          <a:off x="0" y="0"/>
                          <a:ext cx="276225" cy="1254760"/>
                        </a:xfrm>
                        <a:prstGeom prst="downArrow">
                          <a:avLst>
                            <a:gd name="adj1" fmla="val 50000"/>
                            <a:gd name="adj2" fmla="val 150470"/>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FE11AB6"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7" o:spid="_x0000_s1026" type="#_x0000_t67" style="position:absolute;margin-left:209.5pt;margin-top:348.8pt;width:21.75pt;height:98.8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" adj="14445" fillcolor="#156082 [3204]" strokecolor="#030e13 [484]" strokeweight="1pt"/>
            </w:pict>
          </mc:Fallback>
        </mc:AlternateContent>
      </w:r>
      <w:r w:rsidR="00BB1B23">
        <w:rPr>
          <w:noProof/>
          <w:sz w:val="22"/>
          <w:szCs w:val="22"/>
        </w:rPr>
        <mc:AlternateContent>
          <mc:Choice Requires="wps">
            <w:drawing>
              <wp:anchor distT="0" distB="0" distL="114300" distR="114300" simplePos="0" relativeHeight="251658247" behindDoc="0" locked="0" layoutInCell="1" allowOverlap="1" wp14:anchorId="2B8D4103" wp14:editId="74DC3F07">
                <wp:simplePos x="0" y="0"/>
                <wp:positionH relativeFrom="column">
                  <wp:posOffset>2659380</wp:posOffset>
                </wp:positionH>
                <wp:positionV relativeFrom="paragraph">
                  <wp:posOffset>2945765</wp:posOffset>
                </wp:positionV>
                <wp:extent cx="276225" cy="1024890"/>
                <wp:effectExtent l="19050" t="0" r="47625" b="60960"/>
                <wp:wrapNone/>
                <wp:docPr id="935065603" name="Arrow: Down 7">
                  <a:extLst xmlns:a="http://schemas.openxmlformats.org/drawingml/2006/main">
                    <a:ext uri="{FF2B5EF4-FFF2-40B4-BE49-F238E27FC236}">
                      <a16:creationId xmlns:a16="http://schemas.microsoft.com/office/drawing/2014/main" id="{ACC57A67-5F45-45CA-9AE8-08A2358E04FC}"/>
                    </a:ext>
                  </a:extLst>
                </wp:docPr>
                <wp:cNvGraphicFramePr/>
                <a:graphic xmlns:a="http://schemas.openxmlformats.org/drawingml/2006/main">
                  <a:graphicData uri="http://schemas.microsoft.com/office/word/2010/wordprocessingShape">
                    <wps:wsp>
                      <wps:cNvSpPr/>
                      <wps:spPr>
                        <a:xfrm>
                          <a:off x="0" y="0"/>
                          <a:ext cx="276225" cy="1024890"/>
                        </a:xfrm>
                        <a:prstGeom prst="downArrow">
                          <a:avLst>
                            <a:gd name="adj1" fmla="val 50000"/>
                            <a:gd name="adj2" fmla="val 150470"/>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1B064F" id="Arrow: Down 7" o:spid="_x0000_s1026" type="#_x0000_t67" style="position:absolute;margin-left:209.4pt;margin-top:231.95pt;width:21.75pt;height:80.7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" adj="12840" fillcolor="#156082 [3204]" strokecolor="#030e13 [484]" strokeweight="1pt"/>
            </w:pict>
          </mc:Fallback>
        </mc:AlternateContent>
      </w:r>
      <w:r w:rsidR="007A08B8">
        <w:rPr>
          <w:noProof/>
          <w:sz w:val="22"/>
          <w:szCs w:val="22"/>
        </w:rPr>
        <mc:AlternateContent>
          <mc:Choice Requires="wps">
            <w:drawing>
              <wp:anchor distT="0" distB="0" distL="114300" distR="114300" simplePos="0" relativeHeight="251658246" behindDoc="0" locked="0" layoutInCell="1" allowOverlap="1" wp14:anchorId="106C220A" wp14:editId="38BAEEBF">
                <wp:simplePos x="0" y="0"/>
                <wp:positionH relativeFrom="column">
                  <wp:posOffset>2659380</wp:posOffset>
                </wp:positionH>
                <wp:positionV relativeFrom="paragraph">
                  <wp:posOffset>304165</wp:posOffset>
                </wp:positionV>
                <wp:extent cx="276225" cy="1024890"/>
                <wp:effectExtent l="19050" t="0" r="47625" b="60960"/>
                <wp:wrapNone/>
                <wp:docPr id="1847292364" name="Arrow: Down 7">
                  <a:extLst xmlns:a="http://schemas.openxmlformats.org/drawingml/2006/main">
                    <a:ext uri="{FF2B5EF4-FFF2-40B4-BE49-F238E27FC236}">
                      <a16:creationId xmlns:a16="http://schemas.microsoft.com/office/drawing/2014/main" id="{DFFF6CE5-54B9-4FD0-BD8D-C2A039FEA866}"/>
                    </a:ext>
                  </a:extLst>
                </wp:docPr>
                <wp:cNvGraphicFramePr/>
                <a:graphic xmlns:a="http://schemas.openxmlformats.org/drawingml/2006/main">
                  <a:graphicData uri="http://schemas.microsoft.com/office/word/2010/wordprocessingShape">
                    <wps:wsp>
                      <wps:cNvSpPr/>
                      <wps:spPr>
                        <a:xfrm>
                          <a:off x="0" y="0"/>
                          <a:ext cx="276225" cy="1024890"/>
                        </a:xfrm>
                        <a:prstGeom prst="downArrow">
                          <a:avLst>
                            <a:gd name="adj1" fmla="val 50000"/>
                            <a:gd name="adj2" fmla="val 150470"/>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6E2433" id="Arrow: Down 7" o:spid="_x0000_s1026" type="#_x0000_t67" style="position:absolute;margin-left:209.4pt;margin-top:23.95pt;width:21.75pt;height:80.7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" adj="12840" fillcolor="#156082 [3204]" strokecolor="#030e13 [484]" strokeweight="1pt"/>
            </w:pict>
          </mc:Fallback>
        </mc:AlternateContent>
      </w:r>
      <w:r w:rsidR="00634040">
        <w:rPr>
          <w:noProof/>
          <w:sz w:val="22"/>
          <w:szCs w:val="22"/>
        </w:rPr>
        <mc:AlternateContent>
          <mc:Choice Requires="wps">
            <w:drawing>
              <wp:anchor distT="0" distB="0" distL="114300" distR="114300" simplePos="0" relativeHeight="251658245" behindDoc="0" locked="0" layoutInCell="1" allowOverlap="1" wp14:anchorId="2AD1DEC3" wp14:editId="5194EB67">
                <wp:simplePos x="0" y="0"/>
                <wp:positionH relativeFrom="column">
                  <wp:posOffset>2660650</wp:posOffset>
                </wp:positionH>
                <wp:positionV relativeFrom="paragraph">
                  <wp:posOffset>1605280</wp:posOffset>
                </wp:positionV>
                <wp:extent cx="276225" cy="1024890"/>
                <wp:effectExtent l="19050" t="0" r="47625" b="60960"/>
                <wp:wrapNone/>
                <wp:docPr id="1023214237" name="Arrow: Down 7">
                  <a:extLst xmlns:a="http://schemas.openxmlformats.org/drawingml/2006/main">
                    <a:ext uri="{FF2B5EF4-FFF2-40B4-BE49-F238E27FC236}">
                      <a16:creationId xmlns:a16="http://schemas.microsoft.com/office/drawing/2014/main" id="{41849A0C-B6B9-46A7-A0BE-DD22120FFF55}"/>
                    </a:ext>
                  </a:extLst>
                </wp:docPr>
                <wp:cNvGraphicFramePr/>
                <a:graphic xmlns:a="http://schemas.openxmlformats.org/drawingml/2006/main">
                  <a:graphicData uri="http://schemas.microsoft.com/office/word/2010/wordprocessingShape">
                    <wps:wsp>
                      <wps:cNvSpPr/>
                      <wps:spPr>
                        <a:xfrm>
                          <a:off x="0" y="0"/>
                          <a:ext cx="276225" cy="1024890"/>
                        </a:xfrm>
                        <a:prstGeom prst="downArrow">
                          <a:avLst>
                            <a:gd name="adj1" fmla="val 50000"/>
                            <a:gd name="adj2" fmla="val 150470"/>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4D337B" id="Arrow: Down 7" o:spid="_x0000_s1026" type="#_x0000_t67" style="position:absolute;margin-left:209.5pt;margin-top:126.4pt;width:21.75pt;height:80.7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" adj="12840" fillcolor="#156082 [3204]" strokecolor="#030e13 [484]" strokeweight="1pt"/>
            </w:pict>
          </mc:Fallback>
        </mc:AlternateContent>
      </w:r>
      <w:r w:rsidR="0065155F">
        <w:rPr>
          <w:noProof/>
          <w:sz w:val="22"/>
          <w:szCs w:val="22"/>
        </w:rPr>
        <mc:AlternateContent>
          <mc:Choice Requires="wps">
            <w:drawing>
              <wp:anchor distT="0" distB="0" distL="114300" distR="114300" simplePos="0" relativeHeight="251658244" behindDoc="0" locked="0" layoutInCell="1" allowOverlap="1" wp14:anchorId="4848E8CB" wp14:editId="75DE4313">
                <wp:simplePos x="0" y="0"/>
                <wp:positionH relativeFrom="column">
                  <wp:posOffset>1350010</wp:posOffset>
                </wp:positionH>
                <wp:positionV relativeFrom="paragraph">
                  <wp:posOffset>5684520</wp:posOffset>
                </wp:positionV>
                <wp:extent cx="3107690" cy="412115"/>
                <wp:effectExtent l="0" t="0" r="16510" b="26035"/>
                <wp:wrapNone/>
                <wp:docPr id="2032807580" name="Text Box 6">
                  <a:extLst xmlns:a="http://schemas.openxmlformats.org/drawingml/2006/main">
                    <a:ext uri="{FF2B5EF4-FFF2-40B4-BE49-F238E27FC236}">
                      <a16:creationId xmlns:a16="http://schemas.microsoft.com/office/drawing/2014/main" id="{0A104606-882D-4D7B-9CCD-5DC20C1D03D3}"/>
                    </a:ext>
                  </a:extLst>
                </wp:docPr>
                <wp:cNvGraphicFramePr/>
                <a:graphic xmlns:a="http://schemas.openxmlformats.org/drawingml/2006/main">
                  <a:graphicData uri="http://schemas.microsoft.com/office/word/2010/wordprocessingShape">
                    <wps:wsp>
                      <wps:cNvSpPr txBox="1"/>
                      <wps:spPr>
                        <a:xfrm>
                          <a:off x="0" y="0"/>
                          <a:ext cx="3107690" cy="412115"/>
                        </a:xfrm>
                        <a:prstGeom prst="rect">
                          <a:avLst/>
                        </a:prstGeom>
                        <a:solidFill>
                          <a:schemeClr val="lt1"/>
                        </a:solidFill>
                        <a:ln w="6350">
                          <a:solidFill>
                            <a:prstClr val="black"/>
                          </a:solidFill>
                        </a:ln>
                      </wps:spPr>
                      <wps:txbx>
                        <w:txbxContent>
                          <w:p w14:paraId="7B6836DB" w14:textId="4B22152D" w:rsidR="00177FB3" w:rsidRDefault="00333CB7">
                            <w:r>
                              <w:rPr>
                                <w:lang w:val="en-US"/>
                              </w:rPr>
                              <w:t xml:space="preserve">Health and Social Care Improvement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48E8CB" id="Text Box 6" o:spid="_x0000_s1027" type="#_x0000_t202" style="position:absolute;margin-left:106.3pt;margin-top:447.6pt;width:244.7pt;height:32.4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" fillcolor="white [3201]" strokeweight=".5pt">
                <v:textbox>
                  <w:txbxContent>
                    <w:p w14:paraId="7B6836DB" w14:textId="4B22152D" w:rsidR="00177FB3" w:rsidRDefault="00333CB7">
                      <w:r>
                        <w:rPr>
                          <w:lang w:val="en-US"/>
                        </w:rPr>
                        <w:t xml:space="preserve">Health and Social Care Improvement </w:t>
                      </w:r>
                    </w:p>
                  </w:txbxContent>
                </v:textbox>
              </v:shape>
            </w:pict>
          </mc:Fallback>
        </mc:AlternateContent>
      </w:r>
      <w:r w:rsidR="00B13036">
        <w:rPr>
          <w:noProof/>
          <w:sz w:val="22"/>
          <w:szCs w:val="22"/>
        </w:rPr>
        <mc:AlternateContent>
          <mc:Choice Requires="wps">
            <w:drawing>
              <wp:anchor distT="0" distB="0" distL="114300" distR="114300" simplePos="0" relativeHeight="251658240" behindDoc="0" locked="0" layoutInCell="1" allowOverlap="1" wp14:anchorId="29E8BC11" wp14:editId="4FB17E44">
                <wp:simplePos x="0" y="0"/>
                <wp:positionH relativeFrom="column">
                  <wp:posOffset>1493520</wp:posOffset>
                </wp:positionH>
                <wp:positionV relativeFrom="paragraph">
                  <wp:posOffset>4029710</wp:posOffset>
                </wp:positionV>
                <wp:extent cx="2826385" cy="400050"/>
                <wp:effectExtent l="0" t="0" r="12065" b="19050"/>
                <wp:wrapNone/>
                <wp:docPr id="15759857" name="Text Box 2">
                  <a:extLst xmlns:a="http://schemas.openxmlformats.org/drawingml/2006/main">
                    <a:ext uri="{FF2B5EF4-FFF2-40B4-BE49-F238E27FC236}">
                      <a16:creationId xmlns:a16="http://schemas.microsoft.com/office/drawing/2014/main" id="{7DDFCFEF-70BA-4B20-BE0D-A9462F35F625}"/>
                    </a:ext>
                  </a:extLst>
                </wp:docPr>
                <wp:cNvGraphicFramePr/>
                <a:graphic xmlns:a="http://schemas.openxmlformats.org/drawingml/2006/main">
                  <a:graphicData uri="http://schemas.microsoft.com/office/word/2010/wordprocessingShape">
                    <wps:wsp>
                      <wps:cNvSpPr txBox="1"/>
                      <wps:spPr>
                        <a:xfrm>
                          <a:off x="0" y="0"/>
                          <a:ext cx="2826385" cy="400050"/>
                        </a:xfrm>
                        <a:prstGeom prst="rect">
                          <a:avLst/>
                        </a:prstGeom>
                        <a:solidFill>
                          <a:schemeClr val="lt1"/>
                        </a:solidFill>
                        <a:ln w="6350">
                          <a:solidFill>
                            <a:prstClr val="black"/>
                          </a:solidFill>
                        </a:ln>
                      </wps:spPr>
                      <wps:txbx>
                        <w:txbxContent>
                          <w:p w14:paraId="60D76372" w14:textId="329F6EEF" w:rsidR="00923175" w:rsidRDefault="00177FB3">
                            <w:r>
                              <w:rPr>
                                <w:lang w:val="en-US"/>
                              </w:rPr>
                              <w:t>Allocative and Technical Value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E8BC11" id="Text Box 2" o:spid="_x0000_s1028" type="#_x0000_t202" style="position:absolute;margin-left:117.6pt;margin-top:317.3pt;width:222.55pt;height:3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" fillcolor="white [3201]" strokeweight=".5pt">
                <v:textbox>
                  <w:txbxContent>
                    <w:p w14:paraId="60D76372" w14:textId="329F6EEF" w:rsidR="00923175" w:rsidRDefault="00177FB3">
                      <w:r>
                        <w:rPr>
                          <w:lang w:val="en-US"/>
                        </w:rPr>
                        <w:t>Allocative and Technical Value</w:t>
                      </w:r>
                    </w:p>
                  </w:txbxContent>
                </v:textbox>
              </v:shape>
            </w:pict>
          </mc:Fallback>
        </mc:AlternateContent>
      </w:r>
      <w:r w:rsidR="00D243FB">
        <w:rPr>
          <w:noProof/>
          <w:sz w:val="22"/>
          <w:szCs w:val="22"/>
        </w:rPr>
        <mc:AlternateContent>
          <mc:Choice Requires="wps">
            <w:drawing>
              <wp:anchor distT="0" distB="0" distL="114300" distR="114300" simplePos="0" relativeHeight="251658241" behindDoc="0" locked="0" layoutInCell="1" allowOverlap="1" wp14:anchorId="4B3F1A4E" wp14:editId="09036A84">
                <wp:simplePos x="0" y="0"/>
                <wp:positionH relativeFrom="column">
                  <wp:posOffset>1553210</wp:posOffset>
                </wp:positionH>
                <wp:positionV relativeFrom="paragraph">
                  <wp:posOffset>2582545</wp:posOffset>
                </wp:positionV>
                <wp:extent cx="2724785" cy="364490"/>
                <wp:effectExtent l="0" t="0" r="18415" b="16510"/>
                <wp:wrapNone/>
                <wp:docPr id="1909408832" name="Text Box 3">
                  <a:extLst xmlns:a="http://schemas.openxmlformats.org/drawingml/2006/main">
                    <a:ext uri="{FF2B5EF4-FFF2-40B4-BE49-F238E27FC236}">
                      <a16:creationId xmlns:a16="http://schemas.microsoft.com/office/drawing/2014/main" id="{54231B82-DC53-46F9-B384-B32F8563181C}"/>
                    </a:ext>
                  </a:extLst>
                </wp:docPr>
                <wp:cNvGraphicFramePr/>
                <a:graphic xmlns:a="http://schemas.openxmlformats.org/drawingml/2006/main">
                  <a:graphicData uri="http://schemas.microsoft.com/office/word/2010/wordprocessingShape">
                    <wps:wsp>
                      <wps:cNvSpPr txBox="1"/>
                      <wps:spPr>
                        <a:xfrm>
                          <a:off x="0" y="0"/>
                          <a:ext cx="2724785" cy="364490"/>
                        </a:xfrm>
                        <a:prstGeom prst="rect">
                          <a:avLst/>
                        </a:prstGeom>
                        <a:solidFill>
                          <a:schemeClr val="lt1"/>
                        </a:solidFill>
                        <a:ln w="6350">
                          <a:solidFill>
                            <a:prstClr val="black"/>
                          </a:solidFill>
                        </a:ln>
                      </wps:spPr>
                      <wps:txbx>
                        <w:txbxContent>
                          <w:p w14:paraId="5F09A496" w14:textId="3AEF34CB" w:rsidR="00923175" w:rsidRDefault="00177FB3">
                            <w:r>
                              <w:rPr>
                                <w:lang w:val="en-US"/>
                              </w:rPr>
                              <w:t>Tangible Creative Product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3F1A4E" id="Text Box 3" o:spid="_x0000_s1029" type="#_x0000_t202" style="position:absolute;margin-left:122.3pt;margin-top:203.35pt;width:214.55pt;height:28.7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" fillcolor="white [3201]" strokeweight=".5pt">
                <v:textbox>
                  <w:txbxContent>
                    <w:p w14:paraId="5F09A496" w14:textId="3AEF34CB" w:rsidR="00923175" w:rsidRDefault="00177FB3">
                      <w:r>
                        <w:rPr>
                          <w:lang w:val="en-US"/>
                        </w:rPr>
                        <w:t>Tangible Creative Product</w:t>
                      </w:r>
                    </w:p>
                  </w:txbxContent>
                </v:textbox>
              </v:shape>
            </w:pict>
          </mc:Fallback>
        </mc:AlternateContent>
      </w:r>
      <w:r w:rsidR="00333CB7">
        <w:rPr>
          <w:noProof/>
          <w:sz w:val="22"/>
          <w:szCs w:val="22"/>
        </w:rPr>
        <mc:AlternateContent>
          <mc:Choice Requires="wps">
            <w:drawing>
              <wp:anchor distT="0" distB="0" distL="114300" distR="114300" simplePos="0" relativeHeight="251658242" behindDoc="0" locked="0" layoutInCell="1" allowOverlap="1" wp14:anchorId="7D2B00CC" wp14:editId="5B36F23D">
                <wp:simplePos x="0" y="0"/>
                <wp:positionH relativeFrom="column">
                  <wp:posOffset>1493520</wp:posOffset>
                </wp:positionH>
                <wp:positionV relativeFrom="paragraph">
                  <wp:posOffset>1261745</wp:posOffset>
                </wp:positionV>
                <wp:extent cx="2784475" cy="346075"/>
                <wp:effectExtent l="0" t="0" r="15875" b="15875"/>
                <wp:wrapNone/>
                <wp:docPr id="1269017142" name="Text Box 4">
                  <a:extLst xmlns:a="http://schemas.openxmlformats.org/drawingml/2006/main">
                    <a:ext uri="{FF2B5EF4-FFF2-40B4-BE49-F238E27FC236}">
                      <a16:creationId xmlns:a16="http://schemas.microsoft.com/office/drawing/2014/main" id="{5902519F-2B79-4203-99DC-78126BBB8231}"/>
                    </a:ext>
                  </a:extLst>
                </wp:docPr>
                <wp:cNvGraphicFramePr/>
                <a:graphic xmlns:a="http://schemas.openxmlformats.org/drawingml/2006/main">
                  <a:graphicData uri="http://schemas.microsoft.com/office/word/2010/wordprocessingShape">
                    <wps:wsp>
                      <wps:cNvSpPr txBox="1"/>
                      <wps:spPr>
                        <a:xfrm>
                          <a:off x="0" y="0"/>
                          <a:ext cx="2784475" cy="346075"/>
                        </a:xfrm>
                        <a:prstGeom prst="rect">
                          <a:avLst/>
                        </a:prstGeom>
                        <a:solidFill>
                          <a:schemeClr val="lt1"/>
                        </a:solidFill>
                        <a:ln w="6350">
                          <a:solidFill>
                            <a:prstClr val="black"/>
                          </a:solidFill>
                        </a:ln>
                      </wps:spPr>
                      <wps:txbx>
                        <w:txbxContent>
                          <w:p w14:paraId="74011322" w14:textId="0545D90B" w:rsidR="00923175" w:rsidRDefault="00177FB3">
                            <w:r>
                              <w:rPr>
                                <w:lang w:val="en-US"/>
                              </w:rPr>
                              <w:t>Creativity: Systematic Innovations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2B00CC" id="Text Box 4" o:spid="_x0000_s1030" type="#_x0000_t202" style="position:absolute;margin-left:117.6pt;margin-top:99.35pt;width:219.25pt;height:27.2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" fillcolor="white [3201]" strokeweight=".5pt">
                <v:textbox>
                  <w:txbxContent>
                    <w:p w14:paraId="74011322" w14:textId="0545D90B" w:rsidR="00923175" w:rsidRDefault="00177FB3">
                      <w:r>
                        <w:rPr>
                          <w:lang w:val="en-US"/>
                        </w:rPr>
                        <w:t>Creativity: Systematic Innovations</w:t>
                      </w:r>
                    </w:p>
                  </w:txbxContent>
                </v:textbox>
              </v:shape>
            </w:pict>
          </mc:Fallback>
        </mc:AlternateContent>
      </w:r>
    </w:p>
    <w:p w14:paraId="7210994E" w14:textId="77777777" w:rsidR="007C3905" w:rsidRDefault="007C3905" w:rsidP="0012733F">
      <w:pPr>
        <w:rPr>
          <w:sz w:val="22"/>
          <w:szCs w:val="22"/>
        </w:rPr>
      </w:pPr>
    </w:p>
    <w:p w14:paraId="5D107603" w14:textId="77777777" w:rsidR="007C3905" w:rsidRDefault="007C3905" w:rsidP="0012733F">
      <w:pPr>
        <w:rPr>
          <w:sz w:val="22"/>
          <w:szCs w:val="22"/>
        </w:rPr>
      </w:pPr>
    </w:p>
    <w:p w14:paraId="2EF8345D" w14:textId="77777777" w:rsidR="007C3905" w:rsidRDefault="007C3905" w:rsidP="0012733F">
      <w:pPr>
        <w:rPr>
          <w:sz w:val="22"/>
          <w:szCs w:val="22"/>
        </w:rPr>
      </w:pPr>
    </w:p>
    <w:p w14:paraId="54E733BE" w14:textId="77777777" w:rsidR="007C3905" w:rsidRDefault="007C3905" w:rsidP="0012733F">
      <w:pPr>
        <w:rPr>
          <w:sz w:val="22"/>
          <w:szCs w:val="22"/>
        </w:rPr>
      </w:pPr>
    </w:p>
    <w:p w14:paraId="0270FD21" w14:textId="77777777" w:rsidR="007C3905" w:rsidRDefault="007C3905" w:rsidP="0012733F">
      <w:pPr>
        <w:rPr>
          <w:sz w:val="22"/>
          <w:szCs w:val="22"/>
        </w:rPr>
      </w:pPr>
    </w:p>
    <w:p w14:paraId="25E74F88" w14:textId="77777777" w:rsidR="007C3905" w:rsidRDefault="007C3905" w:rsidP="0012733F">
      <w:pPr>
        <w:rPr>
          <w:sz w:val="22"/>
          <w:szCs w:val="22"/>
        </w:rPr>
      </w:pPr>
    </w:p>
    <w:p w14:paraId="586E5706" w14:textId="77777777" w:rsidR="007C3905" w:rsidRDefault="007C3905" w:rsidP="0012733F">
      <w:pPr>
        <w:rPr>
          <w:sz w:val="22"/>
          <w:szCs w:val="22"/>
        </w:rPr>
      </w:pPr>
    </w:p>
    <w:p w14:paraId="46AEC8E5" w14:textId="77777777" w:rsidR="007C3905" w:rsidRDefault="007C3905" w:rsidP="0012733F">
      <w:pPr>
        <w:rPr>
          <w:sz w:val="22"/>
          <w:szCs w:val="22"/>
        </w:rPr>
      </w:pPr>
    </w:p>
    <w:p w14:paraId="3C4A8D85" w14:textId="77777777" w:rsidR="007C3905" w:rsidRDefault="007C3905" w:rsidP="0012733F">
      <w:pPr>
        <w:rPr>
          <w:sz w:val="22"/>
          <w:szCs w:val="22"/>
        </w:rPr>
      </w:pPr>
    </w:p>
    <w:p w14:paraId="64FFE7B7" w14:textId="77777777" w:rsidR="007C3905" w:rsidRDefault="007C3905" w:rsidP="0012733F">
      <w:pPr>
        <w:rPr>
          <w:sz w:val="22"/>
          <w:szCs w:val="22"/>
        </w:rPr>
      </w:pPr>
    </w:p>
    <w:p w14:paraId="06A447D1" w14:textId="77777777" w:rsidR="007C3905" w:rsidRDefault="007C3905" w:rsidP="0012733F">
      <w:pPr>
        <w:rPr>
          <w:sz w:val="22"/>
          <w:szCs w:val="22"/>
        </w:rPr>
      </w:pPr>
    </w:p>
    <w:p w14:paraId="7DD6D336" w14:textId="77777777" w:rsidR="007C3905" w:rsidRDefault="007C3905" w:rsidP="0012733F">
      <w:pPr>
        <w:rPr>
          <w:sz w:val="22"/>
          <w:szCs w:val="22"/>
        </w:rPr>
      </w:pPr>
    </w:p>
    <w:p w14:paraId="68B22473" w14:textId="77777777" w:rsidR="007C3905" w:rsidRDefault="007C3905" w:rsidP="0012733F">
      <w:pPr>
        <w:rPr>
          <w:sz w:val="22"/>
          <w:szCs w:val="22"/>
        </w:rPr>
      </w:pPr>
    </w:p>
    <w:p w14:paraId="0317E7C1" w14:textId="77777777" w:rsidR="007C3905" w:rsidRDefault="007C3905" w:rsidP="0012733F">
      <w:pPr>
        <w:rPr>
          <w:sz w:val="22"/>
          <w:szCs w:val="22"/>
        </w:rPr>
      </w:pPr>
    </w:p>
    <w:p w14:paraId="10151819" w14:textId="77777777" w:rsidR="007C3905" w:rsidRDefault="007C3905" w:rsidP="0012733F">
      <w:pPr>
        <w:rPr>
          <w:sz w:val="22"/>
          <w:szCs w:val="22"/>
        </w:rPr>
      </w:pPr>
    </w:p>
    <w:p w14:paraId="7D0D3915" w14:textId="77777777" w:rsidR="007C3905" w:rsidRDefault="007C3905" w:rsidP="0012733F">
      <w:pPr>
        <w:rPr>
          <w:sz w:val="22"/>
          <w:szCs w:val="22"/>
        </w:rPr>
      </w:pPr>
    </w:p>
    <w:p w14:paraId="4E6975DA" w14:textId="77777777" w:rsidR="007C3905" w:rsidRDefault="007C3905" w:rsidP="0012733F">
      <w:pPr>
        <w:rPr>
          <w:sz w:val="22"/>
          <w:szCs w:val="22"/>
        </w:rPr>
      </w:pPr>
    </w:p>
    <w:p w14:paraId="721EE8FA" w14:textId="77777777" w:rsidR="007C3905" w:rsidRDefault="007C3905" w:rsidP="0012733F">
      <w:pPr>
        <w:rPr>
          <w:sz w:val="22"/>
          <w:szCs w:val="22"/>
        </w:rPr>
      </w:pPr>
    </w:p>
    <w:p w14:paraId="799F88B4" w14:textId="77777777" w:rsidR="007C3905" w:rsidRDefault="007C3905" w:rsidP="0012733F">
      <w:pPr>
        <w:rPr>
          <w:sz w:val="22"/>
          <w:szCs w:val="22"/>
        </w:rPr>
      </w:pPr>
    </w:p>
    <w:p w14:paraId="266B28D5" w14:textId="77777777" w:rsidR="007C3905" w:rsidRDefault="007C3905" w:rsidP="0012733F">
      <w:pPr>
        <w:rPr>
          <w:sz w:val="22"/>
          <w:szCs w:val="22"/>
        </w:rPr>
      </w:pPr>
    </w:p>
    <w:p w14:paraId="395067EB" w14:textId="77777777" w:rsidR="007C3905" w:rsidRDefault="007C3905" w:rsidP="0012733F">
      <w:pPr>
        <w:rPr>
          <w:sz w:val="22"/>
          <w:szCs w:val="22"/>
        </w:rPr>
      </w:pPr>
    </w:p>
    <w:p w14:paraId="54B2A47A" w14:textId="77777777" w:rsidR="007C3905" w:rsidRDefault="007C3905" w:rsidP="0012733F">
      <w:pPr>
        <w:rPr>
          <w:sz w:val="22"/>
          <w:szCs w:val="22"/>
        </w:rPr>
      </w:pPr>
    </w:p>
    <w:p w14:paraId="53E79303" w14:textId="77777777" w:rsidR="007C3905" w:rsidRDefault="007C3905" w:rsidP="0012733F">
      <w:pPr>
        <w:rPr>
          <w:sz w:val="22"/>
          <w:szCs w:val="22"/>
        </w:rPr>
      </w:pPr>
    </w:p>
    <w:p w14:paraId="71AB94D5" w14:textId="4CB1E46F" w:rsidR="007C3905" w:rsidRDefault="00623D9B" w:rsidP="0012733F">
      <w:pPr>
        <w:rPr>
          <w:b/>
          <w:bCs/>
          <w:sz w:val="22"/>
          <w:szCs w:val="22"/>
        </w:rPr>
      </w:pPr>
      <w:r>
        <w:rPr>
          <w:b/>
          <w:bCs/>
          <w:sz w:val="22"/>
          <w:szCs w:val="22"/>
        </w:rPr>
        <w:t>Concept Map Breakdown</w:t>
      </w:r>
    </w:p>
    <w:p w14:paraId="289BB0A7" w14:textId="77777777" w:rsidR="00511015" w:rsidRPr="00511015" w:rsidRDefault="00511015" w:rsidP="00511015">
      <w:pPr>
        <w:rPr>
          <w:sz w:val="22"/>
          <w:szCs w:val="22"/>
        </w:rPr>
      </w:pPr>
      <w:r w:rsidRPr="00511015">
        <w:rPr>
          <w:sz w:val="22"/>
          <w:szCs w:val="22"/>
        </w:rPr>
        <w:t xml:space="preserve">The structure of this framework puts the organizational environment at the heart of the process of structural change. The concept map, based on the 4Ps architectural concept, shows that the external organisational climate and culture – “Press” – is closely related to the concept of creativity. When there </w:t>
      </w:r>
      <w:proofErr w:type="gramStart"/>
      <w:r w:rsidRPr="00511015">
        <w:rPr>
          <w:sz w:val="22"/>
          <w:szCs w:val="22"/>
        </w:rPr>
        <w:t>is</w:t>
      </w:r>
      <w:proofErr w:type="gramEnd"/>
      <w:r w:rsidRPr="00511015">
        <w:rPr>
          <w:sz w:val="22"/>
          <w:szCs w:val="22"/>
        </w:rPr>
        <w:t xml:space="preserve"> psychological safety and inter-disciplinary working in </w:t>
      </w:r>
      <w:r w:rsidRPr="00511015">
        <w:rPr>
          <w:sz w:val="22"/>
          <w:szCs w:val="22"/>
        </w:rPr>
        <w:lastRenderedPageBreak/>
        <w:t xml:space="preserve">a health and social care setting, then teams can break out of the rut and develop new “Products” – new care pathways or a new piece of technology.  </w:t>
      </w:r>
    </w:p>
    <w:p w14:paraId="77D4B35B" w14:textId="77777777" w:rsidR="00511015" w:rsidRPr="00511015" w:rsidRDefault="00511015" w:rsidP="00511015">
      <w:pPr>
        <w:rPr>
          <w:sz w:val="22"/>
          <w:szCs w:val="22"/>
        </w:rPr>
      </w:pPr>
      <w:r w:rsidRPr="00511015">
        <w:rPr>
          <w:sz w:val="22"/>
          <w:szCs w:val="22"/>
        </w:rPr>
        <w:t xml:space="preserve">These are the mechanics that make value and are creative products. Porter (2010) put forward the contemporary concepts of value, which are divided into two groups: Allocative value, meaning the resources allocated are fair; Technical value, meaning the resources are utilised in the most efficient manner, at the lowest cost. Creative risk taking is essential in the ‘Press’, as innovations within it solve problems of systemic inefficiency, such as the increasing costs of A&amp;E ambulance </w:t>
      </w:r>
      <w:proofErr w:type="gramStart"/>
      <w:r w:rsidRPr="00511015">
        <w:rPr>
          <w:sz w:val="22"/>
          <w:szCs w:val="22"/>
        </w:rPr>
        <w:t>call-outs</w:t>
      </w:r>
      <w:proofErr w:type="gramEnd"/>
      <w:r w:rsidRPr="00511015">
        <w:rPr>
          <w:sz w:val="22"/>
          <w:szCs w:val="22"/>
        </w:rPr>
        <w:t xml:space="preserve">, or the lengthy waiting lists.  </w:t>
      </w:r>
    </w:p>
    <w:p w14:paraId="35F1AF35" w14:textId="77777777" w:rsidR="00511015" w:rsidRPr="00511015" w:rsidRDefault="00511015" w:rsidP="00511015">
      <w:pPr>
        <w:rPr>
          <w:sz w:val="22"/>
          <w:szCs w:val="22"/>
        </w:rPr>
      </w:pPr>
      <w:r w:rsidRPr="00511015">
        <w:rPr>
          <w:sz w:val="22"/>
          <w:szCs w:val="22"/>
        </w:rPr>
        <w:t xml:space="preserve">An explicit interaction of these concepts is a care trust that is </w:t>
      </w:r>
      <w:proofErr w:type="gramStart"/>
      <w:r w:rsidRPr="00511015">
        <w:rPr>
          <w:sz w:val="22"/>
          <w:szCs w:val="22"/>
        </w:rPr>
        <w:t>actually shifting</w:t>
      </w:r>
      <w:proofErr w:type="gramEnd"/>
      <w:r w:rsidRPr="00511015">
        <w:rPr>
          <w:sz w:val="22"/>
          <w:szCs w:val="22"/>
        </w:rPr>
        <w:t xml:space="preserve"> the way resources are being used to provide community-based, preventative services and care, instead of crisis management. This change of paradigm is driven by creative </w:t>
      </w:r>
      <w:proofErr w:type="gramStart"/>
      <w:r w:rsidRPr="00511015">
        <w:rPr>
          <w:sz w:val="22"/>
          <w:szCs w:val="22"/>
        </w:rPr>
        <w:t>solutions, and</w:t>
      </w:r>
      <w:proofErr w:type="gramEnd"/>
      <w:r w:rsidRPr="00511015">
        <w:rPr>
          <w:sz w:val="22"/>
          <w:szCs w:val="22"/>
        </w:rPr>
        <w:t xml:space="preserve"> is a structural issue that becomes a feasible economic solution. Lastly, health and social care improvement is realised as long-term sustainability is realised – it requires a change in culture from the top down as a change in technical value is realised through the creative organisational structure.  </w:t>
      </w:r>
    </w:p>
    <w:p w14:paraId="13DB558E" w14:textId="77777777" w:rsidR="00511015" w:rsidRPr="00511015" w:rsidRDefault="00511015" w:rsidP="00511015">
      <w:pPr>
        <w:rPr>
          <w:sz w:val="22"/>
          <w:szCs w:val="22"/>
        </w:rPr>
      </w:pPr>
    </w:p>
    <w:p w14:paraId="606DDF22" w14:textId="19F1537E" w:rsidR="00511015" w:rsidRPr="00C81D34" w:rsidRDefault="00511015" w:rsidP="00511015">
      <w:pPr>
        <w:pStyle w:val="ListParagraph"/>
        <w:numPr>
          <w:ilvl w:val="0"/>
          <w:numId w:val="2"/>
        </w:numPr>
        <w:rPr>
          <w:b/>
          <w:bCs/>
          <w:sz w:val="22"/>
          <w:szCs w:val="22"/>
        </w:rPr>
      </w:pPr>
      <w:r w:rsidRPr="00C81D34">
        <w:rPr>
          <w:b/>
          <w:bCs/>
          <w:sz w:val="22"/>
          <w:szCs w:val="22"/>
        </w:rPr>
        <w:t>Self-reflection of Group Activity</w:t>
      </w:r>
    </w:p>
    <w:p w14:paraId="50C51AF4" w14:textId="7CBD3669" w:rsidR="00511015" w:rsidRPr="0098141C" w:rsidRDefault="00511015" w:rsidP="00511015">
      <w:pPr>
        <w:rPr>
          <w:b/>
          <w:bCs/>
          <w:sz w:val="22"/>
          <w:szCs w:val="22"/>
        </w:rPr>
      </w:pPr>
      <w:r w:rsidRPr="00C81D34">
        <w:rPr>
          <w:b/>
          <w:bCs/>
          <w:sz w:val="22"/>
          <w:szCs w:val="22"/>
        </w:rPr>
        <w:t>Reflective Analysis – based on Driscoll’s “What?” Model</w:t>
      </w:r>
    </w:p>
    <w:p w14:paraId="34A7E03A" w14:textId="77777777" w:rsidR="00511015" w:rsidRPr="00511015" w:rsidRDefault="00511015" w:rsidP="00511015">
      <w:pPr>
        <w:rPr>
          <w:sz w:val="22"/>
          <w:szCs w:val="22"/>
        </w:rPr>
      </w:pPr>
      <w:r w:rsidRPr="00511015">
        <w:rPr>
          <w:sz w:val="22"/>
          <w:szCs w:val="22"/>
        </w:rPr>
        <w:t xml:space="preserve">This week my peer group are asked to complete a creative task using a regular paperclip as their inspiration. The first ten minutes were used for free flowing and spontaneous brainstorming to brainstorm </w:t>
      </w:r>
      <w:proofErr w:type="gramStart"/>
      <w:r w:rsidRPr="00511015">
        <w:rPr>
          <w:sz w:val="22"/>
          <w:szCs w:val="22"/>
        </w:rPr>
        <w:t>all of</w:t>
      </w:r>
      <w:proofErr w:type="gramEnd"/>
      <w:r w:rsidRPr="00511015">
        <w:rPr>
          <w:sz w:val="22"/>
          <w:szCs w:val="22"/>
        </w:rPr>
        <w:t xml:space="preserve"> the other uses of the paperclip that we could think of. In the next 10 minutes, we did the same procedure as we did above, except that we discussed each suggestion, considered the feasibility of the physical components and ranked our ideas to arrive at the most successful one.  </w:t>
      </w:r>
    </w:p>
    <w:p w14:paraId="2751E5E4" w14:textId="77777777" w:rsidR="00511015" w:rsidRPr="0098141C" w:rsidRDefault="00511015" w:rsidP="00511015">
      <w:pPr>
        <w:rPr>
          <w:b/>
          <w:bCs/>
          <w:sz w:val="22"/>
          <w:szCs w:val="22"/>
        </w:rPr>
      </w:pPr>
      <w:r w:rsidRPr="0098141C">
        <w:rPr>
          <w:b/>
          <w:bCs/>
          <w:sz w:val="22"/>
          <w:szCs w:val="22"/>
        </w:rPr>
        <w:t>So What? (Evaluation and cognitive Processing)</w:t>
      </w:r>
    </w:p>
    <w:p w14:paraId="0BED26FC" w14:textId="77777777" w:rsidR="00511015" w:rsidRPr="00511015" w:rsidRDefault="00511015" w:rsidP="00511015">
      <w:pPr>
        <w:rPr>
          <w:sz w:val="22"/>
          <w:szCs w:val="22"/>
        </w:rPr>
      </w:pPr>
      <w:r w:rsidRPr="00511015">
        <w:rPr>
          <w:sz w:val="22"/>
          <w:szCs w:val="22"/>
        </w:rPr>
        <w:t xml:space="preserve">This activity was a good illustration of divergent and convergent thinking, which was first outlined by Joy Paul Guilford in 1967. During the brainstorming session, my group was able to use divergent thinking to break out of the rut and to brainstorm different ways of thinking about the concept. This stage involved thinking in flexible ways and the presentation of divergent ideas such as using a paperclip as an emergency diagnostic aid or an adapted zipper pull for individuals with poor fine-motor function.  </w:t>
      </w:r>
    </w:p>
    <w:p w14:paraId="23FD4C25" w14:textId="77777777" w:rsidR="00511015" w:rsidRPr="00511015" w:rsidRDefault="00511015" w:rsidP="00511015">
      <w:pPr>
        <w:rPr>
          <w:sz w:val="22"/>
          <w:szCs w:val="22"/>
        </w:rPr>
      </w:pPr>
      <w:r w:rsidRPr="00511015">
        <w:rPr>
          <w:sz w:val="22"/>
          <w:szCs w:val="22"/>
        </w:rPr>
        <w:t xml:space="preserve">We have eliminated options in part two to allow selection of one solution using logic and convergent thinking. This was a very active part of the process with </w:t>
      </w:r>
      <w:proofErr w:type="gramStart"/>
      <w:r w:rsidRPr="00511015">
        <w:rPr>
          <w:sz w:val="22"/>
          <w:szCs w:val="22"/>
        </w:rPr>
        <w:t>me</w:t>
      </w:r>
      <w:proofErr w:type="gramEnd"/>
      <w:r w:rsidRPr="00511015">
        <w:rPr>
          <w:sz w:val="22"/>
          <w:szCs w:val="22"/>
        </w:rPr>
        <w:t xml:space="preserve"> and I made sure that the team had a mindset of risk assessment, and whether our ideas were viable and safe, and we helped to remove ideas that were not viable or safe from the team.  </w:t>
      </w:r>
    </w:p>
    <w:p w14:paraId="4984A363" w14:textId="77777777" w:rsidR="005A3BAB" w:rsidRDefault="00511015" w:rsidP="00511015">
      <w:pPr>
        <w:rPr>
          <w:b/>
          <w:bCs/>
          <w:sz w:val="22"/>
          <w:szCs w:val="22"/>
        </w:rPr>
      </w:pPr>
      <w:r w:rsidRPr="005A3BAB">
        <w:rPr>
          <w:b/>
          <w:bCs/>
          <w:sz w:val="22"/>
          <w:szCs w:val="22"/>
        </w:rPr>
        <w:t xml:space="preserve">Now What? </w:t>
      </w:r>
    </w:p>
    <w:p w14:paraId="475EDC91" w14:textId="58979038" w:rsidR="00511015" w:rsidRPr="005A3BAB" w:rsidRDefault="00511015" w:rsidP="00511015">
      <w:pPr>
        <w:rPr>
          <w:b/>
          <w:bCs/>
          <w:sz w:val="22"/>
          <w:szCs w:val="22"/>
        </w:rPr>
      </w:pPr>
      <w:r w:rsidRPr="005A3BAB">
        <w:rPr>
          <w:b/>
          <w:bCs/>
          <w:sz w:val="22"/>
          <w:szCs w:val="22"/>
        </w:rPr>
        <w:t>This is an instance of professional practice (Application to Professional Practice).</w:t>
      </w:r>
    </w:p>
    <w:p w14:paraId="1D407833" w14:textId="77777777" w:rsidR="00511015" w:rsidRPr="00511015" w:rsidRDefault="00511015" w:rsidP="00511015">
      <w:pPr>
        <w:rPr>
          <w:sz w:val="22"/>
          <w:szCs w:val="22"/>
        </w:rPr>
      </w:pPr>
      <w:r w:rsidRPr="00511015">
        <w:rPr>
          <w:sz w:val="22"/>
          <w:szCs w:val="22"/>
        </w:rPr>
        <w:t xml:space="preserve">As the process has been thought about, </w:t>
      </w:r>
      <w:proofErr w:type="gramStart"/>
      <w:r w:rsidRPr="00511015">
        <w:rPr>
          <w:sz w:val="22"/>
          <w:szCs w:val="22"/>
        </w:rPr>
        <w:t>it is clear that in</w:t>
      </w:r>
      <w:proofErr w:type="gramEnd"/>
      <w:r w:rsidRPr="00511015">
        <w:rPr>
          <w:sz w:val="22"/>
          <w:szCs w:val="22"/>
        </w:rPr>
        <w:t xml:space="preserve"> addition to convergent thinking, divergent thinking is important for creating innovation, while convergent is also important to take raw creativity and make it a realistic, safe health practice. For health and social care services where funding is in short supply, cognitive and practical skills are valuable and need </w:t>
      </w:r>
      <w:r w:rsidRPr="00511015">
        <w:rPr>
          <w:sz w:val="22"/>
          <w:szCs w:val="22"/>
        </w:rPr>
        <w:lastRenderedPageBreak/>
        <w:t>to be mastered to create a resourceful, cost-effective, and practical solution, whilst maintaining the safety of the service user.</w:t>
      </w:r>
    </w:p>
    <w:p w14:paraId="4D5007FB" w14:textId="77777777" w:rsidR="00511015" w:rsidRPr="00511015" w:rsidRDefault="00511015" w:rsidP="00511015">
      <w:pPr>
        <w:rPr>
          <w:sz w:val="22"/>
          <w:szCs w:val="22"/>
        </w:rPr>
      </w:pPr>
    </w:p>
    <w:p w14:paraId="7B8C17AB" w14:textId="4949EB2A" w:rsidR="00511015" w:rsidRPr="005A3BAB" w:rsidRDefault="00511015" w:rsidP="00511015">
      <w:pPr>
        <w:pStyle w:val="ListParagraph"/>
        <w:numPr>
          <w:ilvl w:val="0"/>
          <w:numId w:val="2"/>
        </w:numPr>
        <w:rPr>
          <w:b/>
          <w:bCs/>
          <w:sz w:val="22"/>
          <w:szCs w:val="22"/>
        </w:rPr>
      </w:pPr>
      <w:r w:rsidRPr="005A3BAB">
        <w:rPr>
          <w:b/>
          <w:bCs/>
          <w:sz w:val="22"/>
          <w:szCs w:val="22"/>
        </w:rPr>
        <w:t>Case studies of an innovation in the UK.</w:t>
      </w:r>
    </w:p>
    <w:p w14:paraId="12DFFED7" w14:textId="0D3049FC" w:rsidR="00511015" w:rsidRPr="003970E4" w:rsidRDefault="00100D3F" w:rsidP="0012733F">
      <w:pPr>
        <w:rPr>
          <w:rFonts w:cstheme="minorHAnsi"/>
          <w:sz w:val="22"/>
          <w:szCs w:val="22"/>
        </w:rPr>
      </w:pPr>
      <w:r w:rsidRPr="003970E4">
        <w:rPr>
          <w:rStyle w:val="cursor-pointer"/>
          <w:rFonts w:eastAsia="Times New Roman" w:cstheme="minorHAnsi"/>
          <w:sz w:val="22"/>
          <w:szCs w:val="22"/>
        </w:rPr>
        <w:t>The move to 'Dementia Friendly Environments' in NHS care facilities is a significant shift from the medicalized environment to a more considerate and creative approach to designing environments.</w:t>
      </w:r>
      <w:r w:rsidRPr="003970E4">
        <w:rPr>
          <w:rFonts w:eastAsia="Times New Roman" w:cstheme="minorHAnsi"/>
          <w:sz w:val="22"/>
          <w:szCs w:val="22"/>
        </w:rPr>
        <w:t xml:space="preserve"> </w:t>
      </w:r>
      <w:r w:rsidRPr="003970E4">
        <w:rPr>
          <w:rStyle w:val="cursor-pointer"/>
          <w:rFonts w:eastAsia="Times New Roman" w:cstheme="minorHAnsi"/>
          <w:sz w:val="22"/>
          <w:szCs w:val="22"/>
        </w:rPr>
        <w:t>These areas are actively addressing spatial disorientation and fall risk for vulnerable groups with use of various visual cues, colour coded zoning and specific sensory modification.</w:t>
      </w:r>
      <w:r w:rsidRPr="003970E4">
        <w:rPr>
          <w:rFonts w:eastAsia="Times New Roman" w:cstheme="minorHAnsi"/>
          <w:sz w:val="22"/>
          <w:szCs w:val="22"/>
        </w:rPr>
        <w:t xml:space="preserve"> </w:t>
      </w:r>
      <w:r w:rsidRPr="003970E4">
        <w:rPr>
          <w:rStyle w:val="cursor-pointer"/>
          <w:rFonts w:eastAsia="Times New Roman" w:cstheme="minorHAnsi"/>
          <w:sz w:val="22"/>
          <w:szCs w:val="22"/>
        </w:rPr>
        <w:t xml:space="preserve">For example, the use of high contrast </w:t>
      </w:r>
      <w:proofErr w:type="spellStart"/>
      <w:r w:rsidRPr="003970E4">
        <w:rPr>
          <w:rStyle w:val="cursor-pointer"/>
          <w:rFonts w:eastAsia="Times New Roman" w:cstheme="minorHAnsi"/>
          <w:sz w:val="22"/>
          <w:szCs w:val="22"/>
        </w:rPr>
        <w:t>colors</w:t>
      </w:r>
      <w:proofErr w:type="spellEnd"/>
      <w:r w:rsidRPr="003970E4">
        <w:rPr>
          <w:rStyle w:val="cursor-pointer"/>
          <w:rFonts w:eastAsia="Times New Roman" w:cstheme="minorHAnsi"/>
          <w:sz w:val="22"/>
          <w:szCs w:val="22"/>
        </w:rPr>
        <w:t xml:space="preserve"> on handrails, bathroom doors can help a patient navigate through the space without assistance, whereas matte flooring prevents depth perception which can lead to catastrophic falls.</w:t>
      </w:r>
    </w:p>
    <w:p w14:paraId="46ABA5D2" w14:textId="203CF4AE" w:rsidR="00460D1D" w:rsidRDefault="00EB7134" w:rsidP="0012733F">
      <w:pPr>
        <w:rPr>
          <w:b/>
          <w:bCs/>
          <w:sz w:val="22"/>
          <w:szCs w:val="22"/>
        </w:rPr>
      </w:pPr>
      <w:r>
        <w:rPr>
          <w:b/>
          <w:bCs/>
          <w:sz w:val="22"/>
          <w:szCs w:val="22"/>
        </w:rPr>
        <w:t xml:space="preserve">Analysis of Technical </w:t>
      </w:r>
      <w:r w:rsidR="004F0E15">
        <w:rPr>
          <w:b/>
          <w:bCs/>
          <w:sz w:val="22"/>
          <w:szCs w:val="22"/>
        </w:rPr>
        <w:t>Value and Clinical Impact</w:t>
      </w:r>
    </w:p>
    <w:p w14:paraId="18EAEDB8" w14:textId="2F782477" w:rsidR="004F0E15" w:rsidRDefault="002E794F" w:rsidP="0012733F">
      <w:pPr>
        <w:rPr>
          <w:sz w:val="22"/>
          <w:szCs w:val="22"/>
        </w:rPr>
      </w:pPr>
      <w:r>
        <w:rPr>
          <w:sz w:val="22"/>
          <w:szCs w:val="22"/>
        </w:rPr>
        <w:t xml:space="preserve">The Care Quality Commission (2021) have reported that enhancing the physical environment of the care setting is an effective non-pharmacological intervention which could positively influence patient security and the dignity of the patient. This design method provides technical value by minimising the environmental triggers that could induce behaviour that may cause distress to an individual, as well as making the frontline staff clinical process easier. Patients are more likely to be calm and oriented when they are not experiencing aggressive outbursts and clinical staff can focus more effort on proactively providing care instead of conducting crisis management.  </w:t>
      </w:r>
    </w:p>
    <w:p w14:paraId="57E651E6" w14:textId="4A15781C" w:rsidR="002E794F" w:rsidRDefault="00B060A5" w:rsidP="0012733F">
      <w:pPr>
        <w:rPr>
          <w:b/>
          <w:bCs/>
          <w:sz w:val="22"/>
          <w:szCs w:val="22"/>
        </w:rPr>
      </w:pPr>
      <w:r>
        <w:rPr>
          <w:b/>
          <w:bCs/>
          <w:sz w:val="22"/>
          <w:szCs w:val="22"/>
        </w:rPr>
        <w:t>Systemic and Allocative Value Assessment</w:t>
      </w:r>
    </w:p>
    <w:p w14:paraId="202E7570" w14:textId="2598BFEA" w:rsidR="003D4F67" w:rsidRDefault="003D4F67" w:rsidP="0012733F">
      <w:pPr>
        <w:rPr>
          <w:sz w:val="22"/>
          <w:szCs w:val="22"/>
        </w:rPr>
      </w:pPr>
      <w:r>
        <w:rPr>
          <w:sz w:val="22"/>
          <w:szCs w:val="22"/>
        </w:rPr>
        <w:t xml:space="preserve">However, these creative environments extend beyond the immediate clinical </w:t>
      </w:r>
      <w:proofErr w:type="gramStart"/>
      <w:r>
        <w:rPr>
          <w:sz w:val="22"/>
          <w:szCs w:val="22"/>
        </w:rPr>
        <w:t>outcomes, and</w:t>
      </w:r>
      <w:proofErr w:type="gramEnd"/>
      <w:r>
        <w:rPr>
          <w:sz w:val="22"/>
          <w:szCs w:val="22"/>
        </w:rPr>
        <w:t xml:space="preserve"> have systemic value throughout the wider health network. The King’s Fund (2020) </w:t>
      </w:r>
      <w:proofErr w:type="gramStart"/>
      <w:r>
        <w:rPr>
          <w:sz w:val="22"/>
          <w:szCs w:val="22"/>
        </w:rPr>
        <w:t>have</w:t>
      </w:r>
      <w:proofErr w:type="gramEnd"/>
      <w:r>
        <w:rPr>
          <w:sz w:val="22"/>
          <w:szCs w:val="22"/>
        </w:rPr>
        <w:t xml:space="preserve"> identified that there are significant allocative benefits to be achieved from strategic capital investment in dementia friendly architecture including reductions in length of hospital stay and re-admission. Where the hospital ward is actively minimising stressors, there are fewer secondary stresses such as delirium or physical </w:t>
      </w:r>
      <w:proofErr w:type="gramStart"/>
      <w:r>
        <w:rPr>
          <w:sz w:val="22"/>
          <w:szCs w:val="22"/>
        </w:rPr>
        <w:t>trauma</w:t>
      </w:r>
      <w:proofErr w:type="gramEnd"/>
      <w:r>
        <w:rPr>
          <w:sz w:val="22"/>
          <w:szCs w:val="22"/>
        </w:rPr>
        <w:t xml:space="preserve"> and this has a direct impact on the speed of discharge pathways.</w:t>
      </w:r>
    </w:p>
    <w:p w14:paraId="5FF255A7" w14:textId="659DFFDE" w:rsidR="003D4F67" w:rsidRDefault="00DC4749" w:rsidP="0012733F">
      <w:pPr>
        <w:rPr>
          <w:b/>
          <w:bCs/>
          <w:sz w:val="22"/>
          <w:szCs w:val="22"/>
        </w:rPr>
      </w:pPr>
      <w:r>
        <w:rPr>
          <w:b/>
          <w:bCs/>
          <w:sz w:val="22"/>
          <w:szCs w:val="22"/>
        </w:rPr>
        <w:t xml:space="preserve">Alignment with </w:t>
      </w:r>
      <w:r w:rsidR="00A91C4E">
        <w:rPr>
          <w:b/>
          <w:bCs/>
          <w:sz w:val="22"/>
          <w:szCs w:val="22"/>
        </w:rPr>
        <w:t xml:space="preserve">Value Maximization Frameworks </w:t>
      </w:r>
    </w:p>
    <w:p w14:paraId="02AA69D4" w14:textId="415DA18F" w:rsidR="00A91C4E" w:rsidRDefault="00C3026C" w:rsidP="0012733F">
      <w:pPr>
        <w:rPr>
          <w:sz w:val="22"/>
          <w:szCs w:val="22"/>
        </w:rPr>
      </w:pPr>
      <w:r>
        <w:rPr>
          <w:sz w:val="22"/>
          <w:szCs w:val="22"/>
        </w:rPr>
        <w:t>The principles of design can be applied in ways that make organizational spaces health-care active assets that foster patient relationships, combining the creative aspect of design with the structure of clinical goals. Such optimization of clinical safety and fiscal efficiency, in fact, demonstrates the inventive approaches taken to social care settings to achieve Porter’s traditional metrics of value maximization, and sustainable care delivery. Finally, it demonstrates that creativity in architecture is not just a style, it is also the heart of systemic health care system change.</w:t>
      </w:r>
    </w:p>
    <w:p w14:paraId="1DE8524D" w14:textId="77777777" w:rsidR="00C3026C" w:rsidRPr="00A91C4E" w:rsidRDefault="00C3026C" w:rsidP="0012733F">
      <w:pPr>
        <w:rPr>
          <w:sz w:val="22"/>
          <w:szCs w:val="22"/>
        </w:rPr>
      </w:pPr>
    </w:p>
    <w:p w14:paraId="0E427FE1" w14:textId="132F702A" w:rsidR="001F7080" w:rsidRPr="00553BD6" w:rsidRDefault="001F7080" w:rsidP="0057791D">
      <w:pPr>
        <w:pStyle w:val="ListParagraph"/>
        <w:numPr>
          <w:ilvl w:val="0"/>
          <w:numId w:val="2"/>
        </w:numPr>
        <w:rPr>
          <w:b/>
          <w:bCs/>
          <w:sz w:val="22"/>
          <w:szCs w:val="22"/>
        </w:rPr>
      </w:pPr>
      <w:r w:rsidRPr="00553BD6">
        <w:rPr>
          <w:b/>
          <w:bCs/>
          <w:sz w:val="22"/>
          <w:szCs w:val="22"/>
        </w:rPr>
        <w:t>Research Task</w:t>
      </w:r>
    </w:p>
    <w:p w14:paraId="2830939C" w14:textId="008CA29F" w:rsidR="001F7080" w:rsidRDefault="001F7080" w:rsidP="00E807E2">
      <w:pPr>
        <w:rPr>
          <w:sz w:val="22"/>
          <w:szCs w:val="22"/>
        </w:rPr>
      </w:pPr>
      <w:r>
        <w:rPr>
          <w:sz w:val="22"/>
          <w:szCs w:val="22"/>
        </w:rPr>
        <w:t xml:space="preserve">Achieving equitable access to health and social care for the vulnerable, especially those with multiple cognitive or psychological needs, is a key challenge for today’s health and social care context. Frontline health delivery models, however, lack the ability to reach </w:t>
      </w:r>
      <w:r>
        <w:rPr>
          <w:sz w:val="22"/>
          <w:szCs w:val="22"/>
        </w:rPr>
        <w:lastRenderedPageBreak/>
        <w:t xml:space="preserve">marginalized groups, </w:t>
      </w:r>
      <w:proofErr w:type="gramStart"/>
      <w:r>
        <w:rPr>
          <w:sz w:val="22"/>
          <w:szCs w:val="22"/>
        </w:rPr>
        <w:t>as a result of</w:t>
      </w:r>
      <w:proofErr w:type="gramEnd"/>
      <w:r>
        <w:rPr>
          <w:sz w:val="22"/>
          <w:szCs w:val="22"/>
        </w:rPr>
        <w:t xml:space="preserve"> a lack of engaging the community directly, while strains and difficulties on the macroeconomic level continuously destroy public well-being due to its cost of living. This task </w:t>
      </w:r>
      <w:proofErr w:type="spellStart"/>
      <w:r>
        <w:rPr>
          <w:sz w:val="22"/>
          <w:szCs w:val="22"/>
        </w:rPr>
        <w:t>analyzes</w:t>
      </w:r>
      <w:proofErr w:type="spellEnd"/>
      <w:r>
        <w:rPr>
          <w:sz w:val="22"/>
          <w:szCs w:val="22"/>
        </w:rPr>
        <w:t xml:space="preserve"> two academic sources to gain understanding of the barriers faced by vulnerable communities to accessing public health initiatives.  </w:t>
      </w:r>
    </w:p>
    <w:p w14:paraId="6A9B9C57" w14:textId="0574A1EE" w:rsidR="001F7080" w:rsidRPr="00553BD6" w:rsidRDefault="001F7080" w:rsidP="00E807E2">
      <w:pPr>
        <w:rPr>
          <w:b/>
          <w:bCs/>
          <w:sz w:val="22"/>
          <w:szCs w:val="22"/>
        </w:rPr>
      </w:pPr>
      <w:r w:rsidRPr="00553BD6">
        <w:rPr>
          <w:b/>
          <w:bCs/>
          <w:sz w:val="22"/>
          <w:szCs w:val="22"/>
        </w:rPr>
        <w:t>Article 1</w:t>
      </w:r>
    </w:p>
    <w:p w14:paraId="6EC9992F" w14:textId="00597625" w:rsidR="001F7080" w:rsidRDefault="001F7080" w:rsidP="00E807E2">
      <w:pPr>
        <w:rPr>
          <w:sz w:val="22"/>
          <w:szCs w:val="22"/>
        </w:rPr>
      </w:pPr>
      <w:proofErr w:type="spellStart"/>
      <w:r>
        <w:rPr>
          <w:sz w:val="22"/>
          <w:szCs w:val="22"/>
        </w:rPr>
        <w:t>Geense</w:t>
      </w:r>
      <w:proofErr w:type="spellEnd"/>
      <w:r>
        <w:rPr>
          <w:sz w:val="22"/>
          <w:szCs w:val="22"/>
        </w:rPr>
        <w:t xml:space="preserve"> et al. (2013) investigated specific barriers, facilitators and underlying professional attitudes affecting health promotion in primary care. The researchers highlighted that although practitioners are aware of the theoretical significance of preventative advocacy, a gap exists in service delivery with regards to sending structural messages to marginalized and vulnerable patient groups. Primary care contexts are constrained by operating in a fixed environment, no specialist training to address the multi-faceted vulnerabilities of communities, and inflexible time limits. Because of this, vulnerable individuals with complex physical and/or cognitive needs are often left out of proactive health promotion because providers don’t have the resources to tailor clinical care to their needs.  </w:t>
      </w:r>
    </w:p>
    <w:p w14:paraId="47068946" w14:textId="7C527CC1" w:rsidR="001F7080" w:rsidRPr="00553BD6" w:rsidRDefault="001F7080" w:rsidP="00E807E2">
      <w:pPr>
        <w:rPr>
          <w:b/>
          <w:bCs/>
          <w:sz w:val="22"/>
          <w:szCs w:val="22"/>
        </w:rPr>
      </w:pPr>
      <w:r w:rsidRPr="00553BD6">
        <w:rPr>
          <w:b/>
          <w:bCs/>
          <w:sz w:val="22"/>
          <w:szCs w:val="22"/>
        </w:rPr>
        <w:t>Article 2</w:t>
      </w:r>
    </w:p>
    <w:p w14:paraId="60CD1D2B" w14:textId="77777777" w:rsidR="001F7080" w:rsidRDefault="001F7080" w:rsidP="00E807E2">
      <w:pPr>
        <w:rPr>
          <w:sz w:val="22"/>
          <w:szCs w:val="22"/>
        </w:rPr>
      </w:pPr>
      <w:r>
        <w:rPr>
          <w:sz w:val="22"/>
          <w:szCs w:val="22"/>
        </w:rPr>
        <w:t xml:space="preserve">Rice and Atkin (2009) examined the key design elements for effective public communication and advocacy campaigns. They have found that public health campaigns often are not successful in reaching targeted groups and communities, as the structure of the campaign is designed around general communications and not targeted efforts. If communicational approaches are not planned to suit the socio-environmental context and literacy of the target groups, campaigns cannot address individual psychological obstacles or the mistrust of institutions and lack engagement of vulnerable groups from critical health services.  </w:t>
      </w:r>
    </w:p>
    <w:p w14:paraId="37E4D330" w14:textId="0877247B" w:rsidR="001F7080" w:rsidRPr="00553BD6" w:rsidRDefault="001F7080" w:rsidP="00E807E2">
      <w:pPr>
        <w:rPr>
          <w:b/>
          <w:bCs/>
          <w:sz w:val="22"/>
          <w:szCs w:val="22"/>
        </w:rPr>
      </w:pPr>
      <w:r w:rsidRPr="00553BD6">
        <w:rPr>
          <w:b/>
          <w:bCs/>
          <w:sz w:val="22"/>
          <w:szCs w:val="22"/>
        </w:rPr>
        <w:t>Conclusion</w:t>
      </w:r>
    </w:p>
    <w:p w14:paraId="6086A6BC" w14:textId="77777777" w:rsidR="001F7080" w:rsidRDefault="001F7080" w:rsidP="00E807E2">
      <w:pPr>
        <w:rPr>
          <w:sz w:val="22"/>
          <w:szCs w:val="22"/>
        </w:rPr>
      </w:pPr>
      <w:r>
        <w:rPr>
          <w:sz w:val="22"/>
          <w:szCs w:val="22"/>
        </w:rPr>
        <w:t>To conclude, these articles illustrate the need to intentionally re-imagine health campaigns for closing the health equity gap. All organizations need to shift from generic messaging to specifically proactively tackling barriers to frontline care, while creating inclusive communication pathways that align to and reflect the lived experiences of vulnerable populations.</w:t>
      </w:r>
    </w:p>
    <w:p w14:paraId="3CB2EFC3" w14:textId="30959E74" w:rsidR="001F7080" w:rsidRPr="008741FB" w:rsidRDefault="00E54D67" w:rsidP="00E54D67">
      <w:pPr>
        <w:pStyle w:val="ListParagraph"/>
        <w:numPr>
          <w:ilvl w:val="0"/>
          <w:numId w:val="2"/>
        </w:numPr>
        <w:rPr>
          <w:b/>
          <w:bCs/>
          <w:sz w:val="22"/>
          <w:szCs w:val="22"/>
        </w:rPr>
      </w:pPr>
      <w:r w:rsidRPr="00553BD6">
        <w:rPr>
          <w:b/>
          <w:bCs/>
          <w:sz w:val="22"/>
          <w:szCs w:val="22"/>
        </w:rPr>
        <w:t>Podcast</w:t>
      </w:r>
    </w:p>
    <w:p w14:paraId="6C52AA32" w14:textId="4FFA174B" w:rsidR="00553BD6" w:rsidRDefault="0047319F" w:rsidP="00E54D67">
      <w:pPr>
        <w:rPr>
          <w:sz w:val="22"/>
          <w:szCs w:val="22"/>
        </w:rPr>
      </w:pPr>
      <w:r>
        <w:rPr>
          <w:sz w:val="22"/>
          <w:szCs w:val="22"/>
        </w:rPr>
        <w:object w:dxaOrig="2616" w:dyaOrig="816" w14:anchorId="6A882F7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30.8pt;height:40.8pt" o:ole="">
            <v:imagedata r:id="rId5" o:title=""/>
          </v:shape>
          <o:OLEObject Type="Embed" ProgID="Package" ShapeID="_x0000_i1029" DrawAspect="Content" ObjectID="_1844612756" r:id="rId6"/>
        </w:object>
      </w:r>
    </w:p>
    <w:p w14:paraId="6CDB8533" w14:textId="77777777" w:rsidR="008741FB" w:rsidRPr="00E54D67" w:rsidRDefault="008741FB" w:rsidP="00E54D67">
      <w:pPr>
        <w:rPr>
          <w:sz w:val="22"/>
          <w:szCs w:val="22"/>
        </w:rPr>
      </w:pPr>
    </w:p>
    <w:p w14:paraId="0A5C2116" w14:textId="59F8DF1C" w:rsidR="001F7080" w:rsidRPr="0058779F" w:rsidRDefault="001F7080" w:rsidP="00511015">
      <w:pPr>
        <w:pStyle w:val="ListParagraph"/>
        <w:numPr>
          <w:ilvl w:val="0"/>
          <w:numId w:val="2"/>
        </w:numPr>
        <w:rPr>
          <w:b/>
          <w:bCs/>
          <w:sz w:val="22"/>
          <w:szCs w:val="22"/>
        </w:rPr>
      </w:pPr>
      <w:r w:rsidRPr="0058779F">
        <w:rPr>
          <w:b/>
          <w:bCs/>
          <w:sz w:val="22"/>
          <w:szCs w:val="22"/>
        </w:rPr>
        <w:t>A framework of analysis for NHS leadership</w:t>
      </w:r>
    </w:p>
    <w:p w14:paraId="0B6E09E2" w14:textId="77777777" w:rsidR="001F7080" w:rsidRDefault="001F7080" w:rsidP="00D244F5">
      <w:pPr>
        <w:rPr>
          <w:sz w:val="22"/>
          <w:szCs w:val="22"/>
        </w:rPr>
      </w:pPr>
      <w:r>
        <w:rPr>
          <w:sz w:val="22"/>
          <w:szCs w:val="22"/>
        </w:rPr>
        <w:t xml:space="preserve">The NHS Leadership Framework is a base line model that aims to provide an effective structure for safe, quality and person-centred care to be provided across the UK by the application of effective leadership behaviours. It is organized around seven inter-related key domains of Demonstrating Personal Qualities, Working with Others, Managing Services, Improving Services, Setting Direction, Creating the Vision and Delivering Strategy.  </w:t>
      </w:r>
    </w:p>
    <w:p w14:paraId="177DE21E" w14:textId="77777777" w:rsidR="001F7080" w:rsidRDefault="001F7080" w:rsidP="001F46C6">
      <w:pPr>
        <w:rPr>
          <w:sz w:val="22"/>
          <w:szCs w:val="22"/>
        </w:rPr>
      </w:pPr>
      <w:r>
        <w:rPr>
          <w:sz w:val="22"/>
          <w:szCs w:val="22"/>
        </w:rPr>
        <w:t xml:space="preserve">These domains create clear expectations for professionals to cultivate greater awareness of themselves, build robust, cohesive networks, be effective in the management of limited </w:t>
      </w:r>
      <w:r>
        <w:rPr>
          <w:sz w:val="22"/>
          <w:szCs w:val="22"/>
        </w:rPr>
        <w:lastRenderedPageBreak/>
        <w:t xml:space="preserve">resources, and support ongoing clinical change. The way NHS services are led and managed in England is shifting from a decentralized model to a centralized one through the Department of Health and Social Care (DHSC), but the behavioural characteristics of NHS leadership continue to be an important building block in supporting accountability and trust within the workplace.  </w:t>
      </w:r>
    </w:p>
    <w:p w14:paraId="53586985" w14:textId="3DEB1667" w:rsidR="001F7080" w:rsidRPr="009E597D" w:rsidRDefault="001F7080" w:rsidP="001F46C6">
      <w:pPr>
        <w:rPr>
          <w:b/>
          <w:bCs/>
          <w:sz w:val="22"/>
          <w:szCs w:val="22"/>
        </w:rPr>
      </w:pPr>
      <w:r w:rsidRPr="009E597D">
        <w:rPr>
          <w:b/>
          <w:bCs/>
          <w:sz w:val="22"/>
          <w:szCs w:val="22"/>
        </w:rPr>
        <w:t xml:space="preserve">The </w:t>
      </w:r>
      <w:r w:rsidR="009E597D" w:rsidRPr="009E597D">
        <w:rPr>
          <w:b/>
          <w:bCs/>
          <w:sz w:val="22"/>
          <w:szCs w:val="22"/>
        </w:rPr>
        <w:t>Application</w:t>
      </w:r>
      <w:r w:rsidRPr="009E597D">
        <w:rPr>
          <w:b/>
          <w:bCs/>
          <w:sz w:val="22"/>
          <w:szCs w:val="22"/>
        </w:rPr>
        <w:t xml:space="preserve"> of a selected component</w:t>
      </w:r>
    </w:p>
    <w:p w14:paraId="01D4FE3E" w14:textId="77777777" w:rsidR="001F7080" w:rsidRDefault="001F7080" w:rsidP="001F46C6">
      <w:pPr>
        <w:rPr>
          <w:sz w:val="22"/>
          <w:szCs w:val="22"/>
        </w:rPr>
      </w:pPr>
      <w:r>
        <w:rPr>
          <w:sz w:val="22"/>
          <w:szCs w:val="22"/>
        </w:rPr>
        <w:t xml:space="preserve">An advocacy-based leader should make a strong use of the Working with Others domain to encourage creativity and promote caring for others in the community. Relationship building is a key component of this, as are contributions from all team members, and developing a wide professional network.  </w:t>
      </w:r>
    </w:p>
    <w:p w14:paraId="632A4BB7" w14:textId="77777777" w:rsidR="001F7080" w:rsidRPr="00511015" w:rsidRDefault="001F7080" w:rsidP="001F46C6">
      <w:pPr>
        <w:rPr>
          <w:sz w:val="22"/>
          <w:szCs w:val="22"/>
        </w:rPr>
      </w:pPr>
      <w:r>
        <w:rPr>
          <w:sz w:val="22"/>
          <w:szCs w:val="22"/>
        </w:rPr>
        <w:t>True creative leadership has a mindset that sees each team member as a unique individual and that this means that different skills are needed to enable an innovative workplace culture, Amer (2017) stated. An open culture will encourage different suggestions from employees, which will help lower employee burnout and subsequently allow better job satisfaction. In practice, through this domain a clinical leader can facilitate multi-disciplinary teaming and involve local community groups into the processes. This co-Designing through collaboration enables the teams to create inclusive sensory optimised care spaces, which explicitly meet the needs of vulnerable groups.</w:t>
      </w:r>
    </w:p>
    <w:p w14:paraId="3A525E1E" w14:textId="77777777" w:rsidR="00460D1D" w:rsidRDefault="00460D1D" w:rsidP="0012733F">
      <w:pPr>
        <w:rPr>
          <w:sz w:val="22"/>
          <w:szCs w:val="22"/>
        </w:rPr>
      </w:pPr>
    </w:p>
    <w:p w14:paraId="501507A6" w14:textId="09F316D9" w:rsidR="005E2053" w:rsidRPr="009E597D" w:rsidRDefault="005E2053" w:rsidP="005E2053">
      <w:pPr>
        <w:pStyle w:val="ListParagraph"/>
        <w:numPr>
          <w:ilvl w:val="0"/>
          <w:numId w:val="2"/>
        </w:numPr>
        <w:rPr>
          <w:b/>
          <w:bCs/>
          <w:sz w:val="22"/>
          <w:szCs w:val="22"/>
        </w:rPr>
      </w:pPr>
      <w:r w:rsidRPr="009E597D">
        <w:rPr>
          <w:b/>
          <w:bCs/>
          <w:sz w:val="22"/>
          <w:szCs w:val="22"/>
        </w:rPr>
        <w:t>Self-Reflection Journal Entry</w:t>
      </w:r>
    </w:p>
    <w:p w14:paraId="51D33CFA" w14:textId="77777777" w:rsidR="005E2053" w:rsidRPr="005E2053" w:rsidRDefault="005E2053" w:rsidP="005E2053">
      <w:pPr>
        <w:rPr>
          <w:sz w:val="22"/>
          <w:szCs w:val="22"/>
        </w:rPr>
      </w:pPr>
      <w:r w:rsidRPr="005E2053">
        <w:rPr>
          <w:sz w:val="22"/>
          <w:szCs w:val="22"/>
        </w:rPr>
        <w:t xml:space="preserve">Prior to this module I had primarily thought of innovation as a technical or medical term, but not inclusive advocacy. I feel my thinking has changed completely because of BMHP5014 as I have come to understand that creativity is an essential method </w:t>
      </w:r>
      <w:proofErr w:type="gramStart"/>
      <w:r w:rsidRPr="005E2053">
        <w:rPr>
          <w:sz w:val="22"/>
          <w:szCs w:val="22"/>
        </w:rPr>
        <w:t>in order to</w:t>
      </w:r>
      <w:proofErr w:type="gramEnd"/>
      <w:r w:rsidRPr="005E2053">
        <w:rPr>
          <w:sz w:val="22"/>
          <w:szCs w:val="22"/>
        </w:rPr>
        <w:t xml:space="preserve"> address systemic inequalities and care barriers that people from vulnerable groups face in society. There is increasing demand for services and chronic worker shortages, making traditional and structured care environments unsustainable and ineffective.  </w:t>
      </w:r>
    </w:p>
    <w:p w14:paraId="78D1BEAB" w14:textId="2FD71C36" w:rsidR="005E2053" w:rsidRPr="005E2053" w:rsidRDefault="005E2053" w:rsidP="005E2053">
      <w:pPr>
        <w:rPr>
          <w:b/>
          <w:bCs/>
          <w:sz w:val="22"/>
          <w:szCs w:val="22"/>
        </w:rPr>
      </w:pPr>
      <w:r w:rsidRPr="005E2053">
        <w:rPr>
          <w:sz w:val="22"/>
          <w:szCs w:val="22"/>
        </w:rPr>
        <w:t xml:space="preserve">This course has helped me to develop my cognitive approach as I came to understand the value of engaging in a blend of divergent and convergent thinking, designing public health campaigns that are meaningful and human centred. Now I know that creating value is closely dependent on the cross-sector partnerships I can create. Building a strong network of relationships is vital to ensure that campaigns reach a larger audience, to share resources, and to develop strong trust within marginalized communities. My ongoing practice is informed by this knowledge forward. I will be dedicated to the application of transformational leadership </w:t>
      </w:r>
      <w:proofErr w:type="spellStart"/>
      <w:r w:rsidRPr="005E2053">
        <w:rPr>
          <w:sz w:val="22"/>
          <w:szCs w:val="22"/>
        </w:rPr>
        <w:t>behaviors</w:t>
      </w:r>
      <w:proofErr w:type="spellEnd"/>
      <w:r w:rsidRPr="005E2053">
        <w:rPr>
          <w:sz w:val="22"/>
          <w:szCs w:val="22"/>
        </w:rPr>
        <w:t xml:space="preserve"> to co-design environments that are accessible and sensory optimized, safeguard patients' dignity and foster health equity at a broader scale.</w:t>
      </w:r>
    </w:p>
    <w:p w14:paraId="414CD6AD" w14:textId="77777777" w:rsidR="00460D1D" w:rsidRDefault="00460D1D" w:rsidP="0012733F">
      <w:pPr>
        <w:rPr>
          <w:b/>
          <w:bCs/>
          <w:sz w:val="22"/>
          <w:szCs w:val="22"/>
        </w:rPr>
      </w:pPr>
    </w:p>
    <w:p w14:paraId="60FEFC1C" w14:textId="77777777" w:rsidR="00460D1D" w:rsidRDefault="00460D1D" w:rsidP="0012733F">
      <w:pPr>
        <w:rPr>
          <w:b/>
          <w:bCs/>
          <w:sz w:val="22"/>
          <w:szCs w:val="22"/>
        </w:rPr>
      </w:pPr>
    </w:p>
    <w:p w14:paraId="682ECFC1" w14:textId="77777777" w:rsidR="00460D1D" w:rsidRDefault="00460D1D" w:rsidP="0012733F">
      <w:pPr>
        <w:rPr>
          <w:b/>
          <w:bCs/>
          <w:sz w:val="22"/>
          <w:szCs w:val="22"/>
        </w:rPr>
      </w:pPr>
    </w:p>
    <w:p w14:paraId="70A09DB5" w14:textId="6536863E" w:rsidR="00460D1D" w:rsidRDefault="00460D1D" w:rsidP="0012733F">
      <w:pPr>
        <w:rPr>
          <w:b/>
          <w:bCs/>
          <w:sz w:val="22"/>
          <w:szCs w:val="22"/>
        </w:rPr>
      </w:pPr>
    </w:p>
    <w:p w14:paraId="78338448" w14:textId="19BB8A1C" w:rsidR="61801CF4" w:rsidRDefault="00460D1D" w:rsidP="61801CF4">
      <w:pPr>
        <w:rPr>
          <w:b/>
          <w:bCs/>
          <w:sz w:val="22"/>
          <w:szCs w:val="22"/>
        </w:rPr>
      </w:pPr>
      <w:r>
        <w:rPr>
          <w:b/>
          <w:bCs/>
          <w:sz w:val="22"/>
          <w:szCs w:val="22"/>
        </w:rPr>
        <w:t xml:space="preserve">References </w:t>
      </w:r>
    </w:p>
    <w:p w14:paraId="1FA2F696" w14:textId="77777777" w:rsidR="00BC17FD" w:rsidRDefault="00B6480B" w:rsidP="61801CF4">
      <w:pPr>
        <w:rPr>
          <w:sz w:val="22"/>
          <w:szCs w:val="22"/>
        </w:rPr>
      </w:pPr>
      <w:r>
        <w:rPr>
          <w:sz w:val="22"/>
          <w:szCs w:val="22"/>
        </w:rPr>
        <w:lastRenderedPageBreak/>
        <w:t>Amer, W.</w:t>
      </w:r>
      <w:r w:rsidR="00C21847">
        <w:rPr>
          <w:sz w:val="22"/>
          <w:szCs w:val="22"/>
        </w:rPr>
        <w:t xml:space="preserve"> (2017) </w:t>
      </w:r>
      <w:r w:rsidR="00C21847">
        <w:rPr>
          <w:i/>
          <w:iCs/>
          <w:sz w:val="22"/>
          <w:szCs w:val="22"/>
        </w:rPr>
        <w:t>The art of creative leadership.</w:t>
      </w:r>
      <w:r w:rsidR="00BC17FD">
        <w:rPr>
          <w:sz w:val="22"/>
          <w:szCs w:val="22"/>
        </w:rPr>
        <w:t xml:space="preserve"> Strategic Finance Magazine.</w:t>
      </w:r>
    </w:p>
    <w:p w14:paraId="45072D2F" w14:textId="63D93A6B" w:rsidR="00C21847" w:rsidRPr="00C21847" w:rsidRDefault="00C5292F" w:rsidP="61801CF4">
      <w:pPr>
        <w:rPr>
          <w:sz w:val="22"/>
          <w:szCs w:val="22"/>
        </w:rPr>
      </w:pPr>
      <w:hyperlink r:id="rId7" w:history="1">
        <w:r w:rsidRPr="008B2F18">
          <w:rPr>
            <w:rStyle w:val="Hyperlink"/>
            <w:sz w:val="22"/>
            <w:szCs w:val="22"/>
          </w:rPr>
          <w:t>https://sfmagazine.com/post-entry/june-2017-the-art-of-creative-leadership/</w:t>
        </w:r>
      </w:hyperlink>
    </w:p>
    <w:p w14:paraId="6246F0E4" w14:textId="6A558EDE" w:rsidR="00744327" w:rsidRDefault="00744327" w:rsidP="0012733F">
      <w:pPr>
        <w:rPr>
          <w:i/>
          <w:iCs/>
        </w:rPr>
      </w:pPr>
      <w:r>
        <w:rPr>
          <w:sz w:val="22"/>
          <w:szCs w:val="22"/>
        </w:rPr>
        <w:t>Care Quality Commission</w:t>
      </w:r>
      <w:r>
        <w:t xml:space="preserve"> (2021) </w:t>
      </w:r>
      <w:r>
        <w:rPr>
          <w:i/>
          <w:iCs/>
        </w:rPr>
        <w:t>Enabling Innovation and Adoption in Health and Social Care: Developing a Shared View.</w:t>
      </w:r>
    </w:p>
    <w:p w14:paraId="73C3E3B4" w14:textId="5D12E876" w:rsidR="003D29C9" w:rsidRDefault="003D29C9" w:rsidP="0012733F">
      <w:hyperlink r:id="rId8" w:history="1">
        <w:r w:rsidRPr="008B2F18">
          <w:rPr>
            <w:rStyle w:val="Hyperlink"/>
          </w:rPr>
          <w:t>https://www.cqc.org.uk/sites/default/files/20210208_InnovationPrinciples_report.pdf</w:t>
        </w:r>
      </w:hyperlink>
    </w:p>
    <w:p w14:paraId="5210E984" w14:textId="630C19CE" w:rsidR="00003CF8" w:rsidRDefault="00003CF8" w:rsidP="0012733F">
      <w:pPr>
        <w:rPr>
          <w:sz w:val="22"/>
          <w:szCs w:val="22"/>
        </w:rPr>
      </w:pPr>
      <w:r>
        <w:rPr>
          <w:sz w:val="22"/>
          <w:szCs w:val="22"/>
        </w:rPr>
        <w:t>Driscoll</w:t>
      </w:r>
      <w:r w:rsidR="00DF7A9F">
        <w:rPr>
          <w:sz w:val="22"/>
          <w:szCs w:val="22"/>
        </w:rPr>
        <w:t>, J. (ed.) (2007)</w:t>
      </w:r>
      <w:r w:rsidR="00DF7A9F" w:rsidRPr="0041312A">
        <w:rPr>
          <w:i/>
          <w:iCs/>
          <w:sz w:val="22"/>
          <w:szCs w:val="22"/>
        </w:rPr>
        <w:t xml:space="preserve"> </w:t>
      </w:r>
      <w:r w:rsidR="003B3956" w:rsidRPr="0041312A">
        <w:rPr>
          <w:i/>
          <w:iCs/>
          <w:sz w:val="22"/>
          <w:szCs w:val="22"/>
        </w:rPr>
        <w:t>Practicing Clinical</w:t>
      </w:r>
      <w:r w:rsidRPr="0041312A">
        <w:rPr>
          <w:i/>
          <w:iCs/>
          <w:sz w:val="22"/>
          <w:szCs w:val="22"/>
        </w:rPr>
        <w:t xml:space="preserve"> </w:t>
      </w:r>
      <w:r w:rsidR="0041312A" w:rsidRPr="0041312A">
        <w:rPr>
          <w:i/>
          <w:iCs/>
          <w:sz w:val="22"/>
          <w:szCs w:val="22"/>
        </w:rPr>
        <w:t>Supervision</w:t>
      </w:r>
      <w:r w:rsidR="00E46CCC">
        <w:rPr>
          <w:i/>
          <w:iCs/>
          <w:sz w:val="22"/>
          <w:szCs w:val="22"/>
        </w:rPr>
        <w:t xml:space="preserve">: A Reflective </w:t>
      </w:r>
      <w:r w:rsidR="00202DF8">
        <w:rPr>
          <w:i/>
          <w:iCs/>
          <w:sz w:val="22"/>
          <w:szCs w:val="22"/>
        </w:rPr>
        <w:t xml:space="preserve">Approach for Healthcare Professionals. </w:t>
      </w:r>
      <w:r w:rsidR="00202DF8">
        <w:rPr>
          <w:sz w:val="22"/>
          <w:szCs w:val="22"/>
        </w:rPr>
        <w:t>2</w:t>
      </w:r>
      <w:r w:rsidR="00202DF8" w:rsidRPr="00202DF8">
        <w:rPr>
          <w:sz w:val="22"/>
          <w:szCs w:val="22"/>
          <w:vertAlign w:val="superscript"/>
        </w:rPr>
        <w:t>nd</w:t>
      </w:r>
      <w:r w:rsidR="00202DF8">
        <w:rPr>
          <w:sz w:val="22"/>
          <w:szCs w:val="22"/>
        </w:rPr>
        <w:t xml:space="preserve"> </w:t>
      </w:r>
      <w:proofErr w:type="spellStart"/>
      <w:r w:rsidR="00202DF8">
        <w:rPr>
          <w:sz w:val="22"/>
          <w:szCs w:val="22"/>
        </w:rPr>
        <w:t>edn</w:t>
      </w:r>
      <w:proofErr w:type="spellEnd"/>
      <w:r w:rsidR="00202DF8">
        <w:rPr>
          <w:sz w:val="22"/>
          <w:szCs w:val="22"/>
        </w:rPr>
        <w:t>. Edinburgh: Elsevier.</w:t>
      </w:r>
    </w:p>
    <w:p w14:paraId="517807F8" w14:textId="40683831" w:rsidR="00541A58" w:rsidRPr="00541A58" w:rsidRDefault="00541A58" w:rsidP="0012733F">
      <w:pPr>
        <w:rPr>
          <w:sz w:val="22"/>
          <w:szCs w:val="22"/>
        </w:rPr>
      </w:pPr>
      <w:proofErr w:type="spellStart"/>
      <w:r>
        <w:rPr>
          <w:sz w:val="22"/>
          <w:szCs w:val="22"/>
        </w:rPr>
        <w:t>Franczukowska</w:t>
      </w:r>
      <w:proofErr w:type="spellEnd"/>
      <w:r>
        <w:rPr>
          <w:sz w:val="22"/>
          <w:szCs w:val="22"/>
        </w:rPr>
        <w:t xml:space="preserve">, A.A., </w:t>
      </w:r>
      <w:proofErr w:type="spellStart"/>
      <w:r>
        <w:rPr>
          <w:sz w:val="22"/>
          <w:szCs w:val="22"/>
        </w:rPr>
        <w:t>Krczal</w:t>
      </w:r>
      <w:proofErr w:type="spellEnd"/>
      <w:r>
        <w:rPr>
          <w:sz w:val="22"/>
          <w:szCs w:val="22"/>
        </w:rPr>
        <w:t xml:space="preserve">, E., Knapp, C. and Baumgartner, M. (2021) ‘Examining ethical leadership in health care organizations and its impacts on employee work attitudes: an empirical analysis from Austria’, </w:t>
      </w:r>
      <w:r>
        <w:rPr>
          <w:i/>
          <w:iCs/>
          <w:sz w:val="22"/>
          <w:szCs w:val="22"/>
        </w:rPr>
        <w:t xml:space="preserve">Leadership in Health Services, </w:t>
      </w:r>
      <w:r>
        <w:rPr>
          <w:sz w:val="22"/>
          <w:szCs w:val="22"/>
        </w:rPr>
        <w:t>34(3), pp. 229-247.</w:t>
      </w:r>
    </w:p>
    <w:p w14:paraId="1F34D739" w14:textId="216AED29" w:rsidR="002628CA" w:rsidRPr="00744327" w:rsidRDefault="002628CA" w:rsidP="0012733F">
      <w:proofErr w:type="spellStart"/>
      <w:r>
        <w:rPr>
          <w:sz w:val="22"/>
          <w:szCs w:val="22"/>
        </w:rPr>
        <w:t>Geense</w:t>
      </w:r>
      <w:proofErr w:type="spellEnd"/>
      <w:r>
        <w:rPr>
          <w:sz w:val="22"/>
          <w:szCs w:val="22"/>
        </w:rPr>
        <w:t xml:space="preserve">, W.W., van de </w:t>
      </w:r>
      <w:proofErr w:type="spellStart"/>
      <w:r>
        <w:rPr>
          <w:sz w:val="22"/>
          <w:szCs w:val="22"/>
        </w:rPr>
        <w:t>Glind</w:t>
      </w:r>
      <w:proofErr w:type="spellEnd"/>
      <w:r>
        <w:rPr>
          <w:sz w:val="22"/>
          <w:szCs w:val="22"/>
        </w:rPr>
        <w:t xml:space="preserve">, I., Visscher, T. and van Achterberg, T. (2013) ‘Barriers, facilitators and attitudes </w:t>
      </w:r>
      <w:r w:rsidR="007D5854">
        <w:rPr>
          <w:sz w:val="22"/>
          <w:szCs w:val="22"/>
        </w:rPr>
        <w:t>influencing health promotion activities in general practice: an explorative pilot study’</w:t>
      </w:r>
      <w:r w:rsidR="0084096B">
        <w:rPr>
          <w:sz w:val="22"/>
          <w:szCs w:val="22"/>
        </w:rPr>
        <w:t xml:space="preserve">, </w:t>
      </w:r>
      <w:r w:rsidR="0084096B">
        <w:rPr>
          <w:i/>
          <w:iCs/>
          <w:sz w:val="22"/>
          <w:szCs w:val="22"/>
        </w:rPr>
        <w:t>BMC Family Practice</w:t>
      </w:r>
      <w:r w:rsidR="00683352">
        <w:rPr>
          <w:i/>
          <w:iCs/>
          <w:sz w:val="22"/>
          <w:szCs w:val="22"/>
        </w:rPr>
        <w:t xml:space="preserve">, </w:t>
      </w:r>
      <w:r w:rsidR="00683352">
        <w:rPr>
          <w:sz w:val="22"/>
          <w:szCs w:val="22"/>
        </w:rPr>
        <w:t>14(20), pp. 1-10.</w:t>
      </w:r>
    </w:p>
    <w:p w14:paraId="161725E3" w14:textId="306D7CBB" w:rsidR="00FC7E02" w:rsidRDefault="00E619AE" w:rsidP="0012733F">
      <w:pPr>
        <w:rPr>
          <w:sz w:val="22"/>
          <w:szCs w:val="22"/>
        </w:rPr>
      </w:pPr>
      <w:r>
        <w:rPr>
          <w:sz w:val="22"/>
          <w:szCs w:val="22"/>
        </w:rPr>
        <w:t xml:space="preserve">Kaufman, J.C. and </w:t>
      </w:r>
      <w:proofErr w:type="spellStart"/>
      <w:r>
        <w:rPr>
          <w:sz w:val="22"/>
          <w:szCs w:val="22"/>
        </w:rPr>
        <w:t>Beghetto</w:t>
      </w:r>
      <w:proofErr w:type="spellEnd"/>
      <w:r>
        <w:rPr>
          <w:sz w:val="22"/>
          <w:szCs w:val="22"/>
        </w:rPr>
        <w:t xml:space="preserve">, R.A. (2009) ‘Beyond big and little: The </w:t>
      </w:r>
      <w:r w:rsidR="00D53715">
        <w:rPr>
          <w:sz w:val="22"/>
          <w:szCs w:val="22"/>
        </w:rPr>
        <w:t>F</w:t>
      </w:r>
      <w:r>
        <w:rPr>
          <w:sz w:val="22"/>
          <w:szCs w:val="22"/>
        </w:rPr>
        <w:t xml:space="preserve">our </w:t>
      </w:r>
      <w:r w:rsidR="00D53715">
        <w:rPr>
          <w:sz w:val="22"/>
          <w:szCs w:val="22"/>
        </w:rPr>
        <w:t>C M</w:t>
      </w:r>
      <w:r>
        <w:rPr>
          <w:sz w:val="22"/>
          <w:szCs w:val="22"/>
        </w:rPr>
        <w:t>od</w:t>
      </w:r>
      <w:r w:rsidR="00D53715">
        <w:rPr>
          <w:sz w:val="22"/>
          <w:szCs w:val="22"/>
        </w:rPr>
        <w:t>el of C</w:t>
      </w:r>
      <w:r>
        <w:rPr>
          <w:sz w:val="22"/>
          <w:szCs w:val="22"/>
        </w:rPr>
        <w:t xml:space="preserve">reativity’, </w:t>
      </w:r>
      <w:r>
        <w:rPr>
          <w:i/>
          <w:iCs/>
          <w:sz w:val="22"/>
          <w:szCs w:val="22"/>
        </w:rPr>
        <w:t xml:space="preserve">Review of General Psychology, </w:t>
      </w:r>
      <w:r>
        <w:rPr>
          <w:sz w:val="22"/>
          <w:szCs w:val="22"/>
        </w:rPr>
        <w:t>13(1)</w:t>
      </w:r>
      <w:r w:rsidR="00C3014C">
        <w:rPr>
          <w:sz w:val="22"/>
          <w:szCs w:val="22"/>
        </w:rPr>
        <w:t>, pp. 1-12.</w:t>
      </w:r>
    </w:p>
    <w:p w14:paraId="53555663" w14:textId="4271BB8E" w:rsidR="00D36637" w:rsidRDefault="00D36637" w:rsidP="0012733F">
      <w:pPr>
        <w:rPr>
          <w:sz w:val="22"/>
          <w:szCs w:val="22"/>
        </w:rPr>
      </w:pPr>
      <w:r>
        <w:rPr>
          <w:sz w:val="22"/>
          <w:szCs w:val="22"/>
        </w:rPr>
        <w:t xml:space="preserve">Li, X., Theisen, A., </w:t>
      </w:r>
      <w:r w:rsidR="00D72D5E">
        <w:rPr>
          <w:sz w:val="22"/>
          <w:szCs w:val="22"/>
        </w:rPr>
        <w:t xml:space="preserve">Seo, C. and Sibley, S.D. (2018) </w:t>
      </w:r>
      <w:r w:rsidR="00086A18">
        <w:rPr>
          <w:sz w:val="22"/>
          <w:szCs w:val="22"/>
        </w:rPr>
        <w:t>‘Resourcefulness</w:t>
      </w:r>
      <w:r w:rsidR="007F782B">
        <w:rPr>
          <w:sz w:val="22"/>
          <w:szCs w:val="22"/>
        </w:rPr>
        <w:t>: Current insights and</w:t>
      </w:r>
      <w:r w:rsidR="00086A18">
        <w:rPr>
          <w:sz w:val="22"/>
          <w:szCs w:val="22"/>
        </w:rPr>
        <w:t xml:space="preserve"> </w:t>
      </w:r>
      <w:r w:rsidR="008771EB">
        <w:rPr>
          <w:sz w:val="22"/>
          <w:szCs w:val="22"/>
        </w:rPr>
        <w:t xml:space="preserve">future directions </w:t>
      </w:r>
      <w:r w:rsidR="007D6B80">
        <w:rPr>
          <w:sz w:val="22"/>
          <w:szCs w:val="22"/>
        </w:rPr>
        <w:t xml:space="preserve">for family scholars </w:t>
      </w:r>
      <w:r w:rsidR="003427AB">
        <w:rPr>
          <w:sz w:val="22"/>
          <w:szCs w:val="22"/>
        </w:rPr>
        <w:t xml:space="preserve">and clinicians’, </w:t>
      </w:r>
      <w:r w:rsidR="003427AB">
        <w:rPr>
          <w:i/>
          <w:iCs/>
          <w:sz w:val="22"/>
          <w:szCs w:val="22"/>
        </w:rPr>
        <w:t>The Family Journal</w:t>
      </w:r>
      <w:r w:rsidR="003427AB">
        <w:rPr>
          <w:sz w:val="22"/>
          <w:szCs w:val="22"/>
        </w:rPr>
        <w:t>, 26(4)</w:t>
      </w:r>
      <w:r w:rsidR="004969B1">
        <w:rPr>
          <w:sz w:val="22"/>
          <w:szCs w:val="22"/>
        </w:rPr>
        <w:t xml:space="preserve">, pp. </w:t>
      </w:r>
      <w:r w:rsidR="008F3ECC">
        <w:rPr>
          <w:sz w:val="22"/>
          <w:szCs w:val="22"/>
        </w:rPr>
        <w:t>1-11.</w:t>
      </w:r>
    </w:p>
    <w:p w14:paraId="7835F234" w14:textId="1C6CF395" w:rsidR="00B06205" w:rsidRDefault="00B06205" w:rsidP="0012733F">
      <w:pPr>
        <w:rPr>
          <w:i/>
          <w:iCs/>
          <w:sz w:val="22"/>
          <w:szCs w:val="22"/>
        </w:rPr>
      </w:pPr>
      <w:r>
        <w:rPr>
          <w:sz w:val="22"/>
          <w:szCs w:val="22"/>
        </w:rPr>
        <w:t xml:space="preserve">NHS England (2019) </w:t>
      </w:r>
      <w:r>
        <w:rPr>
          <w:i/>
          <w:iCs/>
          <w:sz w:val="22"/>
          <w:szCs w:val="22"/>
        </w:rPr>
        <w:t>Dementia-friendly Health and Social Care Environments.</w:t>
      </w:r>
    </w:p>
    <w:p w14:paraId="37638749" w14:textId="7FDB2867" w:rsidR="00B06205" w:rsidRDefault="00E87951" w:rsidP="0012733F">
      <w:pPr>
        <w:rPr>
          <w:sz w:val="22"/>
          <w:szCs w:val="22"/>
        </w:rPr>
      </w:pPr>
      <w:hyperlink r:id="rId9" w:history="1">
        <w:r w:rsidRPr="008B2F18">
          <w:rPr>
            <w:rStyle w:val="Hyperlink"/>
            <w:sz w:val="22"/>
            <w:szCs w:val="22"/>
          </w:rPr>
          <w:t>https://www.england.nhs.uk/wp-content/uploads/2021/05/HBN_08-02-1.pdf</w:t>
        </w:r>
      </w:hyperlink>
    </w:p>
    <w:p w14:paraId="29F5A525" w14:textId="2F3FFC53" w:rsidR="00C3014C" w:rsidRDefault="00C3014C" w:rsidP="0012733F">
      <w:pPr>
        <w:rPr>
          <w:sz w:val="22"/>
          <w:szCs w:val="22"/>
        </w:rPr>
      </w:pPr>
      <w:r>
        <w:rPr>
          <w:sz w:val="22"/>
          <w:szCs w:val="22"/>
        </w:rPr>
        <w:t>Porter, M.E. (2010)</w:t>
      </w:r>
      <w:r w:rsidR="008417F9">
        <w:rPr>
          <w:sz w:val="22"/>
          <w:szCs w:val="22"/>
        </w:rPr>
        <w:t xml:space="preserve"> ‘What is value in health care?</w:t>
      </w:r>
      <w:r w:rsidR="0091476D">
        <w:rPr>
          <w:sz w:val="22"/>
          <w:szCs w:val="22"/>
        </w:rPr>
        <w:t xml:space="preserve">’, </w:t>
      </w:r>
      <w:r w:rsidR="0091476D">
        <w:rPr>
          <w:i/>
          <w:iCs/>
          <w:sz w:val="22"/>
          <w:szCs w:val="22"/>
        </w:rPr>
        <w:t xml:space="preserve">New England Journal of Medicine, </w:t>
      </w:r>
      <w:r w:rsidR="0091476D">
        <w:rPr>
          <w:sz w:val="22"/>
          <w:szCs w:val="22"/>
        </w:rPr>
        <w:t>363(26), pp. 2477-2481.</w:t>
      </w:r>
    </w:p>
    <w:p w14:paraId="0F5E98FE" w14:textId="3FC6857D" w:rsidR="0091476D" w:rsidRDefault="00F43970" w:rsidP="0012733F">
      <w:pPr>
        <w:rPr>
          <w:sz w:val="22"/>
          <w:szCs w:val="22"/>
        </w:rPr>
      </w:pPr>
      <w:r>
        <w:rPr>
          <w:sz w:val="22"/>
          <w:szCs w:val="22"/>
        </w:rPr>
        <w:t xml:space="preserve">Rice, R.E. and Atkin, C.K. (2009) ‘Public communication campaigns: Theoretical principles and practical applications’, in </w:t>
      </w:r>
      <w:proofErr w:type="spellStart"/>
      <w:r>
        <w:rPr>
          <w:i/>
          <w:iCs/>
          <w:sz w:val="22"/>
          <w:szCs w:val="22"/>
        </w:rPr>
        <w:t>eScholarship</w:t>
      </w:r>
      <w:proofErr w:type="spellEnd"/>
      <w:r>
        <w:rPr>
          <w:i/>
          <w:iCs/>
          <w:sz w:val="22"/>
          <w:szCs w:val="22"/>
        </w:rPr>
        <w:t xml:space="preserve">, </w:t>
      </w:r>
      <w:r>
        <w:rPr>
          <w:sz w:val="22"/>
          <w:szCs w:val="22"/>
        </w:rPr>
        <w:t>University of California.</w:t>
      </w:r>
    </w:p>
    <w:p w14:paraId="06AF1CA8" w14:textId="35F6797B" w:rsidR="00E71100" w:rsidRDefault="00E71100" w:rsidP="0012733F">
      <w:pPr>
        <w:rPr>
          <w:i/>
          <w:iCs/>
          <w:sz w:val="22"/>
          <w:szCs w:val="22"/>
        </w:rPr>
      </w:pPr>
      <w:r>
        <w:rPr>
          <w:sz w:val="22"/>
          <w:szCs w:val="22"/>
        </w:rPr>
        <w:t>The King’s Fund</w:t>
      </w:r>
      <w:r w:rsidR="00FB50BC">
        <w:rPr>
          <w:sz w:val="22"/>
          <w:szCs w:val="22"/>
        </w:rPr>
        <w:t xml:space="preserve"> (2020) </w:t>
      </w:r>
      <w:r w:rsidR="000555CD">
        <w:rPr>
          <w:i/>
          <w:iCs/>
          <w:sz w:val="22"/>
          <w:szCs w:val="22"/>
        </w:rPr>
        <w:t>Environments of care for people with dementia</w:t>
      </w:r>
      <w:r w:rsidR="00F97357">
        <w:rPr>
          <w:i/>
          <w:iCs/>
          <w:sz w:val="22"/>
          <w:szCs w:val="22"/>
        </w:rPr>
        <w:t xml:space="preserve">: EHE </w:t>
      </w:r>
      <w:r w:rsidR="00885675">
        <w:rPr>
          <w:i/>
          <w:iCs/>
          <w:sz w:val="22"/>
          <w:szCs w:val="22"/>
        </w:rPr>
        <w:t>environmental assessment tool</w:t>
      </w:r>
      <w:r w:rsidR="00790812">
        <w:rPr>
          <w:i/>
          <w:iCs/>
          <w:sz w:val="22"/>
          <w:szCs w:val="22"/>
        </w:rPr>
        <w:t>.</w:t>
      </w:r>
    </w:p>
    <w:p w14:paraId="34A0EB07" w14:textId="5F08713F" w:rsidR="00790812" w:rsidRDefault="009C55AE" w:rsidP="0012733F">
      <w:pPr>
        <w:rPr>
          <w:sz w:val="22"/>
          <w:szCs w:val="22"/>
        </w:rPr>
      </w:pPr>
      <w:hyperlink r:id="rId10" w:history="1">
        <w:r w:rsidRPr="00CA6478">
          <w:rPr>
            <w:rStyle w:val="Hyperlink"/>
            <w:sz w:val="22"/>
            <w:szCs w:val="22"/>
          </w:rPr>
          <w:t>https://www.kingsfund.org.uk/insight-and-analysis/articles/environments-care-people-dementia</w:t>
        </w:r>
      </w:hyperlink>
    </w:p>
    <w:p w14:paraId="12FD6F03" w14:textId="77777777" w:rsidR="009C55AE" w:rsidRPr="00790812" w:rsidRDefault="009C55AE" w:rsidP="0012733F">
      <w:pPr>
        <w:rPr>
          <w:sz w:val="22"/>
          <w:szCs w:val="22"/>
        </w:rPr>
      </w:pPr>
    </w:p>
    <w:p w14:paraId="1F316657" w14:textId="77777777" w:rsidR="00991A20" w:rsidRPr="00991A20" w:rsidRDefault="00991A20" w:rsidP="0012733F">
      <w:pPr>
        <w:rPr>
          <w:sz w:val="22"/>
          <w:szCs w:val="22"/>
        </w:rPr>
      </w:pPr>
    </w:p>
    <w:sectPr w:rsidR="00991A20" w:rsidRPr="00991A20">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DA2E03"/>
    <w:multiLevelType w:val="hybridMultilevel"/>
    <w:tmpl w:val="C57239B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B8F6015"/>
    <w:multiLevelType w:val="hybridMultilevel"/>
    <w:tmpl w:val="C57239B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191646262">
    <w:abstractNumId w:val="1"/>
  </w:num>
  <w:num w:numId="2" w16cid:durableId="19138573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BF230E5"/>
    <w:rsid w:val="00003CF8"/>
    <w:rsid w:val="00007A9E"/>
    <w:rsid w:val="00051328"/>
    <w:rsid w:val="000555CD"/>
    <w:rsid w:val="000613D3"/>
    <w:rsid w:val="00071A79"/>
    <w:rsid w:val="00073B69"/>
    <w:rsid w:val="00085B7B"/>
    <w:rsid w:val="00086A18"/>
    <w:rsid w:val="000925DC"/>
    <w:rsid w:val="000B36D6"/>
    <w:rsid w:val="000B4050"/>
    <w:rsid w:val="000C4F50"/>
    <w:rsid w:val="000E17A9"/>
    <w:rsid w:val="00100D3F"/>
    <w:rsid w:val="0012733F"/>
    <w:rsid w:val="001275A7"/>
    <w:rsid w:val="00177FB3"/>
    <w:rsid w:val="0019141F"/>
    <w:rsid w:val="00193438"/>
    <w:rsid w:val="001C6DD7"/>
    <w:rsid w:val="001E212F"/>
    <w:rsid w:val="001F0062"/>
    <w:rsid w:val="001F0D27"/>
    <w:rsid w:val="001F46C6"/>
    <w:rsid w:val="001F7080"/>
    <w:rsid w:val="00202DF8"/>
    <w:rsid w:val="00203A3F"/>
    <w:rsid w:val="00204F5F"/>
    <w:rsid w:val="00211594"/>
    <w:rsid w:val="00220523"/>
    <w:rsid w:val="00223604"/>
    <w:rsid w:val="002628CA"/>
    <w:rsid w:val="0027723D"/>
    <w:rsid w:val="002A05D0"/>
    <w:rsid w:val="002B3CB5"/>
    <w:rsid w:val="002C060C"/>
    <w:rsid w:val="002D03CD"/>
    <w:rsid w:val="002E794F"/>
    <w:rsid w:val="002F499B"/>
    <w:rsid w:val="00321203"/>
    <w:rsid w:val="00333CB7"/>
    <w:rsid w:val="003427AB"/>
    <w:rsid w:val="003772A5"/>
    <w:rsid w:val="00383EC1"/>
    <w:rsid w:val="003970E4"/>
    <w:rsid w:val="003B1B55"/>
    <w:rsid w:val="003B3956"/>
    <w:rsid w:val="003B7B8E"/>
    <w:rsid w:val="003C6C94"/>
    <w:rsid w:val="003D0074"/>
    <w:rsid w:val="003D29C9"/>
    <w:rsid w:val="003D4F67"/>
    <w:rsid w:val="0041312A"/>
    <w:rsid w:val="00416606"/>
    <w:rsid w:val="00430C98"/>
    <w:rsid w:val="0043652B"/>
    <w:rsid w:val="004402CF"/>
    <w:rsid w:val="00460D1D"/>
    <w:rsid w:val="00461EAD"/>
    <w:rsid w:val="004667E1"/>
    <w:rsid w:val="0047319F"/>
    <w:rsid w:val="004969B1"/>
    <w:rsid w:val="004D26DD"/>
    <w:rsid w:val="004D73AA"/>
    <w:rsid w:val="004F0E15"/>
    <w:rsid w:val="00500A22"/>
    <w:rsid w:val="00511015"/>
    <w:rsid w:val="00512E2C"/>
    <w:rsid w:val="00536F9C"/>
    <w:rsid w:val="00541A58"/>
    <w:rsid w:val="00553BD6"/>
    <w:rsid w:val="00556E11"/>
    <w:rsid w:val="0057791D"/>
    <w:rsid w:val="0058779F"/>
    <w:rsid w:val="005A3BAB"/>
    <w:rsid w:val="005A742B"/>
    <w:rsid w:val="005A7850"/>
    <w:rsid w:val="005E2053"/>
    <w:rsid w:val="005F0083"/>
    <w:rsid w:val="00606B56"/>
    <w:rsid w:val="00623D9B"/>
    <w:rsid w:val="006249C2"/>
    <w:rsid w:val="00634040"/>
    <w:rsid w:val="0065155F"/>
    <w:rsid w:val="00660573"/>
    <w:rsid w:val="00661FFD"/>
    <w:rsid w:val="00665D5B"/>
    <w:rsid w:val="00677652"/>
    <w:rsid w:val="0068054F"/>
    <w:rsid w:val="00683352"/>
    <w:rsid w:val="00692EE4"/>
    <w:rsid w:val="006F4D21"/>
    <w:rsid w:val="00744327"/>
    <w:rsid w:val="00775233"/>
    <w:rsid w:val="00790812"/>
    <w:rsid w:val="0079088F"/>
    <w:rsid w:val="007A08B8"/>
    <w:rsid w:val="007B7D10"/>
    <w:rsid w:val="007C3905"/>
    <w:rsid w:val="007D5854"/>
    <w:rsid w:val="007D6B80"/>
    <w:rsid w:val="007E66A4"/>
    <w:rsid w:val="007F782B"/>
    <w:rsid w:val="0080322D"/>
    <w:rsid w:val="00837CA1"/>
    <w:rsid w:val="0084096B"/>
    <w:rsid w:val="0084159E"/>
    <w:rsid w:val="008417F9"/>
    <w:rsid w:val="00842B24"/>
    <w:rsid w:val="00866E13"/>
    <w:rsid w:val="008741FB"/>
    <w:rsid w:val="008771EB"/>
    <w:rsid w:val="00885675"/>
    <w:rsid w:val="008951B6"/>
    <w:rsid w:val="008C010E"/>
    <w:rsid w:val="008E2352"/>
    <w:rsid w:val="008F3ECC"/>
    <w:rsid w:val="0091476D"/>
    <w:rsid w:val="00923175"/>
    <w:rsid w:val="009670A9"/>
    <w:rsid w:val="0097308B"/>
    <w:rsid w:val="0098141C"/>
    <w:rsid w:val="00991A20"/>
    <w:rsid w:val="009A5F9A"/>
    <w:rsid w:val="009C55AE"/>
    <w:rsid w:val="009E597D"/>
    <w:rsid w:val="00A15B56"/>
    <w:rsid w:val="00A4539A"/>
    <w:rsid w:val="00A55809"/>
    <w:rsid w:val="00A64D63"/>
    <w:rsid w:val="00A91C4E"/>
    <w:rsid w:val="00A94174"/>
    <w:rsid w:val="00A97A3D"/>
    <w:rsid w:val="00AB0D7B"/>
    <w:rsid w:val="00AB79D7"/>
    <w:rsid w:val="00AC737F"/>
    <w:rsid w:val="00AF4E08"/>
    <w:rsid w:val="00B060A5"/>
    <w:rsid w:val="00B06205"/>
    <w:rsid w:val="00B13036"/>
    <w:rsid w:val="00B14D00"/>
    <w:rsid w:val="00B24770"/>
    <w:rsid w:val="00B3067F"/>
    <w:rsid w:val="00B356A8"/>
    <w:rsid w:val="00B64380"/>
    <w:rsid w:val="00B6480B"/>
    <w:rsid w:val="00B7612E"/>
    <w:rsid w:val="00BB1B23"/>
    <w:rsid w:val="00BC17FD"/>
    <w:rsid w:val="00BC4A60"/>
    <w:rsid w:val="00C05A23"/>
    <w:rsid w:val="00C21847"/>
    <w:rsid w:val="00C27EBA"/>
    <w:rsid w:val="00C3014C"/>
    <w:rsid w:val="00C3026C"/>
    <w:rsid w:val="00C4135C"/>
    <w:rsid w:val="00C5292F"/>
    <w:rsid w:val="00C60D53"/>
    <w:rsid w:val="00C6232A"/>
    <w:rsid w:val="00C81D34"/>
    <w:rsid w:val="00CB4547"/>
    <w:rsid w:val="00D00FD2"/>
    <w:rsid w:val="00D20CA4"/>
    <w:rsid w:val="00D2160B"/>
    <w:rsid w:val="00D23DE4"/>
    <w:rsid w:val="00D243FB"/>
    <w:rsid w:val="00D244F5"/>
    <w:rsid w:val="00D36637"/>
    <w:rsid w:val="00D53715"/>
    <w:rsid w:val="00D72D5E"/>
    <w:rsid w:val="00DA6D8C"/>
    <w:rsid w:val="00DA7A4A"/>
    <w:rsid w:val="00DC0E4F"/>
    <w:rsid w:val="00DC4749"/>
    <w:rsid w:val="00DC60D2"/>
    <w:rsid w:val="00DF7A9F"/>
    <w:rsid w:val="00E1607E"/>
    <w:rsid w:val="00E46CCC"/>
    <w:rsid w:val="00E54B5E"/>
    <w:rsid w:val="00E54D67"/>
    <w:rsid w:val="00E60855"/>
    <w:rsid w:val="00E619AE"/>
    <w:rsid w:val="00E656FE"/>
    <w:rsid w:val="00E71100"/>
    <w:rsid w:val="00E772F6"/>
    <w:rsid w:val="00E807E2"/>
    <w:rsid w:val="00E87951"/>
    <w:rsid w:val="00EB7134"/>
    <w:rsid w:val="00ED198F"/>
    <w:rsid w:val="00EF55D2"/>
    <w:rsid w:val="00F123D7"/>
    <w:rsid w:val="00F23517"/>
    <w:rsid w:val="00F40D35"/>
    <w:rsid w:val="00F43970"/>
    <w:rsid w:val="00F97357"/>
    <w:rsid w:val="00FB3C9C"/>
    <w:rsid w:val="00FB50BC"/>
    <w:rsid w:val="00FC2A7C"/>
    <w:rsid w:val="00FC72EE"/>
    <w:rsid w:val="00FC7E02"/>
    <w:rsid w:val="0221495C"/>
    <w:rsid w:val="0240F8F0"/>
    <w:rsid w:val="0468D907"/>
    <w:rsid w:val="049F42CF"/>
    <w:rsid w:val="05D238D5"/>
    <w:rsid w:val="05D51026"/>
    <w:rsid w:val="07D76C1D"/>
    <w:rsid w:val="0AD7986C"/>
    <w:rsid w:val="10DA52BC"/>
    <w:rsid w:val="125DA783"/>
    <w:rsid w:val="13E3F31A"/>
    <w:rsid w:val="16888520"/>
    <w:rsid w:val="1740C23A"/>
    <w:rsid w:val="1BF230E5"/>
    <w:rsid w:val="1F848DFD"/>
    <w:rsid w:val="29C507D4"/>
    <w:rsid w:val="2C06230B"/>
    <w:rsid w:val="2CC0C275"/>
    <w:rsid w:val="36B9913A"/>
    <w:rsid w:val="3D4B120C"/>
    <w:rsid w:val="41D2613C"/>
    <w:rsid w:val="49912229"/>
    <w:rsid w:val="4DD5A7C8"/>
    <w:rsid w:val="4F6D6C0E"/>
    <w:rsid w:val="5001EB1C"/>
    <w:rsid w:val="507EF3DF"/>
    <w:rsid w:val="50F1BB96"/>
    <w:rsid w:val="5222B557"/>
    <w:rsid w:val="581DD770"/>
    <w:rsid w:val="58EFA7C8"/>
    <w:rsid w:val="5D4D910C"/>
    <w:rsid w:val="61801CF4"/>
    <w:rsid w:val="6D343DC9"/>
    <w:rsid w:val="741BF988"/>
    <w:rsid w:val="7D2FBAC6"/>
    <w:rsid w:val="7F3175D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3E1359"/>
  <w15:chartTrackingRefBased/>
  <w15:docId w15:val="{3433A817-4259-408D-952F-7AB84826DF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2733F"/>
    <w:pPr>
      <w:ind w:left="720"/>
      <w:contextualSpacing/>
    </w:pPr>
  </w:style>
  <w:style w:type="character" w:styleId="Hyperlink">
    <w:name w:val="Hyperlink"/>
    <w:basedOn w:val="DefaultParagraphFont"/>
    <w:uiPriority w:val="99"/>
    <w:unhideWhenUsed/>
    <w:rsid w:val="00007A9E"/>
    <w:rPr>
      <w:color w:val="467886" w:themeColor="hyperlink"/>
      <w:u w:val="single"/>
    </w:rPr>
  </w:style>
  <w:style w:type="character" w:styleId="UnresolvedMention">
    <w:name w:val="Unresolved Mention"/>
    <w:basedOn w:val="DefaultParagraphFont"/>
    <w:uiPriority w:val="99"/>
    <w:semiHidden/>
    <w:unhideWhenUsed/>
    <w:rsid w:val="00007A9E"/>
    <w:rPr>
      <w:color w:val="605E5C"/>
      <w:shd w:val="clear" w:color="auto" w:fill="E1DFDD"/>
    </w:rPr>
  </w:style>
  <w:style w:type="character" w:customStyle="1" w:styleId="cursor-pointer">
    <w:name w:val="cursor-pointer"/>
    <w:basedOn w:val="DefaultParagraphFont"/>
    <w:rsid w:val="00100D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qc.org.uk/sites/default/files/20210208_InnovationPrinciples_report.pdf" TargetMode="External"/><Relationship Id="rId3" Type="http://schemas.openxmlformats.org/officeDocument/2006/relationships/settings" Target="settings.xml"/><Relationship Id="rId7" Type="http://schemas.openxmlformats.org/officeDocument/2006/relationships/hyperlink" Target="https://sfmagazine.com/post-entry/june-2017-the-art-of-creative-leadership/"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fontTable" Target="fontTable.xml"/><Relationship Id="rId5" Type="http://schemas.openxmlformats.org/officeDocument/2006/relationships/image" Target="media/image1.emf"/><Relationship Id="rId10" Type="http://schemas.openxmlformats.org/officeDocument/2006/relationships/hyperlink" Target="https://www.kingsfund.org.uk/insight-and-analysis/articles/environments-care-people-dementia" TargetMode="External"/><Relationship Id="rId4" Type="http://schemas.openxmlformats.org/officeDocument/2006/relationships/webSettings" Target="webSettings.xml"/><Relationship Id="rId9" Type="http://schemas.openxmlformats.org/officeDocument/2006/relationships/hyperlink" Target="https://www.england.nhs.uk/wp-content/uploads/2021/05/HBN_08-02-1.pdf" TargetMode="External"/></Relationships>
</file>

<file path=word/theme/theme1.xml><?xml version="1.0" encoding="utf-8"?>
<a:theme xmlns:a="http://schemas.openxmlformats.org/drawingml/2006/main" name="Office Theme">
  <a:themeElements>
    <a:clrScheme name="Office">
      <a:dk1>
        <a:sysClr val="windowText" lastClr="FFFFFF"/>
      </a:dk1>
      <a:lt1>
        <a:sysClr val="window" lastClr="202020"/>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2229</Words>
  <Characters>12708</Characters>
  <Application>Microsoft Office Word</Application>
  <DocSecurity>0</DocSecurity>
  <Lines>105</Lines>
  <Paragraphs>29</Paragraphs>
  <ScaleCrop>false</ScaleCrop>
  <Company/>
  <LinksUpToDate>false</LinksUpToDate>
  <CharactersWithSpaces>14908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Hajra Asim</dc:creator>
  <cp:keywords/>
  <dc:description/>
  <cp:lastModifiedBy>Ibrar Hussain</cp:lastModifiedBy>
  <cp:revision>4</cp:revision>
  <dcterms:created xsi:type="dcterms:W3CDTF">2026-07-03T18:38:00Z</dcterms:created>
  <dcterms:modified xsi:type="dcterms:W3CDTF">2026-07-03T18:39:00Z</dcterms:modified>
</cp:coreProperties>
</file>