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351EF" w14:textId="77777777" w:rsidR="00AD5E75" w:rsidRDefault="00AD5E75">
      <w:pPr>
        <w:rPr>
          <w:rFonts w:ascii="Arial" w:hAnsi="Arial" w:cs="Arial"/>
          <w:sz w:val="24"/>
          <w:szCs w:val="24"/>
        </w:rPr>
      </w:pPr>
    </w:p>
    <w:p w14:paraId="5641EE1B" w14:textId="77777777" w:rsidR="00B67E95" w:rsidRDefault="00B67E95" w:rsidP="00B67E95">
      <w:pPr>
        <w:rPr>
          <w:rFonts w:ascii="Arial" w:hAnsi="Arial" w:cs="Arial"/>
          <w:sz w:val="24"/>
          <w:szCs w:val="24"/>
        </w:rPr>
      </w:pPr>
    </w:p>
    <w:p w14:paraId="557118D6" w14:textId="485B1626" w:rsidR="004A76D6" w:rsidRPr="00B14AA3" w:rsidRDefault="001B01C4" w:rsidP="00B67E95">
      <w:pPr>
        <w:rPr>
          <w:rFonts w:ascii="Arial" w:hAnsi="Arial" w:cs="Arial"/>
          <w:b/>
          <w:bCs/>
          <w:sz w:val="24"/>
          <w:szCs w:val="24"/>
        </w:rPr>
      </w:pPr>
      <w:r w:rsidRPr="00B14AA3">
        <w:rPr>
          <w:rFonts w:ascii="Arial" w:hAnsi="Arial" w:cs="Arial"/>
          <w:b/>
          <w:bCs/>
          <w:sz w:val="24"/>
          <w:szCs w:val="24"/>
        </w:rPr>
        <w:t>What is the rule of privity of contract?</w:t>
      </w:r>
    </w:p>
    <w:p w14:paraId="69FD49C5" w14:textId="7011D73A" w:rsidR="00B67E95" w:rsidRPr="000E40F0" w:rsidRDefault="00524B81" w:rsidP="000E40F0">
      <w:pPr>
        <w:jc w:val="both"/>
        <w:rPr>
          <w:rFonts w:ascii="Arial" w:hAnsi="Arial" w:cs="Arial"/>
        </w:rPr>
      </w:pPr>
      <w:r w:rsidRPr="000E40F0">
        <w:rPr>
          <w:rFonts w:ascii="Arial" w:hAnsi="Arial" w:cs="Arial"/>
        </w:rPr>
        <w:t xml:space="preserve">According to the doctrine </w:t>
      </w:r>
      <w:r w:rsidR="00277BC0" w:rsidRPr="000E40F0">
        <w:rPr>
          <w:rFonts w:ascii="Arial" w:hAnsi="Arial" w:cs="Arial"/>
        </w:rPr>
        <w:t>of privity, i</w:t>
      </w:r>
      <w:r w:rsidR="00B67E95" w:rsidRPr="000E40F0">
        <w:rPr>
          <w:rFonts w:ascii="Arial" w:hAnsi="Arial" w:cs="Arial"/>
        </w:rPr>
        <w:t>ndividuals who are parties to the contract have rights or liabilities</w:t>
      </w:r>
      <w:r w:rsidRPr="000E40F0">
        <w:rPr>
          <w:rFonts w:ascii="Arial" w:hAnsi="Arial" w:cs="Arial"/>
        </w:rPr>
        <w:t xml:space="preserve"> under it</w:t>
      </w:r>
      <w:r w:rsidR="00277BC0" w:rsidRPr="000E40F0">
        <w:rPr>
          <w:rFonts w:ascii="Arial" w:hAnsi="Arial" w:cs="Arial"/>
        </w:rPr>
        <w:t>.</w:t>
      </w:r>
      <w:r w:rsidR="00DC4137" w:rsidRPr="000E40F0">
        <w:rPr>
          <w:rFonts w:ascii="Arial" w:hAnsi="Arial" w:cs="Arial"/>
        </w:rPr>
        <w:t xml:space="preserve"> The doctrine is well established in English law</w:t>
      </w:r>
      <w:r w:rsidR="0069337C" w:rsidRPr="000E40F0">
        <w:rPr>
          <w:rFonts w:ascii="Arial" w:hAnsi="Arial" w:cs="Arial"/>
        </w:rPr>
        <w:t xml:space="preserve"> although there are a few exceptions. </w:t>
      </w:r>
      <w:r w:rsidR="00EC06F8" w:rsidRPr="000E40F0">
        <w:rPr>
          <w:rFonts w:ascii="Arial" w:hAnsi="Arial" w:cs="Arial"/>
        </w:rPr>
        <w:t>The Contracts (Right</w:t>
      </w:r>
      <w:r w:rsidR="00322610" w:rsidRPr="000E40F0">
        <w:rPr>
          <w:rFonts w:ascii="Arial" w:hAnsi="Arial" w:cs="Arial"/>
        </w:rPr>
        <w:t>s of Third Parties)</w:t>
      </w:r>
      <w:r w:rsidR="00EC06F8" w:rsidRPr="000E40F0">
        <w:rPr>
          <w:rFonts w:ascii="Arial" w:hAnsi="Arial" w:cs="Arial"/>
        </w:rPr>
        <w:t xml:space="preserve"> Act of 1999</w:t>
      </w:r>
      <w:r w:rsidR="0079528C" w:rsidRPr="000E40F0">
        <w:rPr>
          <w:rFonts w:ascii="Arial" w:hAnsi="Arial" w:cs="Arial"/>
        </w:rPr>
        <w:t xml:space="preserve">, in particular, means that </w:t>
      </w:r>
      <w:r w:rsidR="00EE2A31" w:rsidRPr="000E40F0">
        <w:rPr>
          <w:rFonts w:ascii="Arial" w:hAnsi="Arial" w:cs="Arial"/>
        </w:rPr>
        <w:t>the parties can choose to avoid</w:t>
      </w:r>
      <w:r w:rsidR="000C45E1" w:rsidRPr="000E40F0">
        <w:rPr>
          <w:rFonts w:ascii="Arial" w:hAnsi="Arial" w:cs="Arial"/>
        </w:rPr>
        <w:t xml:space="preserve"> the doctrine in a variety of scenarios</w:t>
      </w:r>
      <w:sdt>
        <w:sdtPr>
          <w:rPr>
            <w:rFonts w:ascii="Arial" w:hAnsi="Arial" w:cs="Arial"/>
          </w:rPr>
          <w:id w:val="1966311465"/>
          <w:citation/>
        </w:sdtPr>
        <w:sdtEndPr/>
        <w:sdtContent>
          <w:r w:rsidR="00350604" w:rsidRPr="000E40F0">
            <w:rPr>
              <w:rFonts w:ascii="Arial" w:hAnsi="Arial" w:cs="Arial"/>
            </w:rPr>
            <w:fldChar w:fldCharType="begin"/>
          </w:r>
          <w:r w:rsidR="00350604" w:rsidRPr="000E40F0">
            <w:rPr>
              <w:rFonts w:ascii="Arial" w:hAnsi="Arial" w:cs="Arial"/>
            </w:rPr>
            <w:instrText xml:space="preserve"> CITATION Tho22 \l 2057 </w:instrText>
          </w:r>
          <w:r w:rsidR="00350604" w:rsidRPr="000E40F0">
            <w:rPr>
              <w:rFonts w:ascii="Arial" w:hAnsi="Arial" w:cs="Arial"/>
            </w:rPr>
            <w:fldChar w:fldCharType="separate"/>
          </w:r>
          <w:r w:rsidR="00350604" w:rsidRPr="000E40F0">
            <w:rPr>
              <w:rFonts w:ascii="Arial" w:hAnsi="Arial" w:cs="Arial"/>
              <w:noProof/>
            </w:rPr>
            <w:t xml:space="preserve"> (Thomson Reuters Practical Law, 2022)</w:t>
          </w:r>
          <w:r w:rsidR="00350604" w:rsidRPr="000E40F0">
            <w:rPr>
              <w:rFonts w:ascii="Arial" w:hAnsi="Arial" w:cs="Arial"/>
            </w:rPr>
            <w:fldChar w:fldCharType="end"/>
          </w:r>
        </w:sdtContent>
      </w:sdt>
      <w:r w:rsidR="000C45E1" w:rsidRPr="000E40F0">
        <w:rPr>
          <w:rFonts w:ascii="Arial" w:hAnsi="Arial" w:cs="Arial"/>
        </w:rPr>
        <w:t>.</w:t>
      </w:r>
      <w:r w:rsidRPr="000E40F0">
        <w:rPr>
          <w:rFonts w:ascii="Arial" w:hAnsi="Arial" w:cs="Arial"/>
        </w:rPr>
        <w:t xml:space="preserve"> </w:t>
      </w:r>
      <w:r w:rsidR="001F08CA" w:rsidRPr="000E40F0">
        <w:rPr>
          <w:rFonts w:ascii="Arial" w:hAnsi="Arial" w:cs="Arial"/>
        </w:rPr>
        <w:t xml:space="preserve">In the case of </w:t>
      </w:r>
      <w:r w:rsidR="0009429B" w:rsidRPr="000E40F0">
        <w:rPr>
          <w:rFonts w:ascii="Arial" w:hAnsi="Arial" w:cs="Arial"/>
        </w:rPr>
        <w:t xml:space="preserve">Dunlop Pneumatic Tyre Co Ltd v </w:t>
      </w:r>
      <w:r w:rsidR="00C056D2" w:rsidRPr="000E40F0">
        <w:rPr>
          <w:rFonts w:ascii="Arial" w:hAnsi="Arial" w:cs="Arial"/>
        </w:rPr>
        <w:t>Selfridge &amp; Co Ltd (1915)</w:t>
      </w:r>
      <w:r w:rsidR="00AB1C37" w:rsidRPr="000E40F0">
        <w:rPr>
          <w:rFonts w:ascii="Arial" w:hAnsi="Arial" w:cs="Arial"/>
        </w:rPr>
        <w:t>, Dunlop could not bring a claim for damages in the circumstances, the court said unanimously. For starters, only a contract's side can make a claim on it, according to the court. Second</w:t>
      </w:r>
      <w:r w:rsidR="00AE2E58" w:rsidRPr="000E40F0">
        <w:rPr>
          <w:rFonts w:ascii="Arial" w:hAnsi="Arial" w:cs="Arial"/>
        </w:rPr>
        <w:t>ly</w:t>
      </w:r>
      <w:r w:rsidR="00AB1C37" w:rsidRPr="000E40F0">
        <w:rPr>
          <w:rFonts w:ascii="Arial" w:hAnsi="Arial" w:cs="Arial"/>
        </w:rPr>
        <w:t>, Dunlop had not given Selfridge any consideration, so there could be no legally enforceable contract between them. Finally, because Dunlop was not mentioned as an agent in the contract, he could not be considered a valid third-party having rights to claim under it</w:t>
      </w:r>
      <w:sdt>
        <w:sdtPr>
          <w:rPr>
            <w:rFonts w:ascii="Arial" w:hAnsi="Arial" w:cs="Arial"/>
          </w:rPr>
          <w:id w:val="-1747491442"/>
          <w:citation/>
        </w:sdtPr>
        <w:sdtEndPr/>
        <w:sdtContent>
          <w:r w:rsidR="00AB1C37" w:rsidRPr="000E40F0">
            <w:rPr>
              <w:rFonts w:ascii="Arial" w:hAnsi="Arial" w:cs="Arial"/>
            </w:rPr>
            <w:fldChar w:fldCharType="begin"/>
          </w:r>
          <w:r w:rsidR="00AB1C37" w:rsidRPr="000E40F0">
            <w:rPr>
              <w:rFonts w:ascii="Arial" w:hAnsi="Arial" w:cs="Arial"/>
            </w:rPr>
            <w:instrText xml:space="preserve"> CITATION Law21 \l 2057 </w:instrText>
          </w:r>
          <w:r w:rsidR="00AB1C37" w:rsidRPr="000E40F0">
            <w:rPr>
              <w:rFonts w:ascii="Arial" w:hAnsi="Arial" w:cs="Arial"/>
            </w:rPr>
            <w:fldChar w:fldCharType="separate"/>
          </w:r>
          <w:r w:rsidR="00AB1C37" w:rsidRPr="000E40F0">
            <w:rPr>
              <w:rFonts w:ascii="Arial" w:hAnsi="Arial" w:cs="Arial"/>
              <w:noProof/>
            </w:rPr>
            <w:t xml:space="preserve"> (Law Teacher, 2021)</w:t>
          </w:r>
          <w:r w:rsidR="00AB1C37" w:rsidRPr="000E40F0">
            <w:rPr>
              <w:rFonts w:ascii="Arial" w:hAnsi="Arial" w:cs="Arial"/>
            </w:rPr>
            <w:fldChar w:fldCharType="end"/>
          </w:r>
        </w:sdtContent>
      </w:sdt>
      <w:r w:rsidR="00AB1C37" w:rsidRPr="000E40F0">
        <w:rPr>
          <w:rFonts w:ascii="Arial" w:hAnsi="Arial" w:cs="Arial"/>
        </w:rPr>
        <w:t>.</w:t>
      </w:r>
      <w:r w:rsidR="00A84579" w:rsidRPr="000E40F0">
        <w:rPr>
          <w:rFonts w:ascii="Arial" w:hAnsi="Arial" w:cs="Arial"/>
        </w:rPr>
        <w:t xml:space="preserve"> Furthermore, in the case of Tweddle v Atkinson</w:t>
      </w:r>
      <w:r w:rsidR="0013582D">
        <w:rPr>
          <w:rFonts w:ascii="Arial" w:hAnsi="Arial" w:cs="Arial"/>
        </w:rPr>
        <w:t xml:space="preserve"> (1861)</w:t>
      </w:r>
      <w:r w:rsidR="002B356E" w:rsidRPr="000E40F0">
        <w:rPr>
          <w:rFonts w:ascii="Arial" w:hAnsi="Arial" w:cs="Arial"/>
        </w:rPr>
        <w:t>,</w:t>
      </w:r>
      <w:r w:rsidR="00A84579" w:rsidRPr="000E40F0">
        <w:rPr>
          <w:rFonts w:ascii="Arial" w:hAnsi="Arial" w:cs="Arial"/>
        </w:rPr>
        <w:t xml:space="preserve"> </w:t>
      </w:r>
      <w:r w:rsidR="002B356E" w:rsidRPr="000E40F0">
        <w:rPr>
          <w:rFonts w:ascii="Arial" w:hAnsi="Arial" w:cs="Arial"/>
        </w:rPr>
        <w:t>the court dismissed the groom's claim. It was decided that the groom was not a party to the fathers' agreement and had not given any consideration for the promise made by the bride's father. The son could also not enforce the contract because he was not a party to it. The court ruled in favour of the will executor on this basis</w:t>
      </w:r>
      <w:sdt>
        <w:sdtPr>
          <w:rPr>
            <w:rFonts w:ascii="Arial" w:hAnsi="Arial" w:cs="Arial"/>
          </w:rPr>
          <w:id w:val="1936557026"/>
          <w:citation/>
        </w:sdtPr>
        <w:sdtEndPr/>
        <w:sdtContent>
          <w:r w:rsidR="002B356E" w:rsidRPr="000E40F0">
            <w:rPr>
              <w:rFonts w:ascii="Arial" w:hAnsi="Arial" w:cs="Arial"/>
            </w:rPr>
            <w:fldChar w:fldCharType="begin"/>
          </w:r>
          <w:r w:rsidR="002B356E" w:rsidRPr="000E40F0">
            <w:rPr>
              <w:rFonts w:ascii="Arial" w:hAnsi="Arial" w:cs="Arial"/>
            </w:rPr>
            <w:instrText xml:space="preserve"> CITATION Ric17 \l 2057 </w:instrText>
          </w:r>
          <w:r w:rsidR="002B356E" w:rsidRPr="000E40F0">
            <w:rPr>
              <w:rFonts w:ascii="Arial" w:hAnsi="Arial" w:cs="Arial"/>
            </w:rPr>
            <w:fldChar w:fldCharType="separate"/>
          </w:r>
          <w:r w:rsidR="002B356E" w:rsidRPr="000E40F0">
            <w:rPr>
              <w:rFonts w:ascii="Arial" w:hAnsi="Arial" w:cs="Arial"/>
              <w:noProof/>
            </w:rPr>
            <w:t xml:space="preserve"> (Devenney, 2017)</w:t>
          </w:r>
          <w:r w:rsidR="002B356E" w:rsidRPr="000E40F0">
            <w:rPr>
              <w:rFonts w:ascii="Arial" w:hAnsi="Arial" w:cs="Arial"/>
            </w:rPr>
            <w:fldChar w:fldCharType="end"/>
          </w:r>
        </w:sdtContent>
      </w:sdt>
      <w:r w:rsidR="002B356E" w:rsidRPr="000E40F0">
        <w:rPr>
          <w:rFonts w:ascii="Arial" w:hAnsi="Arial" w:cs="Arial"/>
        </w:rPr>
        <w:t>.</w:t>
      </w:r>
    </w:p>
    <w:p w14:paraId="5F886B16" w14:textId="77777777" w:rsidR="004C0EBB" w:rsidRDefault="004C0EBB" w:rsidP="00B67E95">
      <w:pPr>
        <w:rPr>
          <w:rFonts w:ascii="Arial" w:hAnsi="Arial" w:cs="Arial"/>
          <w:sz w:val="24"/>
          <w:szCs w:val="24"/>
        </w:rPr>
      </w:pPr>
    </w:p>
    <w:p w14:paraId="679143C9" w14:textId="0F458224" w:rsidR="004C0EBB" w:rsidRPr="00B14AA3" w:rsidRDefault="00A050EE" w:rsidP="00B14AA3">
      <w:pPr>
        <w:rPr>
          <w:b/>
          <w:bCs/>
          <w:sz w:val="24"/>
          <w:szCs w:val="24"/>
        </w:rPr>
      </w:pPr>
      <w:r w:rsidRPr="00B14AA3">
        <w:rPr>
          <w:b/>
          <w:bCs/>
          <w:sz w:val="24"/>
          <w:szCs w:val="24"/>
        </w:rPr>
        <w:t>Explain whether past consideration amounts to good consideration</w:t>
      </w:r>
    </w:p>
    <w:p w14:paraId="1DB0A014" w14:textId="77777777" w:rsidR="0014760F" w:rsidRDefault="00A57E5F" w:rsidP="008B4A32">
      <w:pPr>
        <w:jc w:val="both"/>
        <w:rPr>
          <w:rFonts w:ascii="Arial" w:hAnsi="Arial" w:cs="Arial"/>
        </w:rPr>
      </w:pPr>
      <w:r w:rsidRPr="00351F05">
        <w:rPr>
          <w:rFonts w:ascii="Arial" w:hAnsi="Arial" w:cs="Arial"/>
        </w:rPr>
        <w:t xml:space="preserve">One defining feature of </w:t>
      </w:r>
      <w:r w:rsidR="00971E6D" w:rsidRPr="00351F05">
        <w:rPr>
          <w:rFonts w:ascii="Arial" w:hAnsi="Arial" w:cs="Arial"/>
        </w:rPr>
        <w:t xml:space="preserve">the English contract law </w:t>
      </w:r>
      <w:r w:rsidR="007A5198" w:rsidRPr="00351F05">
        <w:rPr>
          <w:rFonts w:ascii="Arial" w:hAnsi="Arial" w:cs="Arial"/>
        </w:rPr>
        <w:t xml:space="preserve">is consideration. </w:t>
      </w:r>
      <w:r w:rsidR="000A0F82" w:rsidRPr="00351F05">
        <w:rPr>
          <w:rFonts w:ascii="Arial" w:hAnsi="Arial" w:cs="Arial"/>
        </w:rPr>
        <w:t xml:space="preserve">It </w:t>
      </w:r>
      <w:r w:rsidR="00C74506" w:rsidRPr="00351F05">
        <w:rPr>
          <w:rFonts w:ascii="Arial" w:hAnsi="Arial" w:cs="Arial"/>
        </w:rPr>
        <w:t xml:space="preserve">means </w:t>
      </w:r>
      <w:r w:rsidR="000A0F82" w:rsidRPr="00351F05">
        <w:rPr>
          <w:rFonts w:ascii="Arial" w:hAnsi="Arial" w:cs="Arial"/>
        </w:rPr>
        <w:t xml:space="preserve">that promises do not have to </w:t>
      </w:r>
      <w:r w:rsidR="006B6356" w:rsidRPr="00351F05">
        <w:rPr>
          <w:rFonts w:ascii="Arial" w:hAnsi="Arial" w:cs="Arial"/>
        </w:rPr>
        <w:t>take any particular shape or be written down</w:t>
      </w:r>
      <w:r w:rsidR="000F1D98" w:rsidRPr="00351F05">
        <w:rPr>
          <w:rFonts w:ascii="Arial" w:hAnsi="Arial" w:cs="Arial"/>
        </w:rPr>
        <w:t xml:space="preserve">, but they will be enforceable if there is mutuality </w:t>
      </w:r>
      <w:r w:rsidR="00EE74F4" w:rsidRPr="00351F05">
        <w:rPr>
          <w:rFonts w:ascii="Arial" w:hAnsi="Arial" w:cs="Arial"/>
        </w:rPr>
        <w:t>in the agreement, meaning that both parties must contribute something</w:t>
      </w:r>
      <w:sdt>
        <w:sdtPr>
          <w:rPr>
            <w:rFonts w:ascii="Arial" w:hAnsi="Arial" w:cs="Arial"/>
          </w:rPr>
          <w:id w:val="-1761441090"/>
          <w:citation/>
        </w:sdtPr>
        <w:sdtEndPr/>
        <w:sdtContent>
          <w:r w:rsidR="005A1ADD" w:rsidRPr="00351F05">
            <w:rPr>
              <w:rFonts w:ascii="Arial" w:hAnsi="Arial" w:cs="Arial"/>
            </w:rPr>
            <w:fldChar w:fldCharType="begin"/>
          </w:r>
          <w:r w:rsidR="005A1ADD" w:rsidRPr="00351F05">
            <w:rPr>
              <w:rFonts w:ascii="Arial" w:hAnsi="Arial" w:cs="Arial"/>
            </w:rPr>
            <w:instrText xml:space="preserve"> CITATION Ric17 \l 2057 </w:instrText>
          </w:r>
          <w:r w:rsidR="005A1ADD" w:rsidRPr="00351F05">
            <w:rPr>
              <w:rFonts w:ascii="Arial" w:hAnsi="Arial" w:cs="Arial"/>
            </w:rPr>
            <w:fldChar w:fldCharType="separate"/>
          </w:r>
          <w:r w:rsidR="005A1ADD" w:rsidRPr="00351F05">
            <w:rPr>
              <w:rFonts w:ascii="Arial" w:hAnsi="Arial" w:cs="Arial"/>
              <w:noProof/>
            </w:rPr>
            <w:t xml:space="preserve"> (Devenney, 2017)</w:t>
          </w:r>
          <w:r w:rsidR="005A1ADD" w:rsidRPr="00351F05">
            <w:rPr>
              <w:rFonts w:ascii="Arial" w:hAnsi="Arial" w:cs="Arial"/>
            </w:rPr>
            <w:fldChar w:fldCharType="end"/>
          </w:r>
        </w:sdtContent>
      </w:sdt>
      <w:r w:rsidR="00EE74F4" w:rsidRPr="00351F05">
        <w:rPr>
          <w:rFonts w:ascii="Arial" w:hAnsi="Arial" w:cs="Arial"/>
        </w:rPr>
        <w:t>.</w:t>
      </w:r>
      <w:r w:rsidR="006429D7" w:rsidRPr="00351F05">
        <w:rPr>
          <w:rFonts w:ascii="Arial" w:hAnsi="Arial" w:cs="Arial"/>
        </w:rPr>
        <w:t xml:space="preserve"> In the case of Currie v Misa (</w:t>
      </w:r>
      <w:r w:rsidR="00A525CB" w:rsidRPr="00351F05">
        <w:rPr>
          <w:rFonts w:ascii="Arial" w:hAnsi="Arial" w:cs="Arial"/>
        </w:rPr>
        <w:t xml:space="preserve">1875) consideration was defined </w:t>
      </w:r>
      <w:r w:rsidR="00511B48" w:rsidRPr="00351F05">
        <w:rPr>
          <w:rFonts w:ascii="Arial" w:hAnsi="Arial" w:cs="Arial"/>
        </w:rPr>
        <w:t xml:space="preserve">to </w:t>
      </w:r>
      <w:r w:rsidR="00A45DD0" w:rsidRPr="00351F05">
        <w:rPr>
          <w:rFonts w:ascii="Arial" w:hAnsi="Arial" w:cs="Arial"/>
        </w:rPr>
        <w:t>“</w:t>
      </w:r>
      <w:r w:rsidR="00511B48" w:rsidRPr="00351F05">
        <w:rPr>
          <w:rFonts w:ascii="Arial" w:hAnsi="Arial" w:cs="Arial"/>
        </w:rPr>
        <w:t>consist either in some right</w:t>
      </w:r>
      <w:r w:rsidR="004E2045" w:rsidRPr="00351F05">
        <w:rPr>
          <w:rFonts w:ascii="Arial" w:hAnsi="Arial" w:cs="Arial"/>
        </w:rPr>
        <w:t xml:space="preserve">, profit or benefit </w:t>
      </w:r>
      <w:r w:rsidR="006B56DF" w:rsidRPr="00351F05">
        <w:rPr>
          <w:rFonts w:ascii="Arial" w:hAnsi="Arial" w:cs="Arial"/>
        </w:rPr>
        <w:t xml:space="preserve">accruing to the one party, or some </w:t>
      </w:r>
      <w:r w:rsidR="00214B65" w:rsidRPr="00351F05">
        <w:rPr>
          <w:rFonts w:ascii="Arial" w:hAnsi="Arial" w:cs="Arial"/>
        </w:rPr>
        <w:t>forbearance, detriment, loss, or responsibility, given</w:t>
      </w:r>
      <w:r w:rsidR="00415F49" w:rsidRPr="00351F05">
        <w:rPr>
          <w:rFonts w:ascii="Arial" w:hAnsi="Arial" w:cs="Arial"/>
        </w:rPr>
        <w:t>, suffered, or undertaken by the other</w:t>
      </w:r>
      <w:r w:rsidR="00A45DD0" w:rsidRPr="00351F05">
        <w:rPr>
          <w:rFonts w:ascii="Arial" w:hAnsi="Arial" w:cs="Arial"/>
        </w:rPr>
        <w:t>.”</w:t>
      </w:r>
      <w:r w:rsidR="006B56DF" w:rsidRPr="00351F05">
        <w:rPr>
          <w:rFonts w:ascii="Arial" w:hAnsi="Arial" w:cs="Arial"/>
        </w:rPr>
        <w:t xml:space="preserve"> </w:t>
      </w:r>
      <w:sdt>
        <w:sdtPr>
          <w:rPr>
            <w:rFonts w:ascii="Arial" w:hAnsi="Arial" w:cs="Arial"/>
          </w:rPr>
          <w:id w:val="1232433098"/>
          <w:citation/>
        </w:sdtPr>
        <w:sdtEndPr/>
        <w:sdtContent>
          <w:r w:rsidR="00752C2E" w:rsidRPr="00351F05">
            <w:rPr>
              <w:rFonts w:ascii="Arial" w:hAnsi="Arial" w:cs="Arial"/>
            </w:rPr>
            <w:fldChar w:fldCharType="begin"/>
          </w:r>
          <w:r w:rsidR="00752C2E" w:rsidRPr="00351F05">
            <w:rPr>
              <w:rFonts w:ascii="Arial" w:hAnsi="Arial" w:cs="Arial"/>
            </w:rPr>
            <w:instrText xml:space="preserve"> CITATION Law13 \l 2057 </w:instrText>
          </w:r>
          <w:r w:rsidR="00752C2E" w:rsidRPr="00351F05">
            <w:rPr>
              <w:rFonts w:ascii="Arial" w:hAnsi="Arial" w:cs="Arial"/>
            </w:rPr>
            <w:fldChar w:fldCharType="separate"/>
          </w:r>
          <w:r w:rsidR="00752C2E" w:rsidRPr="00351F05">
            <w:rPr>
              <w:rFonts w:ascii="Arial" w:hAnsi="Arial" w:cs="Arial"/>
              <w:noProof/>
            </w:rPr>
            <w:t>(LawTeacher, 2013)</w:t>
          </w:r>
          <w:r w:rsidR="00752C2E" w:rsidRPr="00351F05">
            <w:rPr>
              <w:rFonts w:ascii="Arial" w:hAnsi="Arial" w:cs="Arial"/>
            </w:rPr>
            <w:fldChar w:fldCharType="end"/>
          </w:r>
        </w:sdtContent>
      </w:sdt>
      <w:r w:rsidR="00752C2E" w:rsidRPr="00351F05">
        <w:rPr>
          <w:rFonts w:ascii="Arial" w:hAnsi="Arial" w:cs="Arial"/>
        </w:rPr>
        <w:t>.</w:t>
      </w:r>
    </w:p>
    <w:p w14:paraId="25020CEB" w14:textId="61B952F6" w:rsidR="000E40F0" w:rsidRDefault="00A0772B" w:rsidP="008B4A32">
      <w:pPr>
        <w:jc w:val="both"/>
        <w:rPr>
          <w:rFonts w:ascii="Arial" w:hAnsi="Arial" w:cs="Arial"/>
        </w:rPr>
      </w:pPr>
      <w:r w:rsidRPr="00351F05">
        <w:rPr>
          <w:rFonts w:ascii="Arial" w:hAnsi="Arial" w:cs="Arial"/>
        </w:rPr>
        <w:t xml:space="preserve"> Past consideration </w:t>
      </w:r>
      <w:r w:rsidR="006E19B9" w:rsidRPr="00351F05">
        <w:rPr>
          <w:rFonts w:ascii="Arial" w:hAnsi="Arial" w:cs="Arial"/>
        </w:rPr>
        <w:t xml:space="preserve">does not amount to good consideration unless the act was performed </w:t>
      </w:r>
      <w:r w:rsidR="00561FA5" w:rsidRPr="00351F05">
        <w:rPr>
          <w:rFonts w:ascii="Arial" w:hAnsi="Arial" w:cs="Arial"/>
        </w:rPr>
        <w:t xml:space="preserve">at the request of the </w:t>
      </w:r>
      <w:r w:rsidR="007F0BBE" w:rsidRPr="00351F05">
        <w:rPr>
          <w:rFonts w:ascii="Arial" w:hAnsi="Arial" w:cs="Arial"/>
        </w:rPr>
        <w:t>promisor</w:t>
      </w:r>
      <w:r w:rsidR="00561FA5" w:rsidRPr="00351F05">
        <w:rPr>
          <w:rFonts w:ascii="Arial" w:hAnsi="Arial" w:cs="Arial"/>
        </w:rPr>
        <w:t xml:space="preserve"> and there was an expectation that would be paid for</w:t>
      </w:r>
      <w:r w:rsidR="00867AFE" w:rsidRPr="00351F05">
        <w:rPr>
          <w:rFonts w:ascii="Arial" w:hAnsi="Arial" w:cs="Arial"/>
        </w:rPr>
        <w:t xml:space="preserve">. In the case of Re McArdle (1951) </w:t>
      </w:r>
      <w:r w:rsidR="00253187" w:rsidRPr="00351F05">
        <w:rPr>
          <w:rFonts w:ascii="Arial" w:hAnsi="Arial" w:cs="Arial"/>
        </w:rPr>
        <w:t>t</w:t>
      </w:r>
      <w:r w:rsidR="006855A8" w:rsidRPr="00351F05">
        <w:rPr>
          <w:rFonts w:ascii="Arial" w:hAnsi="Arial" w:cs="Arial"/>
        </w:rPr>
        <w:t>he agreement was held to be unenforceable by the court since the transaction had not been consummated and was incomplete. It was</w:t>
      </w:r>
      <w:r w:rsidR="00253187" w:rsidRPr="00351F05">
        <w:rPr>
          <w:rFonts w:ascii="Arial" w:hAnsi="Arial" w:cs="Arial"/>
        </w:rPr>
        <w:t xml:space="preserve"> </w:t>
      </w:r>
      <w:r w:rsidR="006855A8" w:rsidRPr="00351F05">
        <w:rPr>
          <w:rFonts w:ascii="Arial" w:hAnsi="Arial" w:cs="Arial"/>
        </w:rPr>
        <w:t>n</w:t>
      </w:r>
      <w:r w:rsidR="00253187" w:rsidRPr="00351F05">
        <w:rPr>
          <w:rFonts w:ascii="Arial" w:hAnsi="Arial" w:cs="Arial"/>
        </w:rPr>
        <w:t>o</w:t>
      </w:r>
      <w:r w:rsidR="006855A8" w:rsidRPr="00351F05">
        <w:rPr>
          <w:rFonts w:ascii="Arial" w:hAnsi="Arial" w:cs="Arial"/>
        </w:rPr>
        <w:t>t a reward</w:t>
      </w:r>
      <w:r w:rsidR="00253187" w:rsidRPr="00351F05">
        <w:rPr>
          <w:rFonts w:ascii="Arial" w:hAnsi="Arial" w:cs="Arial"/>
        </w:rPr>
        <w:t xml:space="preserve"> but</w:t>
      </w:r>
      <w:r w:rsidR="006855A8" w:rsidRPr="00351F05">
        <w:rPr>
          <w:rFonts w:ascii="Arial" w:hAnsi="Arial" w:cs="Arial"/>
        </w:rPr>
        <w:t xml:space="preserve"> rather, it was a promise to pay. Marjorie's consideration had expired because the work had been done before she had requested payment.</w:t>
      </w:r>
      <w:r w:rsidR="008B4A32" w:rsidRPr="00351F05">
        <w:rPr>
          <w:rFonts w:ascii="Arial" w:hAnsi="Arial" w:cs="Arial"/>
        </w:rPr>
        <w:t xml:space="preserve"> </w:t>
      </w:r>
      <w:r w:rsidR="006855A8" w:rsidRPr="00351F05">
        <w:rPr>
          <w:rFonts w:ascii="Arial" w:hAnsi="Arial" w:cs="Arial"/>
        </w:rPr>
        <w:t>Because past consideration isn't good consideration, the agreement might be enforced</w:t>
      </w:r>
      <w:sdt>
        <w:sdtPr>
          <w:rPr>
            <w:rFonts w:ascii="Arial" w:hAnsi="Arial" w:cs="Arial"/>
          </w:rPr>
          <w:id w:val="-400989203"/>
          <w:citation/>
        </w:sdtPr>
        <w:sdtEndPr/>
        <w:sdtContent>
          <w:r w:rsidR="008341EB">
            <w:rPr>
              <w:rFonts w:ascii="Arial" w:hAnsi="Arial" w:cs="Arial"/>
            </w:rPr>
            <w:fldChar w:fldCharType="begin"/>
          </w:r>
          <w:r w:rsidR="008341EB">
            <w:rPr>
              <w:rFonts w:ascii="Arial" w:hAnsi="Arial" w:cs="Arial"/>
            </w:rPr>
            <w:instrText xml:space="preserve"> CITATION Rev22 \l 2057 </w:instrText>
          </w:r>
          <w:r w:rsidR="008341EB">
            <w:rPr>
              <w:rFonts w:ascii="Arial" w:hAnsi="Arial" w:cs="Arial"/>
            </w:rPr>
            <w:fldChar w:fldCharType="separate"/>
          </w:r>
          <w:r w:rsidR="008341EB">
            <w:rPr>
              <w:rFonts w:ascii="Arial" w:hAnsi="Arial" w:cs="Arial"/>
              <w:noProof/>
            </w:rPr>
            <w:t xml:space="preserve"> </w:t>
          </w:r>
          <w:r w:rsidR="008341EB" w:rsidRPr="008341EB">
            <w:rPr>
              <w:rFonts w:ascii="Arial" w:hAnsi="Arial" w:cs="Arial"/>
              <w:noProof/>
            </w:rPr>
            <w:t>(Revise Case Law, 2022)</w:t>
          </w:r>
          <w:r w:rsidR="008341EB">
            <w:rPr>
              <w:rFonts w:ascii="Arial" w:hAnsi="Arial" w:cs="Arial"/>
            </w:rPr>
            <w:fldChar w:fldCharType="end"/>
          </w:r>
        </w:sdtContent>
      </w:sdt>
      <w:r w:rsidR="006855A8" w:rsidRPr="00351F05">
        <w:rPr>
          <w:rFonts w:ascii="Arial" w:hAnsi="Arial" w:cs="Arial"/>
        </w:rPr>
        <w:t>.</w:t>
      </w:r>
      <w:r w:rsidR="004C055C">
        <w:rPr>
          <w:rFonts w:ascii="Arial" w:hAnsi="Arial" w:cs="Arial"/>
        </w:rPr>
        <w:t xml:space="preserve"> Furthermore, in the case of </w:t>
      </w:r>
      <w:r w:rsidR="0029231F">
        <w:rPr>
          <w:rFonts w:ascii="Arial" w:hAnsi="Arial" w:cs="Arial"/>
        </w:rPr>
        <w:t xml:space="preserve">Roscorla v Thomas (1842) </w:t>
      </w:r>
      <w:r w:rsidR="00673681">
        <w:rPr>
          <w:rFonts w:ascii="Arial" w:hAnsi="Arial" w:cs="Arial"/>
        </w:rPr>
        <w:t>t</w:t>
      </w:r>
      <w:r w:rsidR="00673681" w:rsidRPr="00673681">
        <w:rPr>
          <w:rFonts w:ascii="Arial" w:hAnsi="Arial" w:cs="Arial"/>
        </w:rPr>
        <w:t>he claimant could not sue because the information regarding the horse was made after the sale was finalised. The defendant would have a claim if he had made the same guarantee before the sale. The claimant was unable to give any consideration for the promise because it was made after the transaction, th</w:t>
      </w:r>
      <w:r w:rsidR="00DE732F">
        <w:rPr>
          <w:rFonts w:ascii="Arial" w:hAnsi="Arial" w:cs="Arial"/>
        </w:rPr>
        <w:t>erefore</w:t>
      </w:r>
      <w:r w:rsidR="00673681" w:rsidRPr="00673681">
        <w:rPr>
          <w:rFonts w:ascii="Arial" w:hAnsi="Arial" w:cs="Arial"/>
        </w:rPr>
        <w:t xml:space="preserve"> he was unable to make a claim on it</w:t>
      </w:r>
      <w:sdt>
        <w:sdtPr>
          <w:rPr>
            <w:rFonts w:ascii="Arial" w:hAnsi="Arial" w:cs="Arial"/>
          </w:rPr>
          <w:id w:val="-1079750546"/>
          <w:citation/>
        </w:sdtPr>
        <w:sdtEndPr/>
        <w:sdtContent>
          <w:r w:rsidR="003706CD">
            <w:rPr>
              <w:rFonts w:ascii="Arial" w:hAnsi="Arial" w:cs="Arial"/>
            </w:rPr>
            <w:fldChar w:fldCharType="begin"/>
          </w:r>
          <w:r w:rsidR="003706CD">
            <w:rPr>
              <w:rFonts w:ascii="Arial" w:hAnsi="Arial" w:cs="Arial"/>
            </w:rPr>
            <w:instrText xml:space="preserve"> CITATION Liu17 \l 2057 </w:instrText>
          </w:r>
          <w:r w:rsidR="003706CD">
            <w:rPr>
              <w:rFonts w:ascii="Arial" w:hAnsi="Arial" w:cs="Arial"/>
            </w:rPr>
            <w:fldChar w:fldCharType="separate"/>
          </w:r>
          <w:r w:rsidR="003706CD">
            <w:rPr>
              <w:rFonts w:ascii="Arial" w:hAnsi="Arial" w:cs="Arial"/>
              <w:noProof/>
            </w:rPr>
            <w:t xml:space="preserve"> </w:t>
          </w:r>
          <w:r w:rsidR="003706CD" w:rsidRPr="003706CD">
            <w:rPr>
              <w:rFonts w:ascii="Arial" w:hAnsi="Arial" w:cs="Arial"/>
              <w:noProof/>
            </w:rPr>
            <w:t>(Liuk, 2017)</w:t>
          </w:r>
          <w:r w:rsidR="003706CD">
            <w:rPr>
              <w:rFonts w:ascii="Arial" w:hAnsi="Arial" w:cs="Arial"/>
            </w:rPr>
            <w:fldChar w:fldCharType="end"/>
          </w:r>
        </w:sdtContent>
      </w:sdt>
      <w:r w:rsidR="00673681" w:rsidRPr="00673681">
        <w:rPr>
          <w:rFonts w:ascii="Arial" w:hAnsi="Arial" w:cs="Arial"/>
        </w:rPr>
        <w:t>.</w:t>
      </w:r>
      <w:r w:rsidR="00E645E6">
        <w:rPr>
          <w:rFonts w:ascii="Arial" w:hAnsi="Arial" w:cs="Arial"/>
        </w:rPr>
        <w:t xml:space="preserve"> Therefore</w:t>
      </w:r>
      <w:r w:rsidR="003706CD">
        <w:rPr>
          <w:rFonts w:ascii="Arial" w:hAnsi="Arial" w:cs="Arial"/>
        </w:rPr>
        <w:t>,</w:t>
      </w:r>
      <w:r w:rsidR="00E645E6">
        <w:rPr>
          <w:rFonts w:ascii="Arial" w:hAnsi="Arial" w:cs="Arial"/>
        </w:rPr>
        <w:t xml:space="preserve"> making past consideration no consideration at all.</w:t>
      </w:r>
    </w:p>
    <w:p w14:paraId="10065D41" w14:textId="77777777" w:rsidR="003706CD" w:rsidRDefault="003706CD" w:rsidP="008B4A32">
      <w:pPr>
        <w:jc w:val="both"/>
        <w:rPr>
          <w:rFonts w:ascii="Arial" w:hAnsi="Arial" w:cs="Arial"/>
        </w:rPr>
      </w:pPr>
    </w:p>
    <w:p w14:paraId="00CF3A85" w14:textId="4F15E56B" w:rsidR="003706CD" w:rsidRPr="00540FAA" w:rsidRDefault="00740F35" w:rsidP="00B14AA3">
      <w:pPr>
        <w:rPr>
          <w:b/>
          <w:bCs/>
          <w:sz w:val="24"/>
          <w:szCs w:val="24"/>
          <w:u w:val="single"/>
        </w:rPr>
      </w:pPr>
      <w:r w:rsidRPr="00540FAA">
        <w:rPr>
          <w:b/>
          <w:bCs/>
          <w:sz w:val="24"/>
          <w:szCs w:val="24"/>
          <w:u w:val="single"/>
        </w:rPr>
        <w:t xml:space="preserve">Identify three of the exceptions </w:t>
      </w:r>
      <w:r w:rsidR="00D17847" w:rsidRPr="00540FAA">
        <w:rPr>
          <w:b/>
          <w:bCs/>
          <w:sz w:val="24"/>
          <w:szCs w:val="24"/>
          <w:u w:val="single"/>
        </w:rPr>
        <w:t>to the entire performance rule from Cutter v Powell (1795)</w:t>
      </w:r>
    </w:p>
    <w:p w14:paraId="4C7BFCF1" w14:textId="013969E6" w:rsidR="00866C03" w:rsidRPr="00351F05" w:rsidRDefault="00F64674" w:rsidP="008B4A32">
      <w:pPr>
        <w:jc w:val="both"/>
        <w:rPr>
          <w:rFonts w:ascii="Arial" w:hAnsi="Arial" w:cs="Arial"/>
        </w:rPr>
      </w:pPr>
      <w:r>
        <w:rPr>
          <w:rFonts w:ascii="Arial" w:hAnsi="Arial" w:cs="Arial"/>
        </w:rPr>
        <w:t xml:space="preserve">In the case of </w:t>
      </w:r>
      <w:r w:rsidR="008E0CCA">
        <w:rPr>
          <w:rFonts w:ascii="Arial" w:hAnsi="Arial" w:cs="Arial"/>
        </w:rPr>
        <w:t>C</w:t>
      </w:r>
      <w:r>
        <w:rPr>
          <w:rFonts w:ascii="Arial" w:hAnsi="Arial" w:cs="Arial"/>
        </w:rPr>
        <w:t xml:space="preserve">utter </w:t>
      </w:r>
      <w:r w:rsidR="008E0CCA">
        <w:rPr>
          <w:rFonts w:ascii="Arial" w:hAnsi="Arial" w:cs="Arial"/>
        </w:rPr>
        <w:t xml:space="preserve">v </w:t>
      </w:r>
      <w:r w:rsidR="007E5A23">
        <w:rPr>
          <w:rFonts w:ascii="Arial" w:hAnsi="Arial" w:cs="Arial"/>
        </w:rPr>
        <w:t>Powell,</w:t>
      </w:r>
      <w:r w:rsidR="008E0CCA">
        <w:rPr>
          <w:rFonts w:ascii="Arial" w:hAnsi="Arial" w:cs="Arial"/>
        </w:rPr>
        <w:t xml:space="preserve"> </w:t>
      </w:r>
      <w:r w:rsidR="00D96FC4">
        <w:rPr>
          <w:rFonts w:ascii="Arial" w:hAnsi="Arial" w:cs="Arial"/>
        </w:rPr>
        <w:t xml:space="preserve">the defendant agreed to pay cutter 30 guineas if </w:t>
      </w:r>
      <w:r w:rsidR="0058303B">
        <w:rPr>
          <w:rFonts w:ascii="Arial" w:hAnsi="Arial" w:cs="Arial"/>
        </w:rPr>
        <w:t xml:space="preserve">he served as a second mate on the voyage from Jamaica to Liverpool. </w:t>
      </w:r>
      <w:r w:rsidR="00DA2818">
        <w:rPr>
          <w:rFonts w:ascii="Arial" w:hAnsi="Arial" w:cs="Arial"/>
        </w:rPr>
        <w:t>Cutter passed away on September 20</w:t>
      </w:r>
      <w:r w:rsidR="00DA2818" w:rsidRPr="00DA2818">
        <w:rPr>
          <w:rFonts w:ascii="Arial" w:hAnsi="Arial" w:cs="Arial"/>
          <w:vertAlign w:val="superscript"/>
        </w:rPr>
        <w:t>th</w:t>
      </w:r>
      <w:r w:rsidR="008118E7">
        <w:rPr>
          <w:rFonts w:ascii="Arial" w:hAnsi="Arial" w:cs="Arial"/>
        </w:rPr>
        <w:t>, when they were only 19 days away from Liverpool.</w:t>
      </w:r>
      <w:r w:rsidR="00896807">
        <w:rPr>
          <w:rFonts w:ascii="Arial" w:hAnsi="Arial" w:cs="Arial"/>
        </w:rPr>
        <w:t xml:space="preserve"> Cutter’s widow </w:t>
      </w:r>
      <w:r w:rsidR="00402E26">
        <w:rPr>
          <w:rFonts w:ascii="Arial" w:hAnsi="Arial" w:cs="Arial"/>
        </w:rPr>
        <w:t xml:space="preserve">created to recover </w:t>
      </w:r>
      <w:r w:rsidR="00E675EA">
        <w:rPr>
          <w:rFonts w:ascii="Arial" w:hAnsi="Arial" w:cs="Arial"/>
        </w:rPr>
        <w:t xml:space="preserve">an </w:t>
      </w:r>
      <w:r w:rsidR="00E675EA">
        <w:rPr>
          <w:rFonts w:ascii="Arial" w:hAnsi="Arial" w:cs="Arial"/>
        </w:rPr>
        <w:lastRenderedPageBreak/>
        <w:t xml:space="preserve">amount of the 30 guineas, </w:t>
      </w:r>
      <w:r w:rsidR="00E808B0">
        <w:rPr>
          <w:rFonts w:ascii="Arial" w:hAnsi="Arial" w:cs="Arial"/>
        </w:rPr>
        <w:t>however,</w:t>
      </w:r>
      <w:r w:rsidR="00E675EA">
        <w:rPr>
          <w:rFonts w:ascii="Arial" w:hAnsi="Arial" w:cs="Arial"/>
        </w:rPr>
        <w:t xml:space="preserve"> was unsuccessful </w:t>
      </w:r>
      <w:r w:rsidR="0071662C">
        <w:rPr>
          <w:rFonts w:ascii="Arial" w:hAnsi="Arial" w:cs="Arial"/>
        </w:rPr>
        <w:t xml:space="preserve">reason being that the contract was </w:t>
      </w:r>
      <w:r w:rsidR="005E2408">
        <w:rPr>
          <w:rFonts w:ascii="Arial" w:hAnsi="Arial" w:cs="Arial"/>
        </w:rPr>
        <w:t xml:space="preserve">the entire contract </w:t>
      </w:r>
      <w:r w:rsidR="001103FD">
        <w:rPr>
          <w:rFonts w:ascii="Arial" w:hAnsi="Arial" w:cs="Arial"/>
        </w:rPr>
        <w:t xml:space="preserve">lump sum and was not able to be paid as the terms were </w:t>
      </w:r>
      <w:r w:rsidR="0092315A">
        <w:rPr>
          <w:rFonts w:ascii="Arial" w:hAnsi="Arial" w:cs="Arial"/>
        </w:rPr>
        <w:t>uncompleted</w:t>
      </w:r>
      <w:sdt>
        <w:sdtPr>
          <w:rPr>
            <w:rFonts w:ascii="Arial" w:hAnsi="Arial" w:cs="Arial"/>
          </w:rPr>
          <w:id w:val="458844385"/>
          <w:citation/>
        </w:sdtPr>
        <w:sdtEndPr/>
        <w:sdtContent>
          <w:r w:rsidR="0047154A">
            <w:rPr>
              <w:rFonts w:ascii="Arial" w:hAnsi="Arial" w:cs="Arial"/>
            </w:rPr>
            <w:fldChar w:fldCharType="begin"/>
          </w:r>
          <w:r w:rsidR="0047154A">
            <w:rPr>
              <w:rFonts w:ascii="Arial" w:hAnsi="Arial" w:cs="Arial"/>
            </w:rPr>
            <w:instrText xml:space="preserve"> CITATION IPS22 \l 2057 </w:instrText>
          </w:r>
          <w:r w:rsidR="0047154A">
            <w:rPr>
              <w:rFonts w:ascii="Arial" w:hAnsi="Arial" w:cs="Arial"/>
            </w:rPr>
            <w:fldChar w:fldCharType="separate"/>
          </w:r>
          <w:r w:rsidR="0047154A">
            <w:rPr>
              <w:rFonts w:ascii="Arial" w:hAnsi="Arial" w:cs="Arial"/>
              <w:noProof/>
            </w:rPr>
            <w:t xml:space="preserve"> </w:t>
          </w:r>
          <w:r w:rsidR="0047154A" w:rsidRPr="0047154A">
            <w:rPr>
              <w:rFonts w:ascii="Arial" w:hAnsi="Arial" w:cs="Arial"/>
              <w:noProof/>
            </w:rPr>
            <w:t>(IPSA LOQUITUR, 2022)</w:t>
          </w:r>
          <w:r w:rsidR="0047154A">
            <w:rPr>
              <w:rFonts w:ascii="Arial" w:hAnsi="Arial" w:cs="Arial"/>
            </w:rPr>
            <w:fldChar w:fldCharType="end"/>
          </w:r>
        </w:sdtContent>
      </w:sdt>
      <w:r w:rsidR="0092315A">
        <w:rPr>
          <w:rFonts w:ascii="Arial" w:hAnsi="Arial" w:cs="Arial"/>
        </w:rPr>
        <w:t xml:space="preserve">. </w:t>
      </w:r>
      <w:r w:rsidR="007360B0">
        <w:rPr>
          <w:rFonts w:ascii="Arial" w:hAnsi="Arial" w:cs="Arial"/>
        </w:rPr>
        <w:t xml:space="preserve"> </w:t>
      </w:r>
      <w:r w:rsidR="00866C03">
        <w:rPr>
          <w:rFonts w:ascii="Arial" w:hAnsi="Arial" w:cs="Arial"/>
        </w:rPr>
        <w:t>“</w:t>
      </w:r>
      <w:r w:rsidR="00867412">
        <w:rPr>
          <w:rFonts w:ascii="Arial" w:hAnsi="Arial" w:cs="Arial"/>
        </w:rPr>
        <w:t xml:space="preserve">If a party </w:t>
      </w:r>
      <w:r w:rsidR="00837EB4">
        <w:rPr>
          <w:rFonts w:ascii="Arial" w:hAnsi="Arial" w:cs="Arial"/>
        </w:rPr>
        <w:t xml:space="preserve">accepts partial performance, </w:t>
      </w:r>
      <w:r w:rsidR="00C05E01">
        <w:rPr>
          <w:rFonts w:ascii="Arial" w:hAnsi="Arial" w:cs="Arial"/>
        </w:rPr>
        <w:t xml:space="preserve">it may be adequate in certain circumstances </w:t>
      </w:r>
      <w:r w:rsidR="00093F12">
        <w:rPr>
          <w:rFonts w:ascii="Arial" w:hAnsi="Arial" w:cs="Arial"/>
        </w:rPr>
        <w:t xml:space="preserve">to discharge the other party’s obligations under the contract </w:t>
      </w:r>
      <w:r w:rsidR="0083594B">
        <w:rPr>
          <w:rFonts w:ascii="Arial" w:hAnsi="Arial" w:cs="Arial"/>
        </w:rPr>
        <w:t xml:space="preserve">and also allow that party to sue on </w:t>
      </w:r>
      <w:r w:rsidR="00F67A42">
        <w:rPr>
          <w:rFonts w:ascii="Arial" w:hAnsi="Arial" w:cs="Arial"/>
        </w:rPr>
        <w:t>the amount they deserve for the work already done</w:t>
      </w:r>
      <w:sdt>
        <w:sdtPr>
          <w:rPr>
            <w:rFonts w:ascii="Arial" w:hAnsi="Arial" w:cs="Arial"/>
          </w:rPr>
          <w:id w:val="705750730"/>
          <w:citation/>
        </w:sdtPr>
        <w:sdtEndPr/>
        <w:sdtContent>
          <w:r w:rsidR="00F67A42">
            <w:rPr>
              <w:rFonts w:ascii="Arial" w:hAnsi="Arial" w:cs="Arial"/>
            </w:rPr>
            <w:fldChar w:fldCharType="begin"/>
          </w:r>
          <w:r w:rsidR="00F67A42">
            <w:rPr>
              <w:rFonts w:ascii="Arial" w:hAnsi="Arial" w:cs="Arial"/>
            </w:rPr>
            <w:instrText xml:space="preserve"> CITATION Ric17 \l 2057 </w:instrText>
          </w:r>
          <w:r w:rsidR="00F67A42">
            <w:rPr>
              <w:rFonts w:ascii="Arial" w:hAnsi="Arial" w:cs="Arial"/>
            </w:rPr>
            <w:fldChar w:fldCharType="separate"/>
          </w:r>
          <w:r w:rsidR="00F67A42">
            <w:rPr>
              <w:rFonts w:ascii="Arial" w:hAnsi="Arial" w:cs="Arial"/>
              <w:noProof/>
            </w:rPr>
            <w:t xml:space="preserve"> </w:t>
          </w:r>
          <w:r w:rsidR="00F67A42" w:rsidRPr="00F67A42">
            <w:rPr>
              <w:rFonts w:ascii="Arial" w:hAnsi="Arial" w:cs="Arial"/>
              <w:noProof/>
            </w:rPr>
            <w:t>(Devenney, 2017)</w:t>
          </w:r>
          <w:r w:rsidR="00F67A42">
            <w:rPr>
              <w:rFonts w:ascii="Arial" w:hAnsi="Arial" w:cs="Arial"/>
            </w:rPr>
            <w:fldChar w:fldCharType="end"/>
          </w:r>
        </w:sdtContent>
      </w:sdt>
      <w:r w:rsidR="00F67A42">
        <w:rPr>
          <w:rFonts w:ascii="Arial" w:hAnsi="Arial" w:cs="Arial"/>
        </w:rPr>
        <w:t>.</w:t>
      </w:r>
      <w:r w:rsidR="00866C03">
        <w:rPr>
          <w:rFonts w:ascii="Arial" w:hAnsi="Arial" w:cs="Arial"/>
        </w:rPr>
        <w:t>”</w:t>
      </w:r>
      <w:r w:rsidR="00AE4F29">
        <w:rPr>
          <w:rFonts w:ascii="Arial" w:hAnsi="Arial" w:cs="Arial"/>
        </w:rPr>
        <w:t xml:space="preserve"> </w:t>
      </w:r>
      <w:r w:rsidR="001C615C">
        <w:rPr>
          <w:rFonts w:ascii="Arial" w:hAnsi="Arial" w:cs="Arial"/>
        </w:rPr>
        <w:t xml:space="preserve"> Due to Cutter passing away before the </w:t>
      </w:r>
      <w:r w:rsidR="00D95AD0">
        <w:rPr>
          <w:rFonts w:ascii="Arial" w:hAnsi="Arial" w:cs="Arial"/>
        </w:rPr>
        <w:t xml:space="preserve">voyage from Jamaica to Liverpool could be completed it can be considered as </w:t>
      </w:r>
      <w:r w:rsidR="0041603F">
        <w:rPr>
          <w:rFonts w:ascii="Arial" w:hAnsi="Arial" w:cs="Arial"/>
        </w:rPr>
        <w:t xml:space="preserve">partial performance of a contract because Cutter did agree to </w:t>
      </w:r>
      <w:r w:rsidR="009B1430">
        <w:rPr>
          <w:rFonts w:ascii="Arial" w:hAnsi="Arial" w:cs="Arial"/>
        </w:rPr>
        <w:t>become the second mate on the voyage</w:t>
      </w:r>
      <w:r w:rsidR="006D76EA">
        <w:rPr>
          <w:rFonts w:ascii="Arial" w:hAnsi="Arial" w:cs="Arial"/>
        </w:rPr>
        <w:t>.</w:t>
      </w:r>
      <w:r w:rsidR="009B1430">
        <w:rPr>
          <w:rFonts w:ascii="Arial" w:hAnsi="Arial" w:cs="Arial"/>
        </w:rPr>
        <w:t xml:space="preserve"> </w:t>
      </w:r>
      <w:r w:rsidR="00AE4F29">
        <w:rPr>
          <w:rFonts w:ascii="Arial" w:hAnsi="Arial" w:cs="Arial"/>
        </w:rPr>
        <w:t>A</w:t>
      </w:r>
      <w:r w:rsidR="004F0139" w:rsidRPr="004F0139">
        <w:rPr>
          <w:rFonts w:ascii="Arial" w:hAnsi="Arial" w:cs="Arial"/>
        </w:rPr>
        <w:t>cceptance is an obvious statement of consent to the proposal included in the offer, and it binds both parties to the contract instantly</w:t>
      </w:r>
      <w:sdt>
        <w:sdtPr>
          <w:rPr>
            <w:rFonts w:ascii="Arial" w:hAnsi="Arial" w:cs="Arial"/>
          </w:rPr>
          <w:id w:val="896559655"/>
          <w:citation/>
        </w:sdtPr>
        <w:sdtEndPr/>
        <w:sdtContent>
          <w:r w:rsidR="00AE4F29">
            <w:rPr>
              <w:rFonts w:ascii="Arial" w:hAnsi="Arial" w:cs="Arial"/>
            </w:rPr>
            <w:fldChar w:fldCharType="begin"/>
          </w:r>
          <w:r w:rsidR="00AE4F29">
            <w:rPr>
              <w:rFonts w:ascii="Arial" w:hAnsi="Arial" w:cs="Arial"/>
            </w:rPr>
            <w:instrText xml:space="preserve"> CITATION Min05 \l 2057 </w:instrText>
          </w:r>
          <w:r w:rsidR="00AE4F29">
            <w:rPr>
              <w:rFonts w:ascii="Arial" w:hAnsi="Arial" w:cs="Arial"/>
            </w:rPr>
            <w:fldChar w:fldCharType="separate"/>
          </w:r>
          <w:r w:rsidR="00AE4F29">
            <w:rPr>
              <w:rFonts w:ascii="Arial" w:hAnsi="Arial" w:cs="Arial"/>
              <w:noProof/>
            </w:rPr>
            <w:t xml:space="preserve"> </w:t>
          </w:r>
          <w:r w:rsidR="00AE4F29" w:rsidRPr="00AE4F29">
            <w:rPr>
              <w:rFonts w:ascii="Arial" w:hAnsi="Arial" w:cs="Arial"/>
              <w:noProof/>
            </w:rPr>
            <w:t>(Chen-Wishart, 2005)</w:t>
          </w:r>
          <w:r w:rsidR="00AE4F29">
            <w:rPr>
              <w:rFonts w:ascii="Arial" w:hAnsi="Arial" w:cs="Arial"/>
            </w:rPr>
            <w:fldChar w:fldCharType="end"/>
          </w:r>
        </w:sdtContent>
      </w:sdt>
      <w:r w:rsidR="004F0139" w:rsidRPr="004F0139">
        <w:rPr>
          <w:rFonts w:ascii="Arial" w:hAnsi="Arial" w:cs="Arial"/>
        </w:rPr>
        <w:t>.</w:t>
      </w:r>
      <w:r w:rsidR="00D17809">
        <w:rPr>
          <w:rFonts w:ascii="Arial" w:hAnsi="Arial" w:cs="Arial"/>
        </w:rPr>
        <w:t xml:space="preserve"> </w:t>
      </w:r>
      <w:r w:rsidR="00DB3563">
        <w:rPr>
          <w:rFonts w:ascii="Arial" w:hAnsi="Arial" w:cs="Arial"/>
        </w:rPr>
        <w:t xml:space="preserve">Moreover, in the case of Brogden v Metropolitan Railway (1877) </w:t>
      </w:r>
      <w:r w:rsidR="009F02DC">
        <w:rPr>
          <w:rFonts w:ascii="Arial" w:hAnsi="Arial" w:cs="Arial"/>
        </w:rPr>
        <w:t xml:space="preserve">the house of lords deemed that the contract between </w:t>
      </w:r>
      <w:r w:rsidR="0018150A">
        <w:rPr>
          <w:rFonts w:ascii="Arial" w:hAnsi="Arial" w:cs="Arial"/>
        </w:rPr>
        <w:t>the suppliers, Brogden and the Metropolitan Railway was valid</w:t>
      </w:r>
      <w:r w:rsidR="00DB0090">
        <w:rPr>
          <w:rFonts w:ascii="Arial" w:hAnsi="Arial" w:cs="Arial"/>
        </w:rPr>
        <w:t xml:space="preserve">. The draft contract </w:t>
      </w:r>
      <w:r w:rsidR="00A841FC">
        <w:rPr>
          <w:rFonts w:ascii="Arial" w:hAnsi="Arial" w:cs="Arial"/>
        </w:rPr>
        <w:t xml:space="preserve">that was amended was considered as </w:t>
      </w:r>
      <w:r w:rsidR="009A27AC">
        <w:rPr>
          <w:rFonts w:ascii="Arial" w:hAnsi="Arial" w:cs="Arial"/>
        </w:rPr>
        <w:t>a</w:t>
      </w:r>
      <w:r w:rsidR="00A841FC">
        <w:rPr>
          <w:rFonts w:ascii="Arial" w:hAnsi="Arial" w:cs="Arial"/>
        </w:rPr>
        <w:t xml:space="preserve"> </w:t>
      </w:r>
      <w:r w:rsidR="00E456B6">
        <w:rPr>
          <w:rFonts w:ascii="Arial" w:hAnsi="Arial" w:cs="Arial"/>
        </w:rPr>
        <w:t>counteroffer</w:t>
      </w:r>
      <w:r w:rsidR="00A841FC">
        <w:rPr>
          <w:rFonts w:ascii="Arial" w:hAnsi="Arial" w:cs="Arial"/>
        </w:rPr>
        <w:t xml:space="preserve">, which was accepted </w:t>
      </w:r>
      <w:r w:rsidR="00681604">
        <w:rPr>
          <w:rFonts w:ascii="Arial" w:hAnsi="Arial" w:cs="Arial"/>
        </w:rPr>
        <w:t>by the conduct of the parties</w:t>
      </w:r>
      <w:sdt>
        <w:sdtPr>
          <w:rPr>
            <w:rFonts w:ascii="Arial" w:hAnsi="Arial" w:cs="Arial"/>
          </w:rPr>
          <w:id w:val="-290207450"/>
          <w:citation/>
        </w:sdtPr>
        <w:sdtEndPr/>
        <w:sdtContent>
          <w:r w:rsidR="00E456B6">
            <w:rPr>
              <w:rFonts w:ascii="Arial" w:hAnsi="Arial" w:cs="Arial"/>
            </w:rPr>
            <w:fldChar w:fldCharType="begin"/>
          </w:r>
          <w:r w:rsidR="00E456B6">
            <w:rPr>
              <w:rFonts w:ascii="Arial" w:hAnsi="Arial" w:cs="Arial"/>
            </w:rPr>
            <w:instrText xml:space="preserve"> CITATION Min05 \l 2057 </w:instrText>
          </w:r>
          <w:r w:rsidR="00E456B6">
            <w:rPr>
              <w:rFonts w:ascii="Arial" w:hAnsi="Arial" w:cs="Arial"/>
            </w:rPr>
            <w:fldChar w:fldCharType="separate"/>
          </w:r>
          <w:r w:rsidR="00E456B6">
            <w:rPr>
              <w:rFonts w:ascii="Arial" w:hAnsi="Arial" w:cs="Arial"/>
              <w:noProof/>
            </w:rPr>
            <w:t xml:space="preserve"> </w:t>
          </w:r>
          <w:r w:rsidR="00E456B6" w:rsidRPr="00E456B6">
            <w:rPr>
              <w:rFonts w:ascii="Arial" w:hAnsi="Arial" w:cs="Arial"/>
              <w:noProof/>
            </w:rPr>
            <w:t>(Chen-Wishart, 2005)</w:t>
          </w:r>
          <w:r w:rsidR="00E456B6">
            <w:rPr>
              <w:rFonts w:ascii="Arial" w:hAnsi="Arial" w:cs="Arial"/>
            </w:rPr>
            <w:fldChar w:fldCharType="end"/>
          </w:r>
        </w:sdtContent>
      </w:sdt>
      <w:r w:rsidR="00681604">
        <w:rPr>
          <w:rFonts w:ascii="Arial" w:hAnsi="Arial" w:cs="Arial"/>
        </w:rPr>
        <w:t>.</w:t>
      </w:r>
      <w:r w:rsidR="00D272FA">
        <w:rPr>
          <w:rFonts w:ascii="Arial" w:hAnsi="Arial" w:cs="Arial"/>
        </w:rPr>
        <w:t xml:space="preserve"> Furthermore, </w:t>
      </w:r>
      <w:r w:rsidR="007B2DE3">
        <w:rPr>
          <w:rFonts w:ascii="Arial" w:hAnsi="Arial" w:cs="Arial"/>
        </w:rPr>
        <w:t>in the case of Cutter v Powell (17</w:t>
      </w:r>
      <w:r w:rsidR="00752310">
        <w:rPr>
          <w:rFonts w:ascii="Arial" w:hAnsi="Arial" w:cs="Arial"/>
        </w:rPr>
        <w:t>95) there were no implied terms</w:t>
      </w:r>
      <w:r w:rsidR="009A27AC">
        <w:rPr>
          <w:rFonts w:ascii="Arial" w:hAnsi="Arial" w:cs="Arial"/>
        </w:rPr>
        <w:t>.</w:t>
      </w:r>
    </w:p>
    <w:p w14:paraId="6FE783E4" w14:textId="1CD2F90F" w:rsidR="004A76D6" w:rsidRPr="00B14AA3" w:rsidRDefault="00A65AF4" w:rsidP="00B14AA3">
      <w:pPr>
        <w:rPr>
          <w:b/>
          <w:bCs/>
          <w:sz w:val="24"/>
          <w:szCs w:val="24"/>
          <w:u w:val="single"/>
        </w:rPr>
      </w:pPr>
      <w:r w:rsidRPr="00B14AA3">
        <w:rPr>
          <w:b/>
          <w:bCs/>
          <w:sz w:val="24"/>
          <w:szCs w:val="24"/>
          <w:u w:val="single"/>
        </w:rPr>
        <w:t xml:space="preserve">Advise Arthur whether any valid contracts </w:t>
      </w:r>
      <w:r w:rsidR="00D6055F" w:rsidRPr="00B14AA3">
        <w:rPr>
          <w:b/>
          <w:bCs/>
          <w:sz w:val="24"/>
          <w:szCs w:val="24"/>
          <w:u w:val="single"/>
        </w:rPr>
        <w:t>exist</w:t>
      </w:r>
      <w:r w:rsidR="00967FE1" w:rsidRPr="00B14AA3">
        <w:rPr>
          <w:b/>
          <w:bCs/>
          <w:sz w:val="24"/>
          <w:szCs w:val="24"/>
          <w:u w:val="single"/>
        </w:rPr>
        <w:t xml:space="preserve"> for the sale of the watch</w:t>
      </w:r>
    </w:p>
    <w:p w14:paraId="58B5D580" w14:textId="7B2C74EE" w:rsidR="00221BF3" w:rsidRDefault="00757E36" w:rsidP="004A76D6">
      <w:pPr>
        <w:rPr>
          <w:rFonts w:ascii="Arial" w:hAnsi="Arial" w:cs="Arial"/>
        </w:rPr>
      </w:pPr>
      <w:r w:rsidRPr="006520D3">
        <w:rPr>
          <w:rFonts w:ascii="Arial" w:hAnsi="Arial" w:cs="Arial"/>
        </w:rPr>
        <w:t xml:space="preserve">The watch has been advertised in </w:t>
      </w:r>
      <w:r w:rsidR="00B22033" w:rsidRPr="006520D3">
        <w:rPr>
          <w:rFonts w:ascii="Arial" w:hAnsi="Arial" w:cs="Arial"/>
        </w:rPr>
        <w:t xml:space="preserve">the “Antique-tickers” magazine which means that </w:t>
      </w:r>
      <w:r w:rsidR="00BD4165" w:rsidRPr="006520D3">
        <w:rPr>
          <w:rFonts w:ascii="Arial" w:hAnsi="Arial" w:cs="Arial"/>
        </w:rPr>
        <w:t>it is an invitation to treat and not an offer</w:t>
      </w:r>
      <w:r w:rsidR="00356CA4" w:rsidRPr="006520D3">
        <w:rPr>
          <w:rFonts w:ascii="Arial" w:hAnsi="Arial" w:cs="Arial"/>
        </w:rPr>
        <w:t>, which is</w:t>
      </w:r>
      <w:r w:rsidR="00DB6133" w:rsidRPr="006520D3">
        <w:rPr>
          <w:rFonts w:ascii="Arial" w:hAnsi="Arial" w:cs="Arial"/>
        </w:rPr>
        <w:t xml:space="preserve"> a</w:t>
      </w:r>
      <w:r w:rsidR="00356CA4" w:rsidRPr="006520D3">
        <w:rPr>
          <w:rFonts w:ascii="Arial" w:hAnsi="Arial" w:cs="Arial"/>
        </w:rPr>
        <w:t xml:space="preserve"> similar</w:t>
      </w:r>
      <w:r w:rsidR="00DB6133" w:rsidRPr="006520D3">
        <w:rPr>
          <w:rFonts w:ascii="Arial" w:hAnsi="Arial" w:cs="Arial"/>
        </w:rPr>
        <w:t xml:space="preserve"> situation as the case of Partridge v Crittenden (1968)</w:t>
      </w:r>
      <w:r w:rsidR="008C541B" w:rsidRPr="006520D3">
        <w:rPr>
          <w:rFonts w:ascii="Arial" w:hAnsi="Arial" w:cs="Arial"/>
        </w:rPr>
        <w:t xml:space="preserve"> in which the court said that the advertisement was not an offer but rather an </w:t>
      </w:r>
      <w:r w:rsidR="00686FC7" w:rsidRPr="006520D3">
        <w:rPr>
          <w:rFonts w:ascii="Arial" w:hAnsi="Arial" w:cs="Arial"/>
        </w:rPr>
        <w:t>invitation</w:t>
      </w:r>
      <w:r w:rsidR="008C541B" w:rsidRPr="006520D3">
        <w:rPr>
          <w:rFonts w:ascii="Arial" w:hAnsi="Arial" w:cs="Arial"/>
        </w:rPr>
        <w:t xml:space="preserve"> to treat</w:t>
      </w:r>
      <w:r w:rsidR="00686FC7" w:rsidRPr="006520D3">
        <w:rPr>
          <w:rFonts w:ascii="Arial" w:hAnsi="Arial" w:cs="Arial"/>
        </w:rPr>
        <w:t xml:space="preserve"> which resulted in the defendant being found not guilty</w:t>
      </w:r>
      <w:sdt>
        <w:sdtPr>
          <w:rPr>
            <w:rFonts w:ascii="Arial" w:hAnsi="Arial" w:cs="Arial"/>
          </w:rPr>
          <w:id w:val="1981494339"/>
          <w:citation/>
        </w:sdtPr>
        <w:sdtContent>
          <w:r w:rsidR="002E3A91" w:rsidRPr="006520D3">
            <w:rPr>
              <w:rFonts w:ascii="Arial" w:hAnsi="Arial" w:cs="Arial"/>
            </w:rPr>
            <w:fldChar w:fldCharType="begin"/>
          </w:r>
          <w:r w:rsidR="002E3A91" w:rsidRPr="006520D3">
            <w:rPr>
              <w:rFonts w:ascii="Arial" w:hAnsi="Arial" w:cs="Arial"/>
            </w:rPr>
            <w:instrText xml:space="preserve"> CITATION Jil16 \l 2057 </w:instrText>
          </w:r>
          <w:r w:rsidR="002E3A91" w:rsidRPr="006520D3">
            <w:rPr>
              <w:rFonts w:ascii="Arial" w:hAnsi="Arial" w:cs="Arial"/>
            </w:rPr>
            <w:fldChar w:fldCharType="separate"/>
          </w:r>
          <w:r w:rsidR="002E3A91" w:rsidRPr="006520D3">
            <w:rPr>
              <w:rFonts w:ascii="Arial" w:hAnsi="Arial" w:cs="Arial"/>
              <w:noProof/>
            </w:rPr>
            <w:t xml:space="preserve"> (Poole, 2016)</w:t>
          </w:r>
          <w:r w:rsidR="002E3A91" w:rsidRPr="006520D3">
            <w:rPr>
              <w:rFonts w:ascii="Arial" w:hAnsi="Arial" w:cs="Arial"/>
            </w:rPr>
            <w:fldChar w:fldCharType="end"/>
          </w:r>
        </w:sdtContent>
      </w:sdt>
      <w:r w:rsidR="002E3A91" w:rsidRPr="006520D3">
        <w:rPr>
          <w:rFonts w:ascii="Arial" w:hAnsi="Arial" w:cs="Arial"/>
        </w:rPr>
        <w:t>.</w:t>
      </w:r>
      <w:r w:rsidR="00B32951" w:rsidRPr="006520D3">
        <w:rPr>
          <w:rFonts w:ascii="Arial" w:hAnsi="Arial" w:cs="Arial"/>
        </w:rPr>
        <w:t xml:space="preserve"> Invitations to treat are usually </w:t>
      </w:r>
      <w:r w:rsidR="00CB0CFA" w:rsidRPr="006520D3">
        <w:rPr>
          <w:rFonts w:ascii="Arial" w:hAnsi="Arial" w:cs="Arial"/>
        </w:rPr>
        <w:t xml:space="preserve">advertisements and auctions </w:t>
      </w:r>
      <w:r w:rsidR="00883283" w:rsidRPr="006520D3">
        <w:rPr>
          <w:rFonts w:ascii="Arial" w:hAnsi="Arial" w:cs="Arial"/>
        </w:rPr>
        <w:t xml:space="preserve">as it enables the parties to </w:t>
      </w:r>
      <w:r w:rsidR="00D11F02" w:rsidRPr="006520D3">
        <w:rPr>
          <w:rFonts w:ascii="Arial" w:hAnsi="Arial" w:cs="Arial"/>
        </w:rPr>
        <w:t>pre negotiations before committing themselves to a contract.</w:t>
      </w:r>
      <w:r w:rsidR="00356CA4" w:rsidRPr="006520D3">
        <w:rPr>
          <w:rFonts w:ascii="Arial" w:hAnsi="Arial" w:cs="Arial"/>
        </w:rPr>
        <w:t xml:space="preserve"> </w:t>
      </w:r>
      <w:r w:rsidR="00A8703A">
        <w:rPr>
          <w:rFonts w:ascii="Arial" w:hAnsi="Arial" w:cs="Arial"/>
        </w:rPr>
        <w:t xml:space="preserve">An example of </w:t>
      </w:r>
      <w:r w:rsidR="001B4E15">
        <w:rPr>
          <w:rFonts w:ascii="Arial" w:hAnsi="Arial" w:cs="Arial"/>
        </w:rPr>
        <w:t>that an advertisement i</w:t>
      </w:r>
      <w:r w:rsidR="00784F3E">
        <w:rPr>
          <w:rFonts w:ascii="Arial" w:hAnsi="Arial" w:cs="Arial"/>
        </w:rPr>
        <w:t xml:space="preserve">s an invitation to treat is the case of </w:t>
      </w:r>
      <w:r w:rsidR="006D562B">
        <w:rPr>
          <w:rFonts w:ascii="Arial" w:hAnsi="Arial" w:cs="Arial"/>
        </w:rPr>
        <w:t xml:space="preserve">Carlill v Carbolic Smoke Ball Co Ltd (1893). </w:t>
      </w:r>
      <w:r w:rsidR="00C553B6">
        <w:rPr>
          <w:rFonts w:ascii="Arial" w:hAnsi="Arial" w:cs="Arial"/>
        </w:rPr>
        <w:t>The issue with this case was the fact that the advertisement in the newspaper</w:t>
      </w:r>
      <w:r w:rsidR="002471D3">
        <w:rPr>
          <w:rFonts w:ascii="Arial" w:hAnsi="Arial" w:cs="Arial"/>
        </w:rPr>
        <w:t xml:space="preserve"> was more of an invitation to treat </w:t>
      </w:r>
      <w:r w:rsidR="00700E4A">
        <w:rPr>
          <w:rFonts w:ascii="Arial" w:hAnsi="Arial" w:cs="Arial"/>
        </w:rPr>
        <w:t>than an offer. This was because th</w:t>
      </w:r>
      <w:r w:rsidR="004F5014">
        <w:rPr>
          <w:rFonts w:ascii="Arial" w:hAnsi="Arial" w:cs="Arial"/>
        </w:rPr>
        <w:t>ere was no consideration provided since the offer did not specify that the user</w:t>
      </w:r>
      <w:r w:rsidR="003A1AEF">
        <w:rPr>
          <w:rFonts w:ascii="Arial" w:hAnsi="Arial" w:cs="Arial"/>
        </w:rPr>
        <w:t xml:space="preserve"> of the ball must have purchased them</w:t>
      </w:r>
      <w:r w:rsidR="00625AC7">
        <w:rPr>
          <w:rFonts w:ascii="Arial" w:hAnsi="Arial" w:cs="Arial"/>
        </w:rPr>
        <w:t>. The court held that the claimant was entitled to</w:t>
      </w:r>
      <w:r w:rsidR="00D5712E">
        <w:rPr>
          <w:rFonts w:ascii="Arial" w:hAnsi="Arial" w:cs="Arial"/>
        </w:rPr>
        <w:t xml:space="preserve"> the</w:t>
      </w:r>
      <w:r w:rsidR="00625AC7">
        <w:rPr>
          <w:rFonts w:ascii="Arial" w:hAnsi="Arial" w:cs="Arial"/>
        </w:rPr>
        <w:t xml:space="preserve"> reward</w:t>
      </w:r>
      <w:r w:rsidR="009B0877">
        <w:rPr>
          <w:rFonts w:ascii="Arial" w:hAnsi="Arial" w:cs="Arial"/>
        </w:rPr>
        <w:t xml:space="preserve"> due to the advert constituting an offer of a unilateral contract which the claimant had accepted by </w:t>
      </w:r>
      <w:r w:rsidR="00435A81">
        <w:rPr>
          <w:rFonts w:ascii="Arial" w:hAnsi="Arial" w:cs="Arial"/>
        </w:rPr>
        <w:t>performing the conditions in the offer</w:t>
      </w:r>
      <w:sdt>
        <w:sdtPr>
          <w:rPr>
            <w:rFonts w:ascii="Arial" w:hAnsi="Arial" w:cs="Arial"/>
          </w:rPr>
          <w:id w:val="1888674154"/>
          <w:citation/>
        </w:sdtPr>
        <w:sdtContent>
          <w:r w:rsidR="00435A81">
            <w:rPr>
              <w:rFonts w:ascii="Arial" w:hAnsi="Arial" w:cs="Arial"/>
            </w:rPr>
            <w:fldChar w:fldCharType="begin"/>
          </w:r>
          <w:r w:rsidR="00435A81">
            <w:rPr>
              <w:rFonts w:ascii="Arial" w:hAnsi="Arial" w:cs="Arial"/>
            </w:rPr>
            <w:instrText xml:space="preserve"> CITATION eLa22 \l 2057 </w:instrText>
          </w:r>
          <w:r w:rsidR="00435A81">
            <w:rPr>
              <w:rFonts w:ascii="Arial" w:hAnsi="Arial" w:cs="Arial"/>
            </w:rPr>
            <w:fldChar w:fldCharType="separate"/>
          </w:r>
          <w:r w:rsidR="00435A81">
            <w:rPr>
              <w:rFonts w:ascii="Arial" w:hAnsi="Arial" w:cs="Arial"/>
              <w:noProof/>
            </w:rPr>
            <w:t xml:space="preserve"> </w:t>
          </w:r>
          <w:r w:rsidR="00435A81" w:rsidRPr="00435A81">
            <w:rPr>
              <w:rFonts w:ascii="Arial" w:hAnsi="Arial" w:cs="Arial"/>
              <w:noProof/>
            </w:rPr>
            <w:t>(eLawresources, 2022)</w:t>
          </w:r>
          <w:r w:rsidR="00435A81">
            <w:rPr>
              <w:rFonts w:ascii="Arial" w:hAnsi="Arial" w:cs="Arial"/>
            </w:rPr>
            <w:fldChar w:fldCharType="end"/>
          </w:r>
        </w:sdtContent>
      </w:sdt>
      <w:r w:rsidR="00435A81">
        <w:rPr>
          <w:rFonts w:ascii="Arial" w:hAnsi="Arial" w:cs="Arial"/>
        </w:rPr>
        <w:t>.</w:t>
      </w:r>
      <w:r w:rsidR="00625AC7">
        <w:rPr>
          <w:rFonts w:ascii="Arial" w:hAnsi="Arial" w:cs="Arial"/>
        </w:rPr>
        <w:t xml:space="preserve"> </w:t>
      </w:r>
    </w:p>
    <w:p w14:paraId="674F05A6" w14:textId="3B039B06" w:rsidR="00BA707E" w:rsidRDefault="00F12D4A" w:rsidP="004A76D6">
      <w:pPr>
        <w:rPr>
          <w:rFonts w:ascii="Arial" w:hAnsi="Arial" w:cs="Arial"/>
        </w:rPr>
      </w:pPr>
      <w:r>
        <w:rPr>
          <w:rFonts w:ascii="Arial" w:hAnsi="Arial" w:cs="Arial"/>
        </w:rPr>
        <w:t xml:space="preserve">Furthermore, </w:t>
      </w:r>
      <w:r w:rsidR="00857A8A">
        <w:rPr>
          <w:rFonts w:ascii="Arial" w:hAnsi="Arial" w:cs="Arial"/>
        </w:rPr>
        <w:t>unilateral</w:t>
      </w:r>
      <w:r w:rsidR="00C34C73">
        <w:rPr>
          <w:rFonts w:ascii="Arial" w:hAnsi="Arial" w:cs="Arial"/>
        </w:rPr>
        <w:t xml:space="preserve"> contracts </w:t>
      </w:r>
      <w:r w:rsidR="00B0691A">
        <w:rPr>
          <w:rFonts w:ascii="Arial" w:hAnsi="Arial" w:cs="Arial"/>
        </w:rPr>
        <w:t xml:space="preserve">form from unilateral offers </w:t>
      </w:r>
      <w:r w:rsidR="00B60508">
        <w:rPr>
          <w:rFonts w:ascii="Arial" w:hAnsi="Arial" w:cs="Arial"/>
        </w:rPr>
        <w:t xml:space="preserve">which occur </w:t>
      </w:r>
      <w:r w:rsidR="00343988">
        <w:rPr>
          <w:rFonts w:ascii="Arial" w:hAnsi="Arial" w:cs="Arial"/>
        </w:rPr>
        <w:t>when the offer</w:t>
      </w:r>
      <w:r w:rsidR="004F3F2B">
        <w:rPr>
          <w:rFonts w:ascii="Arial" w:hAnsi="Arial" w:cs="Arial"/>
        </w:rPr>
        <w:t xml:space="preserve">or says to the offeree if they do something for them then they promise </w:t>
      </w:r>
      <w:r w:rsidR="001F0FE0">
        <w:rPr>
          <w:rFonts w:ascii="Arial" w:hAnsi="Arial" w:cs="Arial"/>
        </w:rPr>
        <w:t>to do something for them in return</w:t>
      </w:r>
      <w:r w:rsidR="008D2D96">
        <w:rPr>
          <w:rFonts w:ascii="Arial" w:hAnsi="Arial" w:cs="Arial"/>
        </w:rPr>
        <w:t xml:space="preserve">. Bilateral contracts </w:t>
      </w:r>
      <w:r w:rsidR="00A821C9">
        <w:rPr>
          <w:rFonts w:ascii="Arial" w:hAnsi="Arial" w:cs="Arial"/>
        </w:rPr>
        <w:t>are</w:t>
      </w:r>
      <w:r w:rsidR="008D2D96">
        <w:rPr>
          <w:rFonts w:ascii="Arial" w:hAnsi="Arial" w:cs="Arial"/>
        </w:rPr>
        <w:t xml:space="preserve"> when </w:t>
      </w:r>
      <w:r w:rsidR="008230A9">
        <w:rPr>
          <w:rFonts w:ascii="Arial" w:hAnsi="Arial" w:cs="Arial"/>
        </w:rPr>
        <w:t xml:space="preserve">both </w:t>
      </w:r>
      <w:r w:rsidR="002C740B">
        <w:rPr>
          <w:rFonts w:ascii="Arial" w:hAnsi="Arial" w:cs="Arial"/>
        </w:rPr>
        <w:t>of the parties involved have obligations</w:t>
      </w:r>
      <w:r w:rsidR="00A821C9">
        <w:rPr>
          <w:rFonts w:ascii="Arial" w:hAnsi="Arial" w:cs="Arial"/>
        </w:rPr>
        <w:t>,</w:t>
      </w:r>
      <w:r w:rsidR="00D3781A">
        <w:rPr>
          <w:rFonts w:ascii="Arial" w:hAnsi="Arial" w:cs="Arial"/>
        </w:rPr>
        <w:t xml:space="preserve"> </w:t>
      </w:r>
      <w:r w:rsidR="0041328A">
        <w:rPr>
          <w:rFonts w:ascii="Arial" w:hAnsi="Arial" w:cs="Arial"/>
        </w:rPr>
        <w:t xml:space="preserve">in </w:t>
      </w:r>
      <w:r w:rsidR="00D3781A">
        <w:rPr>
          <w:rFonts w:ascii="Arial" w:hAnsi="Arial" w:cs="Arial"/>
        </w:rPr>
        <w:t xml:space="preserve">unilateral and bilateral contracts the distinction </w:t>
      </w:r>
      <w:r w:rsidR="00541EE0">
        <w:rPr>
          <w:rFonts w:ascii="Arial" w:hAnsi="Arial" w:cs="Arial"/>
        </w:rPr>
        <w:t>in relation to the areas of acceptance and consideration is important</w:t>
      </w:r>
      <w:sdt>
        <w:sdtPr>
          <w:rPr>
            <w:rFonts w:ascii="Arial" w:hAnsi="Arial" w:cs="Arial"/>
          </w:rPr>
          <w:id w:val="-1189294727"/>
          <w:citation/>
        </w:sdtPr>
        <w:sdtContent>
          <w:r w:rsidR="008F604D">
            <w:rPr>
              <w:rFonts w:ascii="Arial" w:hAnsi="Arial" w:cs="Arial"/>
            </w:rPr>
            <w:fldChar w:fldCharType="begin"/>
          </w:r>
          <w:r w:rsidR="008F604D">
            <w:rPr>
              <w:rFonts w:ascii="Arial" w:hAnsi="Arial" w:cs="Arial"/>
            </w:rPr>
            <w:instrText xml:space="preserve"> CITATION Ric17 \l 2057 </w:instrText>
          </w:r>
          <w:r w:rsidR="008F604D">
            <w:rPr>
              <w:rFonts w:ascii="Arial" w:hAnsi="Arial" w:cs="Arial"/>
            </w:rPr>
            <w:fldChar w:fldCharType="separate"/>
          </w:r>
          <w:r w:rsidR="008F604D">
            <w:rPr>
              <w:rFonts w:ascii="Arial" w:hAnsi="Arial" w:cs="Arial"/>
              <w:noProof/>
            </w:rPr>
            <w:t xml:space="preserve"> </w:t>
          </w:r>
          <w:r w:rsidR="008F604D" w:rsidRPr="008F604D">
            <w:rPr>
              <w:rFonts w:ascii="Arial" w:hAnsi="Arial" w:cs="Arial"/>
              <w:noProof/>
            </w:rPr>
            <w:t>(Devenney, 2017)</w:t>
          </w:r>
          <w:r w:rsidR="008F604D">
            <w:rPr>
              <w:rFonts w:ascii="Arial" w:hAnsi="Arial" w:cs="Arial"/>
            </w:rPr>
            <w:fldChar w:fldCharType="end"/>
          </w:r>
        </w:sdtContent>
      </w:sdt>
      <w:r w:rsidR="00E030FF">
        <w:rPr>
          <w:rFonts w:ascii="Arial" w:hAnsi="Arial" w:cs="Arial"/>
        </w:rPr>
        <w:t xml:space="preserve">. This is because </w:t>
      </w:r>
      <w:r w:rsidR="00BB11DB">
        <w:rPr>
          <w:rFonts w:ascii="Arial" w:hAnsi="Arial" w:cs="Arial"/>
        </w:rPr>
        <w:t xml:space="preserve">there can be confusion </w:t>
      </w:r>
      <w:r w:rsidR="00A57A7F">
        <w:rPr>
          <w:rFonts w:ascii="Arial" w:hAnsi="Arial" w:cs="Arial"/>
        </w:rPr>
        <w:t xml:space="preserve">whether an advertisement is an invitation to treat or an offer which can be seen in the case </w:t>
      </w:r>
      <w:r w:rsidR="008231F9">
        <w:rPr>
          <w:rFonts w:ascii="Arial" w:hAnsi="Arial" w:cs="Arial"/>
        </w:rPr>
        <w:t>of Carlil</w:t>
      </w:r>
      <w:r w:rsidR="008F604D">
        <w:rPr>
          <w:rFonts w:ascii="Arial" w:hAnsi="Arial" w:cs="Arial"/>
        </w:rPr>
        <w:t>l</w:t>
      </w:r>
      <w:r w:rsidR="008231F9">
        <w:rPr>
          <w:rFonts w:ascii="Arial" w:hAnsi="Arial" w:cs="Arial"/>
        </w:rPr>
        <w:t xml:space="preserve"> v Carbolic Smoke Balls Co Ltd (18</w:t>
      </w:r>
      <w:r w:rsidR="008F604D">
        <w:rPr>
          <w:rFonts w:ascii="Arial" w:hAnsi="Arial" w:cs="Arial"/>
        </w:rPr>
        <w:t xml:space="preserve">93). </w:t>
      </w:r>
      <w:r w:rsidR="000C02E9">
        <w:rPr>
          <w:rFonts w:ascii="Arial" w:hAnsi="Arial" w:cs="Arial"/>
        </w:rPr>
        <w:t>A</w:t>
      </w:r>
      <w:r w:rsidR="005233F7">
        <w:rPr>
          <w:rFonts w:ascii="Arial" w:hAnsi="Arial" w:cs="Arial"/>
        </w:rPr>
        <w:t xml:space="preserve">dvertisements of a unilateral contract is an offer and </w:t>
      </w:r>
      <w:r w:rsidR="00B64CE5">
        <w:rPr>
          <w:rFonts w:ascii="Arial" w:hAnsi="Arial" w:cs="Arial"/>
        </w:rPr>
        <w:t>advertisements that are bilateral contracts are an invitation to treat</w:t>
      </w:r>
      <w:sdt>
        <w:sdtPr>
          <w:rPr>
            <w:rFonts w:ascii="Arial" w:hAnsi="Arial" w:cs="Arial"/>
          </w:rPr>
          <w:id w:val="-1166783209"/>
          <w:citation/>
        </w:sdtPr>
        <w:sdtContent>
          <w:r w:rsidR="00D229DD">
            <w:rPr>
              <w:rFonts w:ascii="Arial" w:hAnsi="Arial" w:cs="Arial"/>
            </w:rPr>
            <w:fldChar w:fldCharType="begin"/>
          </w:r>
          <w:r w:rsidR="00D229DD">
            <w:rPr>
              <w:rFonts w:ascii="Arial" w:hAnsi="Arial" w:cs="Arial"/>
            </w:rPr>
            <w:instrText xml:space="preserve"> CITATION Jul21 \l 2057 </w:instrText>
          </w:r>
          <w:r w:rsidR="00D229DD">
            <w:rPr>
              <w:rFonts w:ascii="Arial" w:hAnsi="Arial" w:cs="Arial"/>
            </w:rPr>
            <w:fldChar w:fldCharType="separate"/>
          </w:r>
          <w:r w:rsidR="00D229DD">
            <w:rPr>
              <w:rFonts w:ascii="Arial" w:hAnsi="Arial" w:cs="Arial"/>
              <w:noProof/>
            </w:rPr>
            <w:t xml:space="preserve"> </w:t>
          </w:r>
          <w:r w:rsidR="00D229DD" w:rsidRPr="00D229DD">
            <w:rPr>
              <w:rFonts w:ascii="Arial" w:hAnsi="Arial" w:cs="Arial"/>
              <w:noProof/>
            </w:rPr>
            <w:t>(Young, 2021)</w:t>
          </w:r>
          <w:r w:rsidR="00D229DD">
            <w:rPr>
              <w:rFonts w:ascii="Arial" w:hAnsi="Arial" w:cs="Arial"/>
            </w:rPr>
            <w:fldChar w:fldCharType="end"/>
          </w:r>
        </w:sdtContent>
      </w:sdt>
      <w:r w:rsidR="00B64CE5">
        <w:rPr>
          <w:rFonts w:ascii="Arial" w:hAnsi="Arial" w:cs="Arial"/>
        </w:rPr>
        <w:t>.</w:t>
      </w:r>
    </w:p>
    <w:p w14:paraId="211B650B" w14:textId="3A23BAB0" w:rsidR="00311F64" w:rsidRPr="006520D3" w:rsidRDefault="005C643C" w:rsidP="004A76D6">
      <w:pPr>
        <w:rPr>
          <w:rFonts w:ascii="Arial" w:hAnsi="Arial" w:cs="Arial"/>
        </w:rPr>
      </w:pPr>
      <w:r>
        <w:rPr>
          <w:rFonts w:ascii="Arial" w:hAnsi="Arial" w:cs="Arial"/>
        </w:rPr>
        <w:t xml:space="preserve">In this situation Arthur is </w:t>
      </w:r>
      <w:r w:rsidR="006D7F3B">
        <w:rPr>
          <w:rFonts w:ascii="Arial" w:hAnsi="Arial" w:cs="Arial"/>
        </w:rPr>
        <w:t xml:space="preserve">offeree and not the offeror. </w:t>
      </w:r>
      <w:r w:rsidR="008978B6">
        <w:rPr>
          <w:rFonts w:ascii="Arial" w:hAnsi="Arial" w:cs="Arial"/>
        </w:rPr>
        <w:t xml:space="preserve">This is because </w:t>
      </w:r>
      <w:r w:rsidR="00913C1C">
        <w:rPr>
          <w:rFonts w:ascii="Arial" w:hAnsi="Arial" w:cs="Arial"/>
        </w:rPr>
        <w:t>the offeree is the party who the offer has been made to and the offeror is the party making the offer</w:t>
      </w:r>
      <w:sdt>
        <w:sdtPr>
          <w:rPr>
            <w:rFonts w:ascii="Arial" w:hAnsi="Arial" w:cs="Arial"/>
          </w:rPr>
          <w:id w:val="-984623398"/>
          <w:citation/>
        </w:sdtPr>
        <w:sdtContent>
          <w:r w:rsidR="003B227C">
            <w:rPr>
              <w:rFonts w:ascii="Arial" w:hAnsi="Arial" w:cs="Arial"/>
            </w:rPr>
            <w:fldChar w:fldCharType="begin"/>
          </w:r>
          <w:r w:rsidR="003B227C">
            <w:rPr>
              <w:rFonts w:ascii="Arial" w:hAnsi="Arial" w:cs="Arial"/>
            </w:rPr>
            <w:instrText xml:space="preserve"> CITATION Inc20 \l 2057 </w:instrText>
          </w:r>
          <w:r w:rsidR="003B227C">
            <w:rPr>
              <w:rFonts w:ascii="Arial" w:hAnsi="Arial" w:cs="Arial"/>
            </w:rPr>
            <w:fldChar w:fldCharType="separate"/>
          </w:r>
          <w:r w:rsidR="003B227C">
            <w:rPr>
              <w:rFonts w:ascii="Arial" w:hAnsi="Arial" w:cs="Arial"/>
              <w:noProof/>
            </w:rPr>
            <w:t xml:space="preserve"> </w:t>
          </w:r>
          <w:r w:rsidR="003B227C" w:rsidRPr="003B227C">
            <w:rPr>
              <w:rFonts w:ascii="Arial" w:hAnsi="Arial" w:cs="Arial"/>
              <w:noProof/>
            </w:rPr>
            <w:t>(IncorporatedZone, 2020)</w:t>
          </w:r>
          <w:r w:rsidR="003B227C">
            <w:rPr>
              <w:rFonts w:ascii="Arial" w:hAnsi="Arial" w:cs="Arial"/>
            </w:rPr>
            <w:fldChar w:fldCharType="end"/>
          </w:r>
        </w:sdtContent>
      </w:sdt>
      <w:r w:rsidR="00A2273D">
        <w:rPr>
          <w:rFonts w:ascii="Arial" w:hAnsi="Arial" w:cs="Arial"/>
        </w:rPr>
        <w:t xml:space="preserve">. </w:t>
      </w:r>
      <w:r w:rsidR="0005563E">
        <w:rPr>
          <w:rFonts w:ascii="Arial" w:hAnsi="Arial" w:cs="Arial"/>
        </w:rPr>
        <w:t>Due to Arthur stating in</w:t>
      </w:r>
      <w:r w:rsidR="005D2221">
        <w:rPr>
          <w:rFonts w:ascii="Arial" w:hAnsi="Arial" w:cs="Arial"/>
        </w:rPr>
        <w:t xml:space="preserve"> the</w:t>
      </w:r>
      <w:r w:rsidR="0005563E">
        <w:rPr>
          <w:rFonts w:ascii="Arial" w:hAnsi="Arial" w:cs="Arial"/>
        </w:rPr>
        <w:t xml:space="preserve"> </w:t>
      </w:r>
      <w:r w:rsidR="00471298">
        <w:rPr>
          <w:rFonts w:ascii="Arial" w:hAnsi="Arial" w:cs="Arial"/>
        </w:rPr>
        <w:t xml:space="preserve">advertisement in the magazine that he is “open to serious offers” people </w:t>
      </w:r>
      <w:r w:rsidR="003B227C">
        <w:rPr>
          <w:rFonts w:ascii="Arial" w:hAnsi="Arial" w:cs="Arial"/>
        </w:rPr>
        <w:t>have made offers for the watch to him</w:t>
      </w:r>
      <w:r w:rsidR="007E7F4E">
        <w:rPr>
          <w:rFonts w:ascii="Arial" w:hAnsi="Arial" w:cs="Arial"/>
        </w:rPr>
        <w:t xml:space="preserve"> this is because </w:t>
      </w:r>
      <w:r w:rsidR="003109AE">
        <w:rPr>
          <w:rFonts w:ascii="Arial" w:hAnsi="Arial" w:cs="Arial"/>
        </w:rPr>
        <w:t xml:space="preserve">even though he has set a price for the watch he is still open </w:t>
      </w:r>
      <w:r w:rsidR="008E45AA">
        <w:rPr>
          <w:rFonts w:ascii="Arial" w:hAnsi="Arial" w:cs="Arial"/>
        </w:rPr>
        <w:t>to start negotiations with others and</w:t>
      </w:r>
      <w:r w:rsidR="006C783F">
        <w:rPr>
          <w:rFonts w:ascii="Arial" w:hAnsi="Arial" w:cs="Arial"/>
        </w:rPr>
        <w:t xml:space="preserve"> their </w:t>
      </w:r>
      <w:r w:rsidR="008E45AA">
        <w:rPr>
          <w:rFonts w:ascii="Arial" w:hAnsi="Arial" w:cs="Arial"/>
        </w:rPr>
        <w:t xml:space="preserve">offers </w:t>
      </w:r>
      <w:r w:rsidR="006C783F">
        <w:rPr>
          <w:rFonts w:ascii="Arial" w:hAnsi="Arial" w:cs="Arial"/>
        </w:rPr>
        <w:t>it is an appropriate price for him to sell at</w:t>
      </w:r>
      <w:r w:rsidR="003B227C">
        <w:rPr>
          <w:rFonts w:ascii="Arial" w:hAnsi="Arial" w:cs="Arial"/>
        </w:rPr>
        <w:t>.</w:t>
      </w:r>
    </w:p>
    <w:p w14:paraId="00F2B06A" w14:textId="77777777" w:rsidR="00D10986" w:rsidRDefault="00FB018A" w:rsidP="004A76D6">
      <w:pPr>
        <w:rPr>
          <w:rFonts w:ascii="Arial" w:hAnsi="Arial" w:cs="Arial"/>
        </w:rPr>
      </w:pPr>
      <w:r w:rsidRPr="006520D3">
        <w:rPr>
          <w:rFonts w:ascii="Arial" w:hAnsi="Arial" w:cs="Arial"/>
        </w:rPr>
        <w:t xml:space="preserve">When Ben sent </w:t>
      </w:r>
      <w:r w:rsidR="00221BF3" w:rsidRPr="006520D3">
        <w:rPr>
          <w:rFonts w:ascii="Arial" w:hAnsi="Arial" w:cs="Arial"/>
        </w:rPr>
        <w:t>a letter on the 4</w:t>
      </w:r>
      <w:r w:rsidR="00221BF3" w:rsidRPr="006520D3">
        <w:rPr>
          <w:rFonts w:ascii="Arial" w:hAnsi="Arial" w:cs="Arial"/>
          <w:vertAlign w:val="superscript"/>
        </w:rPr>
        <w:t>th</w:t>
      </w:r>
      <w:r w:rsidR="00221BF3" w:rsidRPr="006520D3">
        <w:rPr>
          <w:rFonts w:ascii="Arial" w:hAnsi="Arial" w:cs="Arial"/>
        </w:rPr>
        <w:t xml:space="preserve"> May stating that he would like to purchase the watch </w:t>
      </w:r>
      <w:r w:rsidR="00E6546C" w:rsidRPr="006520D3">
        <w:rPr>
          <w:rFonts w:ascii="Arial" w:hAnsi="Arial" w:cs="Arial"/>
        </w:rPr>
        <w:t xml:space="preserve">for £15,000 he made an offer. This is because </w:t>
      </w:r>
      <w:r w:rsidR="00727DCA" w:rsidRPr="006520D3">
        <w:rPr>
          <w:rFonts w:ascii="Arial" w:hAnsi="Arial" w:cs="Arial"/>
        </w:rPr>
        <w:t xml:space="preserve">if a party wants to make an </w:t>
      </w:r>
      <w:r w:rsidR="00C57B2A" w:rsidRPr="006520D3">
        <w:rPr>
          <w:rFonts w:ascii="Arial" w:hAnsi="Arial" w:cs="Arial"/>
        </w:rPr>
        <w:t>offer,</w:t>
      </w:r>
      <w:r w:rsidR="00727DCA" w:rsidRPr="006520D3">
        <w:rPr>
          <w:rFonts w:ascii="Arial" w:hAnsi="Arial" w:cs="Arial"/>
        </w:rPr>
        <w:t xml:space="preserve"> then they can do so </w:t>
      </w:r>
      <w:r w:rsidR="00F12639" w:rsidRPr="006520D3">
        <w:rPr>
          <w:rFonts w:ascii="Arial" w:hAnsi="Arial" w:cs="Arial"/>
        </w:rPr>
        <w:t xml:space="preserve">orally, in writing or </w:t>
      </w:r>
      <w:r w:rsidR="00D26832" w:rsidRPr="006520D3">
        <w:rPr>
          <w:rFonts w:ascii="Arial" w:hAnsi="Arial" w:cs="Arial"/>
        </w:rPr>
        <w:t>even by conduct</w:t>
      </w:r>
      <w:r w:rsidR="008C5305" w:rsidRPr="006520D3">
        <w:rPr>
          <w:rFonts w:ascii="Arial" w:hAnsi="Arial" w:cs="Arial"/>
        </w:rPr>
        <w:t xml:space="preserve">. Additionally, when making an offer </w:t>
      </w:r>
      <w:r w:rsidR="006A5E5F" w:rsidRPr="006520D3">
        <w:rPr>
          <w:rFonts w:ascii="Arial" w:hAnsi="Arial" w:cs="Arial"/>
        </w:rPr>
        <w:t>the offeree must be aware of the offer</w:t>
      </w:r>
      <w:r w:rsidR="00210C87" w:rsidRPr="006520D3">
        <w:rPr>
          <w:rFonts w:ascii="Arial" w:hAnsi="Arial" w:cs="Arial"/>
        </w:rPr>
        <w:t xml:space="preserve">, an example of this is </w:t>
      </w:r>
      <w:r w:rsidR="000446E8" w:rsidRPr="006520D3">
        <w:rPr>
          <w:rFonts w:ascii="Arial" w:hAnsi="Arial" w:cs="Arial"/>
        </w:rPr>
        <w:t xml:space="preserve">the case of Taylor v Laird (1856) </w:t>
      </w:r>
      <w:r w:rsidR="00F3354F" w:rsidRPr="006520D3">
        <w:rPr>
          <w:rFonts w:ascii="Arial" w:hAnsi="Arial" w:cs="Arial"/>
        </w:rPr>
        <w:t xml:space="preserve">the problem was </w:t>
      </w:r>
      <w:r w:rsidR="00542123" w:rsidRPr="006520D3">
        <w:rPr>
          <w:rFonts w:ascii="Arial" w:hAnsi="Arial" w:cs="Arial"/>
        </w:rPr>
        <w:t xml:space="preserve">whether the defendant had accepted the claimants offer to work </w:t>
      </w:r>
      <w:r w:rsidR="0043489D" w:rsidRPr="006520D3">
        <w:rPr>
          <w:rFonts w:ascii="Arial" w:hAnsi="Arial" w:cs="Arial"/>
        </w:rPr>
        <w:t xml:space="preserve">even though he was unaware of the offer, </w:t>
      </w:r>
      <w:r w:rsidR="00DB7AD0" w:rsidRPr="006520D3">
        <w:rPr>
          <w:rFonts w:ascii="Arial" w:hAnsi="Arial" w:cs="Arial"/>
        </w:rPr>
        <w:t xml:space="preserve">therefore the court adjourned that the claimant was not entitled to his wages </w:t>
      </w:r>
      <w:r w:rsidR="002347E2" w:rsidRPr="006520D3">
        <w:rPr>
          <w:rFonts w:ascii="Arial" w:hAnsi="Arial" w:cs="Arial"/>
        </w:rPr>
        <w:t xml:space="preserve">due to the fact that he did not have any contractual agreements with the defendant </w:t>
      </w:r>
      <w:r w:rsidR="00C57B2A" w:rsidRPr="006520D3">
        <w:rPr>
          <w:rFonts w:ascii="Arial" w:hAnsi="Arial" w:cs="Arial"/>
        </w:rPr>
        <w:t>for the performance of his work</w:t>
      </w:r>
      <w:r w:rsidR="00221BF3" w:rsidRPr="006520D3">
        <w:rPr>
          <w:rFonts w:ascii="Arial" w:hAnsi="Arial" w:cs="Arial"/>
        </w:rPr>
        <w:t xml:space="preserve"> </w:t>
      </w:r>
      <w:sdt>
        <w:sdtPr>
          <w:rPr>
            <w:rFonts w:ascii="Arial" w:hAnsi="Arial" w:cs="Arial"/>
          </w:rPr>
          <w:id w:val="-138505599"/>
          <w:citation/>
        </w:sdtPr>
        <w:sdtContent>
          <w:r w:rsidR="00905A99" w:rsidRPr="006520D3">
            <w:rPr>
              <w:rFonts w:ascii="Arial" w:hAnsi="Arial" w:cs="Arial"/>
            </w:rPr>
            <w:fldChar w:fldCharType="begin"/>
          </w:r>
          <w:r w:rsidR="00905A99" w:rsidRPr="006520D3">
            <w:rPr>
              <w:rFonts w:ascii="Arial" w:hAnsi="Arial" w:cs="Arial"/>
            </w:rPr>
            <w:instrText xml:space="preserve"> CITATION Rob19 \l 2057 </w:instrText>
          </w:r>
          <w:r w:rsidR="00905A99" w:rsidRPr="006520D3">
            <w:rPr>
              <w:rFonts w:ascii="Arial" w:hAnsi="Arial" w:cs="Arial"/>
            </w:rPr>
            <w:fldChar w:fldCharType="separate"/>
          </w:r>
          <w:r w:rsidR="00905A99" w:rsidRPr="006520D3">
            <w:rPr>
              <w:rFonts w:ascii="Arial" w:hAnsi="Arial" w:cs="Arial"/>
              <w:noProof/>
            </w:rPr>
            <w:t>(Saintier, 2019)</w:t>
          </w:r>
          <w:r w:rsidR="00905A99" w:rsidRPr="006520D3">
            <w:rPr>
              <w:rFonts w:ascii="Arial" w:hAnsi="Arial" w:cs="Arial"/>
            </w:rPr>
            <w:fldChar w:fldCharType="end"/>
          </w:r>
        </w:sdtContent>
      </w:sdt>
      <w:r w:rsidR="00905A99" w:rsidRPr="006520D3">
        <w:rPr>
          <w:rFonts w:ascii="Arial" w:hAnsi="Arial" w:cs="Arial"/>
        </w:rPr>
        <w:t>.</w:t>
      </w:r>
      <w:r w:rsidR="00421295" w:rsidRPr="006520D3">
        <w:rPr>
          <w:rFonts w:ascii="Arial" w:hAnsi="Arial" w:cs="Arial"/>
        </w:rPr>
        <w:t xml:space="preserve"> </w:t>
      </w:r>
      <w:r w:rsidR="003A1E74" w:rsidRPr="006520D3">
        <w:rPr>
          <w:rFonts w:ascii="Arial" w:hAnsi="Arial" w:cs="Arial"/>
        </w:rPr>
        <w:tab/>
      </w:r>
    </w:p>
    <w:p w14:paraId="3B64F9D2" w14:textId="1571C064" w:rsidR="00967FE1" w:rsidRPr="006520D3" w:rsidRDefault="00D10986" w:rsidP="004A76D6">
      <w:pPr>
        <w:rPr>
          <w:rFonts w:ascii="Arial" w:hAnsi="Arial" w:cs="Arial"/>
        </w:rPr>
      </w:pPr>
      <w:r>
        <w:rPr>
          <w:rFonts w:ascii="Arial" w:hAnsi="Arial" w:cs="Arial"/>
        </w:rPr>
        <w:t>Also</w:t>
      </w:r>
      <w:r w:rsidR="00A44BE5">
        <w:rPr>
          <w:rFonts w:ascii="Arial" w:hAnsi="Arial" w:cs="Arial"/>
        </w:rPr>
        <w:t>,</w:t>
      </w:r>
      <w:r>
        <w:rPr>
          <w:rFonts w:ascii="Arial" w:hAnsi="Arial" w:cs="Arial"/>
        </w:rPr>
        <w:t xml:space="preserve"> another</w:t>
      </w:r>
      <w:r w:rsidR="000266AA">
        <w:rPr>
          <w:rFonts w:ascii="Arial" w:hAnsi="Arial" w:cs="Arial"/>
        </w:rPr>
        <w:t xml:space="preserve"> example of offer in a case is Gibson v Manchester City Council (1979)</w:t>
      </w:r>
      <w:r w:rsidR="00FF56D5">
        <w:rPr>
          <w:rFonts w:ascii="Arial" w:hAnsi="Arial" w:cs="Arial"/>
        </w:rPr>
        <w:t xml:space="preserve">. </w:t>
      </w:r>
      <w:r w:rsidR="00C96E3F">
        <w:rPr>
          <w:rFonts w:ascii="Arial" w:hAnsi="Arial" w:cs="Arial"/>
        </w:rPr>
        <w:t>The issue in this case was whether or not the defendant’s letter</w:t>
      </w:r>
      <w:r w:rsidR="007674F5">
        <w:rPr>
          <w:rFonts w:ascii="Arial" w:hAnsi="Arial" w:cs="Arial"/>
        </w:rPr>
        <w:t xml:space="preserve"> of February was an offer or </w:t>
      </w:r>
      <w:r w:rsidR="00A44BE5">
        <w:rPr>
          <w:rFonts w:ascii="Arial" w:hAnsi="Arial" w:cs="Arial"/>
        </w:rPr>
        <w:t>an invitation to treat.</w:t>
      </w:r>
      <w:r w:rsidR="00785C6D">
        <w:rPr>
          <w:rFonts w:ascii="Arial" w:hAnsi="Arial" w:cs="Arial"/>
        </w:rPr>
        <w:t xml:space="preserve"> It was concluded that there was no </w:t>
      </w:r>
      <w:r w:rsidR="00415BBD">
        <w:rPr>
          <w:rFonts w:ascii="Arial" w:hAnsi="Arial" w:cs="Arial"/>
        </w:rPr>
        <w:t>contract,</w:t>
      </w:r>
      <w:r w:rsidR="00785C6D">
        <w:rPr>
          <w:rFonts w:ascii="Arial" w:hAnsi="Arial" w:cs="Arial"/>
        </w:rPr>
        <w:t xml:space="preserve"> and that the defendant was not legally bound to sell the property</w:t>
      </w:r>
      <w:r w:rsidR="00F1786B">
        <w:rPr>
          <w:rFonts w:ascii="Arial" w:hAnsi="Arial" w:cs="Arial"/>
        </w:rPr>
        <w:t xml:space="preserve"> because the letter did not state the price but was an invitation to treat</w:t>
      </w:r>
      <w:sdt>
        <w:sdtPr>
          <w:rPr>
            <w:rFonts w:ascii="Arial" w:hAnsi="Arial" w:cs="Arial"/>
          </w:rPr>
          <w:id w:val="577790477"/>
          <w:citation/>
        </w:sdtPr>
        <w:sdtContent>
          <w:r w:rsidR="00415BBD">
            <w:rPr>
              <w:rFonts w:ascii="Arial" w:hAnsi="Arial" w:cs="Arial"/>
            </w:rPr>
            <w:fldChar w:fldCharType="begin"/>
          </w:r>
          <w:r w:rsidR="00415BBD">
            <w:rPr>
              <w:rFonts w:ascii="Arial" w:hAnsi="Arial" w:cs="Arial"/>
            </w:rPr>
            <w:instrText xml:space="preserve"> CITATION Ric17 \l 2057 </w:instrText>
          </w:r>
          <w:r w:rsidR="00415BBD">
            <w:rPr>
              <w:rFonts w:ascii="Arial" w:hAnsi="Arial" w:cs="Arial"/>
            </w:rPr>
            <w:fldChar w:fldCharType="separate"/>
          </w:r>
          <w:r w:rsidR="00415BBD">
            <w:rPr>
              <w:rFonts w:ascii="Arial" w:hAnsi="Arial" w:cs="Arial"/>
              <w:noProof/>
            </w:rPr>
            <w:t xml:space="preserve"> </w:t>
          </w:r>
          <w:r w:rsidR="00415BBD" w:rsidRPr="00415BBD">
            <w:rPr>
              <w:rFonts w:ascii="Arial" w:hAnsi="Arial" w:cs="Arial"/>
              <w:noProof/>
            </w:rPr>
            <w:t>(Devenney, 2017)</w:t>
          </w:r>
          <w:r w:rsidR="00415BBD">
            <w:rPr>
              <w:rFonts w:ascii="Arial" w:hAnsi="Arial" w:cs="Arial"/>
            </w:rPr>
            <w:fldChar w:fldCharType="end"/>
          </w:r>
        </w:sdtContent>
      </w:sdt>
      <w:r w:rsidR="00415BBD">
        <w:rPr>
          <w:rFonts w:ascii="Arial" w:hAnsi="Arial" w:cs="Arial"/>
        </w:rPr>
        <w:t>.</w:t>
      </w:r>
      <w:r w:rsidR="00C96E3F">
        <w:rPr>
          <w:rFonts w:ascii="Arial" w:hAnsi="Arial" w:cs="Arial"/>
        </w:rPr>
        <w:t xml:space="preserve"> </w:t>
      </w:r>
      <w:r w:rsidR="003A1E74" w:rsidRPr="006520D3">
        <w:rPr>
          <w:rFonts w:ascii="Arial" w:hAnsi="Arial" w:cs="Arial"/>
        </w:rPr>
        <w:tab/>
      </w:r>
    </w:p>
    <w:p w14:paraId="1CE6BA81" w14:textId="77777777" w:rsidR="00BB5E10" w:rsidRPr="006520D3" w:rsidRDefault="003A1E74" w:rsidP="004A76D6">
      <w:pPr>
        <w:rPr>
          <w:rFonts w:ascii="Arial" w:hAnsi="Arial" w:cs="Arial"/>
        </w:rPr>
      </w:pPr>
      <w:r w:rsidRPr="006520D3">
        <w:rPr>
          <w:rFonts w:ascii="Arial" w:hAnsi="Arial" w:cs="Arial"/>
        </w:rPr>
        <w:t xml:space="preserve">Moreover, when Christine </w:t>
      </w:r>
      <w:r w:rsidR="0006000A" w:rsidRPr="006520D3">
        <w:rPr>
          <w:rFonts w:ascii="Arial" w:hAnsi="Arial" w:cs="Arial"/>
        </w:rPr>
        <w:t>emailed</w:t>
      </w:r>
      <w:r w:rsidR="005F5D44" w:rsidRPr="006520D3">
        <w:rPr>
          <w:rFonts w:ascii="Arial" w:hAnsi="Arial" w:cs="Arial"/>
        </w:rPr>
        <w:t xml:space="preserve"> Arthur</w:t>
      </w:r>
      <w:r w:rsidR="00254D4A" w:rsidRPr="006520D3">
        <w:rPr>
          <w:rFonts w:ascii="Arial" w:hAnsi="Arial" w:cs="Arial"/>
        </w:rPr>
        <w:t xml:space="preserve"> whether or not if</w:t>
      </w:r>
      <w:r w:rsidR="005F5D44" w:rsidRPr="006520D3">
        <w:rPr>
          <w:rFonts w:ascii="Arial" w:hAnsi="Arial" w:cs="Arial"/>
        </w:rPr>
        <w:t xml:space="preserve"> he would accept £11,000 </w:t>
      </w:r>
      <w:r w:rsidR="00254D4A" w:rsidRPr="006520D3">
        <w:rPr>
          <w:rFonts w:ascii="Arial" w:hAnsi="Arial" w:cs="Arial"/>
        </w:rPr>
        <w:t xml:space="preserve">for the </w:t>
      </w:r>
      <w:r w:rsidR="00944763" w:rsidRPr="006520D3">
        <w:rPr>
          <w:rFonts w:ascii="Arial" w:hAnsi="Arial" w:cs="Arial"/>
        </w:rPr>
        <w:t>watch,</w:t>
      </w:r>
      <w:r w:rsidR="00F3215A" w:rsidRPr="006520D3">
        <w:rPr>
          <w:rFonts w:ascii="Arial" w:hAnsi="Arial" w:cs="Arial"/>
        </w:rPr>
        <w:t xml:space="preserve"> she made an offer. </w:t>
      </w:r>
      <w:r w:rsidR="00944763" w:rsidRPr="006520D3">
        <w:rPr>
          <w:rFonts w:ascii="Arial" w:hAnsi="Arial" w:cs="Arial"/>
        </w:rPr>
        <w:t>However,</w:t>
      </w:r>
      <w:r w:rsidR="00901AE5" w:rsidRPr="006520D3">
        <w:rPr>
          <w:rFonts w:ascii="Arial" w:hAnsi="Arial" w:cs="Arial"/>
        </w:rPr>
        <w:t xml:space="preserve"> when Arthur responded to Christine’s </w:t>
      </w:r>
      <w:r w:rsidR="00ED012E" w:rsidRPr="006520D3">
        <w:rPr>
          <w:rFonts w:ascii="Arial" w:hAnsi="Arial" w:cs="Arial"/>
        </w:rPr>
        <w:t>email,</w:t>
      </w:r>
      <w:r w:rsidR="00901AE5" w:rsidRPr="006520D3">
        <w:rPr>
          <w:rFonts w:ascii="Arial" w:hAnsi="Arial" w:cs="Arial"/>
        </w:rPr>
        <w:t xml:space="preserve"> he made a </w:t>
      </w:r>
      <w:r w:rsidR="00ED012E" w:rsidRPr="006520D3">
        <w:rPr>
          <w:rFonts w:ascii="Arial" w:hAnsi="Arial" w:cs="Arial"/>
        </w:rPr>
        <w:t>counteroffer</w:t>
      </w:r>
      <w:r w:rsidR="00901AE5" w:rsidRPr="006520D3">
        <w:rPr>
          <w:rFonts w:ascii="Arial" w:hAnsi="Arial" w:cs="Arial"/>
        </w:rPr>
        <w:t xml:space="preserve"> </w:t>
      </w:r>
      <w:r w:rsidR="000B01C6" w:rsidRPr="006520D3">
        <w:rPr>
          <w:rFonts w:ascii="Arial" w:hAnsi="Arial" w:cs="Arial"/>
        </w:rPr>
        <w:t xml:space="preserve">of </w:t>
      </w:r>
      <w:r w:rsidR="0035234D" w:rsidRPr="006520D3">
        <w:rPr>
          <w:rFonts w:ascii="Arial" w:hAnsi="Arial" w:cs="Arial"/>
        </w:rPr>
        <w:t>£13,000</w:t>
      </w:r>
      <w:r w:rsidR="000942E7" w:rsidRPr="006520D3">
        <w:rPr>
          <w:rFonts w:ascii="Arial" w:hAnsi="Arial" w:cs="Arial"/>
        </w:rPr>
        <w:t xml:space="preserve">, </w:t>
      </w:r>
      <w:r w:rsidR="0040152F" w:rsidRPr="006520D3">
        <w:rPr>
          <w:rFonts w:ascii="Arial" w:hAnsi="Arial" w:cs="Arial"/>
        </w:rPr>
        <w:t xml:space="preserve">to which </w:t>
      </w:r>
      <w:r w:rsidR="000942E7" w:rsidRPr="006520D3">
        <w:rPr>
          <w:rFonts w:ascii="Arial" w:hAnsi="Arial" w:cs="Arial"/>
        </w:rPr>
        <w:t xml:space="preserve">Christine then replied by saying that she would only be able to pay £11,000 now and another £2000 </w:t>
      </w:r>
      <w:r w:rsidR="006845BC" w:rsidRPr="006520D3">
        <w:rPr>
          <w:rFonts w:ascii="Arial" w:hAnsi="Arial" w:cs="Arial"/>
        </w:rPr>
        <w:t xml:space="preserve">at the end of the month. </w:t>
      </w:r>
      <w:r w:rsidR="00503392" w:rsidRPr="006520D3">
        <w:rPr>
          <w:rFonts w:ascii="Arial" w:hAnsi="Arial" w:cs="Arial"/>
        </w:rPr>
        <w:t xml:space="preserve">This situation is similar to the case of </w:t>
      </w:r>
      <w:r w:rsidR="001F3923" w:rsidRPr="006520D3">
        <w:rPr>
          <w:rFonts w:ascii="Arial" w:hAnsi="Arial" w:cs="Arial"/>
        </w:rPr>
        <w:t>Stevenson Jac</w:t>
      </w:r>
      <w:r w:rsidR="000657E8" w:rsidRPr="006520D3">
        <w:rPr>
          <w:rFonts w:ascii="Arial" w:hAnsi="Arial" w:cs="Arial"/>
        </w:rPr>
        <w:t xml:space="preserve">ques v Mclean </w:t>
      </w:r>
      <w:r w:rsidR="00DF1146" w:rsidRPr="006520D3">
        <w:rPr>
          <w:rFonts w:ascii="Arial" w:hAnsi="Arial" w:cs="Arial"/>
        </w:rPr>
        <w:t>(1880)</w:t>
      </w:r>
      <w:r w:rsidR="00101EB5" w:rsidRPr="006520D3">
        <w:rPr>
          <w:rFonts w:ascii="Arial" w:hAnsi="Arial" w:cs="Arial"/>
        </w:rPr>
        <w:t xml:space="preserve">. The </w:t>
      </w:r>
      <w:r w:rsidR="00BF0E2D" w:rsidRPr="006520D3">
        <w:rPr>
          <w:rFonts w:ascii="Arial" w:hAnsi="Arial" w:cs="Arial"/>
        </w:rPr>
        <w:t xml:space="preserve">problem in this case was whether there was a contract binding </w:t>
      </w:r>
      <w:r w:rsidR="00EB4E8A" w:rsidRPr="006520D3">
        <w:rPr>
          <w:rFonts w:ascii="Arial" w:hAnsi="Arial" w:cs="Arial"/>
        </w:rPr>
        <w:t xml:space="preserve">the parties and if the telegram </w:t>
      </w:r>
      <w:r w:rsidR="00DE7567" w:rsidRPr="006520D3">
        <w:rPr>
          <w:rFonts w:ascii="Arial" w:hAnsi="Arial" w:cs="Arial"/>
        </w:rPr>
        <w:t>sent by the complainant was an inquiry for information or</w:t>
      </w:r>
      <w:r w:rsidR="0040152F" w:rsidRPr="006520D3">
        <w:rPr>
          <w:rFonts w:ascii="Arial" w:hAnsi="Arial" w:cs="Arial"/>
        </w:rPr>
        <w:t xml:space="preserve"> a </w:t>
      </w:r>
      <w:r w:rsidR="00ED012E" w:rsidRPr="006520D3">
        <w:rPr>
          <w:rFonts w:ascii="Arial" w:hAnsi="Arial" w:cs="Arial"/>
        </w:rPr>
        <w:t>counteroffer</w:t>
      </w:r>
      <w:r w:rsidR="0040152F" w:rsidRPr="006520D3">
        <w:rPr>
          <w:rFonts w:ascii="Arial" w:hAnsi="Arial" w:cs="Arial"/>
        </w:rPr>
        <w:t xml:space="preserve">. </w:t>
      </w:r>
    </w:p>
    <w:p w14:paraId="25765534" w14:textId="5A8DA32E" w:rsidR="003A1E74" w:rsidRDefault="00D10746" w:rsidP="004A76D6">
      <w:pPr>
        <w:rPr>
          <w:rFonts w:ascii="Arial" w:hAnsi="Arial" w:cs="Arial"/>
        </w:rPr>
      </w:pPr>
      <w:r w:rsidRPr="006520D3">
        <w:rPr>
          <w:rFonts w:ascii="Arial" w:hAnsi="Arial" w:cs="Arial"/>
        </w:rPr>
        <w:t>In the contrast</w:t>
      </w:r>
      <w:r w:rsidR="006840DE" w:rsidRPr="006520D3">
        <w:rPr>
          <w:rFonts w:ascii="Arial" w:hAnsi="Arial" w:cs="Arial"/>
        </w:rPr>
        <w:t>, when a coun</w:t>
      </w:r>
      <w:r w:rsidR="008030DC" w:rsidRPr="006520D3">
        <w:rPr>
          <w:rFonts w:ascii="Arial" w:hAnsi="Arial" w:cs="Arial"/>
        </w:rPr>
        <w:t xml:space="preserve">teroffer is made </w:t>
      </w:r>
      <w:r w:rsidR="004D74C9" w:rsidRPr="006520D3">
        <w:rPr>
          <w:rFonts w:ascii="Arial" w:hAnsi="Arial" w:cs="Arial"/>
        </w:rPr>
        <w:t xml:space="preserve">the original </w:t>
      </w:r>
      <w:r w:rsidR="00EB2F4A" w:rsidRPr="006520D3">
        <w:rPr>
          <w:rFonts w:ascii="Arial" w:hAnsi="Arial" w:cs="Arial"/>
        </w:rPr>
        <w:t xml:space="preserve">offer made by the offeree is invalid and will not be able to go back to the original offer </w:t>
      </w:r>
      <w:r w:rsidR="00313BFD" w:rsidRPr="006520D3">
        <w:rPr>
          <w:rFonts w:ascii="Arial" w:hAnsi="Arial" w:cs="Arial"/>
        </w:rPr>
        <w:t>unless both parties agree to it</w:t>
      </w:r>
      <w:sdt>
        <w:sdtPr>
          <w:rPr>
            <w:rFonts w:ascii="Arial" w:hAnsi="Arial" w:cs="Arial"/>
          </w:rPr>
          <w:id w:val="1097128668"/>
          <w:citation/>
        </w:sdtPr>
        <w:sdtContent>
          <w:r w:rsidR="00C8659B" w:rsidRPr="006520D3">
            <w:rPr>
              <w:rFonts w:ascii="Arial" w:hAnsi="Arial" w:cs="Arial"/>
            </w:rPr>
            <w:fldChar w:fldCharType="begin"/>
          </w:r>
          <w:r w:rsidR="00C8659B" w:rsidRPr="006520D3">
            <w:rPr>
              <w:rFonts w:ascii="Arial" w:hAnsi="Arial" w:cs="Arial"/>
            </w:rPr>
            <w:instrText xml:space="preserve"> CITATION Rob19 \l 2057 </w:instrText>
          </w:r>
          <w:r w:rsidR="00C8659B" w:rsidRPr="006520D3">
            <w:rPr>
              <w:rFonts w:ascii="Arial" w:hAnsi="Arial" w:cs="Arial"/>
            </w:rPr>
            <w:fldChar w:fldCharType="separate"/>
          </w:r>
          <w:r w:rsidR="00C8659B" w:rsidRPr="006520D3">
            <w:rPr>
              <w:rFonts w:ascii="Arial" w:hAnsi="Arial" w:cs="Arial"/>
              <w:noProof/>
            </w:rPr>
            <w:t xml:space="preserve"> (Saintier, 2019)</w:t>
          </w:r>
          <w:r w:rsidR="00C8659B" w:rsidRPr="006520D3">
            <w:rPr>
              <w:rFonts w:ascii="Arial" w:hAnsi="Arial" w:cs="Arial"/>
            </w:rPr>
            <w:fldChar w:fldCharType="end"/>
          </w:r>
        </w:sdtContent>
      </w:sdt>
      <w:r w:rsidR="00C8659B" w:rsidRPr="006520D3">
        <w:rPr>
          <w:rFonts w:ascii="Arial" w:hAnsi="Arial" w:cs="Arial"/>
        </w:rPr>
        <w:t>.</w:t>
      </w:r>
      <w:r w:rsidR="002E6EA9" w:rsidRPr="006520D3">
        <w:rPr>
          <w:rFonts w:ascii="Arial" w:hAnsi="Arial" w:cs="Arial"/>
        </w:rPr>
        <w:t xml:space="preserve"> An example of a counteroffer can be seen in the case of Hyde v Wrench (1840)</w:t>
      </w:r>
      <w:r w:rsidR="00201E5A" w:rsidRPr="006520D3">
        <w:rPr>
          <w:rFonts w:ascii="Arial" w:hAnsi="Arial" w:cs="Arial"/>
        </w:rPr>
        <w:t xml:space="preserve">. The issue in this case was whether </w:t>
      </w:r>
      <w:r w:rsidR="00CF22AE" w:rsidRPr="006520D3">
        <w:rPr>
          <w:rFonts w:ascii="Arial" w:hAnsi="Arial" w:cs="Arial"/>
        </w:rPr>
        <w:t>there was a valid contract between the parties and</w:t>
      </w:r>
      <w:r w:rsidR="00D75819" w:rsidRPr="006520D3">
        <w:rPr>
          <w:rFonts w:ascii="Arial" w:hAnsi="Arial" w:cs="Arial"/>
        </w:rPr>
        <w:t xml:space="preserve"> if a counteroffer was made</w:t>
      </w:r>
      <w:r w:rsidR="00DE1C27" w:rsidRPr="006520D3">
        <w:rPr>
          <w:rFonts w:ascii="Arial" w:hAnsi="Arial" w:cs="Arial"/>
        </w:rPr>
        <w:t xml:space="preserve">. The court came to the decision that there was no contract </w:t>
      </w:r>
      <w:r w:rsidR="006F7894" w:rsidRPr="006520D3">
        <w:rPr>
          <w:rFonts w:ascii="Arial" w:hAnsi="Arial" w:cs="Arial"/>
        </w:rPr>
        <w:t xml:space="preserve">and when a counteroffer is made it </w:t>
      </w:r>
      <w:r w:rsidR="00F30B83" w:rsidRPr="006520D3">
        <w:rPr>
          <w:rFonts w:ascii="Arial" w:hAnsi="Arial" w:cs="Arial"/>
        </w:rPr>
        <w:t>then makes the original offer invalid</w:t>
      </w:r>
      <w:sdt>
        <w:sdtPr>
          <w:rPr>
            <w:rFonts w:ascii="Arial" w:hAnsi="Arial" w:cs="Arial"/>
          </w:rPr>
          <w:id w:val="947821029"/>
          <w:citation/>
        </w:sdtPr>
        <w:sdtContent>
          <w:r w:rsidR="00F30B83" w:rsidRPr="006520D3">
            <w:rPr>
              <w:rFonts w:ascii="Arial" w:hAnsi="Arial" w:cs="Arial"/>
            </w:rPr>
            <w:fldChar w:fldCharType="begin"/>
          </w:r>
          <w:r w:rsidR="00F30B83" w:rsidRPr="006520D3">
            <w:rPr>
              <w:rFonts w:ascii="Arial" w:hAnsi="Arial" w:cs="Arial"/>
            </w:rPr>
            <w:instrText xml:space="preserve"> CITATION Law211 \l 2057 </w:instrText>
          </w:r>
          <w:r w:rsidR="00F30B83" w:rsidRPr="006520D3">
            <w:rPr>
              <w:rFonts w:ascii="Arial" w:hAnsi="Arial" w:cs="Arial"/>
            </w:rPr>
            <w:fldChar w:fldCharType="separate"/>
          </w:r>
          <w:r w:rsidR="00F30B83" w:rsidRPr="006520D3">
            <w:rPr>
              <w:rFonts w:ascii="Arial" w:hAnsi="Arial" w:cs="Arial"/>
              <w:noProof/>
            </w:rPr>
            <w:t xml:space="preserve"> (LawTeacher, 2021)</w:t>
          </w:r>
          <w:r w:rsidR="00F30B83" w:rsidRPr="006520D3">
            <w:rPr>
              <w:rFonts w:ascii="Arial" w:hAnsi="Arial" w:cs="Arial"/>
            </w:rPr>
            <w:fldChar w:fldCharType="end"/>
          </w:r>
        </w:sdtContent>
      </w:sdt>
      <w:r w:rsidR="00F30B83" w:rsidRPr="006520D3">
        <w:rPr>
          <w:rFonts w:ascii="Arial" w:hAnsi="Arial" w:cs="Arial"/>
        </w:rPr>
        <w:t>.</w:t>
      </w:r>
      <w:r w:rsidR="008030DC" w:rsidRPr="006520D3">
        <w:rPr>
          <w:rFonts w:ascii="Arial" w:hAnsi="Arial" w:cs="Arial"/>
        </w:rPr>
        <w:t xml:space="preserve"> </w:t>
      </w:r>
    </w:p>
    <w:p w14:paraId="04540279" w14:textId="5DF0983D" w:rsidR="00B90E08" w:rsidRPr="006520D3" w:rsidRDefault="00B11019" w:rsidP="004A76D6">
      <w:pPr>
        <w:rPr>
          <w:rFonts w:ascii="Arial" w:hAnsi="Arial" w:cs="Arial"/>
        </w:rPr>
      </w:pPr>
      <w:r>
        <w:rPr>
          <w:rFonts w:ascii="Arial" w:hAnsi="Arial" w:cs="Arial"/>
        </w:rPr>
        <w:t xml:space="preserve">Cristine then replied with a final email </w:t>
      </w:r>
      <w:r w:rsidR="006D086B">
        <w:rPr>
          <w:rFonts w:ascii="Arial" w:hAnsi="Arial" w:cs="Arial"/>
        </w:rPr>
        <w:t>on 6</w:t>
      </w:r>
      <w:r w:rsidR="006D086B" w:rsidRPr="006D086B">
        <w:rPr>
          <w:rFonts w:ascii="Arial" w:hAnsi="Arial" w:cs="Arial"/>
          <w:vertAlign w:val="superscript"/>
        </w:rPr>
        <w:t>th</w:t>
      </w:r>
      <w:r w:rsidR="006D086B">
        <w:rPr>
          <w:rFonts w:ascii="Arial" w:hAnsi="Arial" w:cs="Arial"/>
        </w:rPr>
        <w:t xml:space="preserve"> May </w:t>
      </w:r>
      <w:r>
        <w:rPr>
          <w:rFonts w:ascii="Arial" w:hAnsi="Arial" w:cs="Arial"/>
        </w:rPr>
        <w:t>stating that</w:t>
      </w:r>
      <w:r w:rsidR="006D086B">
        <w:rPr>
          <w:rFonts w:ascii="Arial" w:hAnsi="Arial" w:cs="Arial"/>
        </w:rPr>
        <w:t xml:space="preserve"> she is now able to pay the whole £13,000 asking price of the watch </w:t>
      </w:r>
      <w:r w:rsidR="00922BF0">
        <w:rPr>
          <w:rFonts w:ascii="Arial" w:hAnsi="Arial" w:cs="Arial"/>
        </w:rPr>
        <w:t xml:space="preserve">from Arthur. </w:t>
      </w:r>
      <w:r w:rsidR="00644244">
        <w:rPr>
          <w:rFonts w:ascii="Arial" w:hAnsi="Arial" w:cs="Arial"/>
        </w:rPr>
        <w:t xml:space="preserve">This is agreement because </w:t>
      </w:r>
      <w:r w:rsidR="00005B99">
        <w:rPr>
          <w:rFonts w:ascii="Arial" w:hAnsi="Arial" w:cs="Arial"/>
        </w:rPr>
        <w:t xml:space="preserve">Cristine managed to </w:t>
      </w:r>
      <w:r w:rsidR="00640EEE">
        <w:rPr>
          <w:rFonts w:ascii="Arial" w:hAnsi="Arial" w:cs="Arial"/>
        </w:rPr>
        <w:t xml:space="preserve">raise enough money for the watch and is willing to pay the asking price. </w:t>
      </w:r>
      <w:r w:rsidR="00223683">
        <w:rPr>
          <w:rFonts w:ascii="Arial" w:hAnsi="Arial" w:cs="Arial"/>
        </w:rPr>
        <w:t xml:space="preserve">For there to be agreement </w:t>
      </w:r>
      <w:r w:rsidR="002F124D">
        <w:rPr>
          <w:rFonts w:ascii="Arial" w:hAnsi="Arial" w:cs="Arial"/>
        </w:rPr>
        <w:t>there needs to be an offer and acceptance.</w:t>
      </w:r>
      <w:r>
        <w:rPr>
          <w:rFonts w:ascii="Arial" w:hAnsi="Arial" w:cs="Arial"/>
        </w:rPr>
        <w:t xml:space="preserve"> </w:t>
      </w:r>
    </w:p>
    <w:p w14:paraId="4FD15CF8" w14:textId="18F24F74" w:rsidR="0067338B" w:rsidRDefault="0033508A" w:rsidP="004A76D6">
      <w:pPr>
        <w:rPr>
          <w:rFonts w:ascii="Arial" w:hAnsi="Arial" w:cs="Arial"/>
        </w:rPr>
      </w:pPr>
      <w:r w:rsidRPr="006520D3">
        <w:rPr>
          <w:rFonts w:ascii="Arial" w:hAnsi="Arial" w:cs="Arial"/>
        </w:rPr>
        <w:t>Furthermore, when Dennis emailed</w:t>
      </w:r>
      <w:r w:rsidR="00977ACF" w:rsidRPr="006520D3">
        <w:rPr>
          <w:rFonts w:ascii="Arial" w:hAnsi="Arial" w:cs="Arial"/>
        </w:rPr>
        <w:t xml:space="preserve"> Arthur</w:t>
      </w:r>
      <w:r w:rsidR="00885CE5" w:rsidRPr="006520D3">
        <w:rPr>
          <w:rFonts w:ascii="Arial" w:hAnsi="Arial" w:cs="Arial"/>
        </w:rPr>
        <w:t xml:space="preserve"> on </w:t>
      </w:r>
      <w:r w:rsidR="00977ACF" w:rsidRPr="006520D3">
        <w:rPr>
          <w:rFonts w:ascii="Arial" w:hAnsi="Arial" w:cs="Arial"/>
        </w:rPr>
        <w:t>6</w:t>
      </w:r>
      <w:r w:rsidR="00977ACF" w:rsidRPr="006520D3">
        <w:rPr>
          <w:rFonts w:ascii="Arial" w:hAnsi="Arial" w:cs="Arial"/>
          <w:vertAlign w:val="superscript"/>
        </w:rPr>
        <w:t>th</w:t>
      </w:r>
      <w:r w:rsidR="00977ACF" w:rsidRPr="006520D3">
        <w:rPr>
          <w:rFonts w:ascii="Arial" w:hAnsi="Arial" w:cs="Arial"/>
        </w:rPr>
        <w:t xml:space="preserve"> May</w:t>
      </w:r>
      <w:r w:rsidRPr="006520D3">
        <w:rPr>
          <w:rFonts w:ascii="Arial" w:hAnsi="Arial" w:cs="Arial"/>
        </w:rPr>
        <w:t xml:space="preserve"> stating that he was interested in the watch</w:t>
      </w:r>
      <w:r w:rsidR="00B85E5A" w:rsidRPr="006520D3">
        <w:rPr>
          <w:rFonts w:ascii="Arial" w:hAnsi="Arial" w:cs="Arial"/>
        </w:rPr>
        <w:t xml:space="preserve"> no offer was made. </w:t>
      </w:r>
      <w:r w:rsidR="006B06AD" w:rsidRPr="006520D3">
        <w:rPr>
          <w:rFonts w:ascii="Arial" w:hAnsi="Arial" w:cs="Arial"/>
        </w:rPr>
        <w:t xml:space="preserve">To make an offer it needs </w:t>
      </w:r>
      <w:r w:rsidR="003A4C5F" w:rsidRPr="006520D3">
        <w:rPr>
          <w:rFonts w:ascii="Arial" w:hAnsi="Arial" w:cs="Arial"/>
        </w:rPr>
        <w:t>to be orally or in writing which Dennis had not done.</w:t>
      </w:r>
      <w:r w:rsidR="00D6055F">
        <w:rPr>
          <w:rFonts w:ascii="Arial" w:hAnsi="Arial" w:cs="Arial"/>
        </w:rPr>
        <w:t xml:space="preserve"> However, when </w:t>
      </w:r>
      <w:r w:rsidR="003165E8">
        <w:rPr>
          <w:rFonts w:ascii="Arial" w:hAnsi="Arial" w:cs="Arial"/>
        </w:rPr>
        <w:t xml:space="preserve">Arthur </w:t>
      </w:r>
      <w:r w:rsidR="00475AD6">
        <w:rPr>
          <w:rFonts w:ascii="Arial" w:hAnsi="Arial" w:cs="Arial"/>
        </w:rPr>
        <w:t>replied to the email stating that he wants £13,000 for the watch this can be co</w:t>
      </w:r>
      <w:r w:rsidR="007909C0">
        <w:rPr>
          <w:rFonts w:ascii="Arial" w:hAnsi="Arial" w:cs="Arial"/>
        </w:rPr>
        <w:t>n</w:t>
      </w:r>
      <w:r w:rsidR="00475AD6">
        <w:rPr>
          <w:rFonts w:ascii="Arial" w:hAnsi="Arial" w:cs="Arial"/>
        </w:rPr>
        <w:t>sidered as an offer</w:t>
      </w:r>
      <w:r w:rsidR="007909C0">
        <w:rPr>
          <w:rFonts w:ascii="Arial" w:hAnsi="Arial" w:cs="Arial"/>
        </w:rPr>
        <w:t xml:space="preserve"> because it was in writing and the offeree does have knowledge of the offer.</w:t>
      </w:r>
      <w:r w:rsidR="009F1340">
        <w:rPr>
          <w:rFonts w:ascii="Arial" w:hAnsi="Arial" w:cs="Arial"/>
        </w:rPr>
        <w:t xml:space="preserve"> Additionally, when </w:t>
      </w:r>
      <w:r w:rsidR="00F847AE">
        <w:rPr>
          <w:rFonts w:ascii="Arial" w:hAnsi="Arial" w:cs="Arial"/>
        </w:rPr>
        <w:t xml:space="preserve">Dennis agreed to pay Arthur the £13,000 for the </w:t>
      </w:r>
      <w:r w:rsidR="00323A6F">
        <w:rPr>
          <w:rFonts w:ascii="Arial" w:hAnsi="Arial" w:cs="Arial"/>
        </w:rPr>
        <w:t>watch in another email</w:t>
      </w:r>
      <w:r w:rsidR="002F3AC7">
        <w:rPr>
          <w:rFonts w:ascii="Arial" w:hAnsi="Arial" w:cs="Arial"/>
        </w:rPr>
        <w:t>, it is then an agreement between Dennis and Arthur</w:t>
      </w:r>
      <w:r w:rsidR="00D30922">
        <w:rPr>
          <w:rFonts w:ascii="Arial" w:hAnsi="Arial" w:cs="Arial"/>
        </w:rPr>
        <w:t xml:space="preserve"> because for there to be agreement there needs to be an offer and acceptance.</w:t>
      </w:r>
      <w:r w:rsidR="00284C3B">
        <w:rPr>
          <w:rFonts w:ascii="Arial" w:hAnsi="Arial" w:cs="Arial"/>
        </w:rPr>
        <w:t xml:space="preserve"> An example of agreement </w:t>
      </w:r>
      <w:r w:rsidR="00CA2D85">
        <w:rPr>
          <w:rFonts w:ascii="Arial" w:hAnsi="Arial" w:cs="Arial"/>
        </w:rPr>
        <w:t>can be seen in the case of Kennedy v Lee (1817)</w:t>
      </w:r>
      <w:r w:rsidR="006B212B">
        <w:rPr>
          <w:rFonts w:ascii="Arial" w:hAnsi="Arial" w:cs="Arial"/>
        </w:rPr>
        <w:t>.</w:t>
      </w:r>
    </w:p>
    <w:p w14:paraId="5C165E58" w14:textId="77777777" w:rsidR="003F6387" w:rsidRDefault="006C0BEE" w:rsidP="004A76D6">
      <w:pPr>
        <w:rPr>
          <w:rFonts w:ascii="Arial" w:hAnsi="Arial" w:cs="Arial"/>
        </w:rPr>
      </w:pPr>
      <w:r>
        <w:rPr>
          <w:rFonts w:ascii="Arial" w:hAnsi="Arial" w:cs="Arial"/>
        </w:rPr>
        <w:t>The only</w:t>
      </w:r>
      <w:r w:rsidR="00CF4845">
        <w:rPr>
          <w:rFonts w:ascii="Arial" w:hAnsi="Arial" w:cs="Arial"/>
        </w:rPr>
        <w:t xml:space="preserve"> valid</w:t>
      </w:r>
      <w:r>
        <w:rPr>
          <w:rFonts w:ascii="Arial" w:hAnsi="Arial" w:cs="Arial"/>
        </w:rPr>
        <w:t xml:space="preserve"> contract that</w:t>
      </w:r>
      <w:r w:rsidR="00CF4845">
        <w:rPr>
          <w:rFonts w:ascii="Arial" w:hAnsi="Arial" w:cs="Arial"/>
        </w:rPr>
        <w:t xml:space="preserve"> Arthur has is </w:t>
      </w:r>
      <w:r w:rsidR="009057BA">
        <w:rPr>
          <w:rFonts w:ascii="Arial" w:hAnsi="Arial" w:cs="Arial"/>
        </w:rPr>
        <w:t>with Dennis</w:t>
      </w:r>
      <w:r w:rsidR="00B21958">
        <w:rPr>
          <w:rFonts w:ascii="Arial" w:hAnsi="Arial" w:cs="Arial"/>
        </w:rPr>
        <w:t xml:space="preserve">, this is because </w:t>
      </w:r>
      <w:r w:rsidR="0047652D">
        <w:rPr>
          <w:rFonts w:ascii="Arial" w:hAnsi="Arial" w:cs="Arial"/>
        </w:rPr>
        <w:t xml:space="preserve">to </w:t>
      </w:r>
      <w:r w:rsidR="00323686">
        <w:rPr>
          <w:rFonts w:ascii="Arial" w:hAnsi="Arial" w:cs="Arial"/>
        </w:rPr>
        <w:t xml:space="preserve">have a contract then </w:t>
      </w:r>
      <w:r w:rsidR="00B266B9">
        <w:rPr>
          <w:rFonts w:ascii="Arial" w:hAnsi="Arial" w:cs="Arial"/>
        </w:rPr>
        <w:t xml:space="preserve">there needs to be a firm </w:t>
      </w:r>
      <w:r w:rsidR="00323686">
        <w:rPr>
          <w:rFonts w:ascii="Arial" w:hAnsi="Arial" w:cs="Arial"/>
        </w:rPr>
        <w:t>offer</w:t>
      </w:r>
      <w:r w:rsidR="00B266B9">
        <w:rPr>
          <w:rFonts w:ascii="Arial" w:hAnsi="Arial" w:cs="Arial"/>
        </w:rPr>
        <w:t xml:space="preserve"> in place</w:t>
      </w:r>
      <w:r w:rsidR="0063376C">
        <w:rPr>
          <w:rFonts w:ascii="Arial" w:hAnsi="Arial" w:cs="Arial"/>
        </w:rPr>
        <w:t>, which is the case with Dennis</w:t>
      </w:r>
      <w:r w:rsidR="0096692F">
        <w:rPr>
          <w:rFonts w:ascii="Arial" w:hAnsi="Arial" w:cs="Arial"/>
        </w:rPr>
        <w:t xml:space="preserve"> due to him agreeing to pay the agreed fee of £13,000 for the watch. </w:t>
      </w:r>
    </w:p>
    <w:p w14:paraId="3F5F5944" w14:textId="22ED410B" w:rsidR="005E202D" w:rsidRDefault="0096495E" w:rsidP="004A76D6">
      <w:pPr>
        <w:rPr>
          <w:rFonts w:ascii="Arial" w:hAnsi="Arial" w:cs="Arial"/>
        </w:rPr>
      </w:pPr>
      <w:r>
        <w:rPr>
          <w:rFonts w:ascii="Arial" w:hAnsi="Arial" w:cs="Arial"/>
        </w:rPr>
        <w:t xml:space="preserve">Whereas, for Christine </w:t>
      </w:r>
      <w:r w:rsidR="00F32F2E">
        <w:rPr>
          <w:rFonts w:ascii="Arial" w:hAnsi="Arial" w:cs="Arial"/>
        </w:rPr>
        <w:t xml:space="preserve">she made an offer of £11,000 which </w:t>
      </w:r>
      <w:r w:rsidR="004E3051">
        <w:rPr>
          <w:rFonts w:ascii="Arial" w:hAnsi="Arial" w:cs="Arial"/>
        </w:rPr>
        <w:t>then counteroffered by</w:t>
      </w:r>
      <w:r w:rsidR="00095E13">
        <w:rPr>
          <w:rFonts w:ascii="Arial" w:hAnsi="Arial" w:cs="Arial"/>
        </w:rPr>
        <w:t xml:space="preserve"> Arthur</w:t>
      </w:r>
      <w:r w:rsidR="004E3051">
        <w:rPr>
          <w:rFonts w:ascii="Arial" w:hAnsi="Arial" w:cs="Arial"/>
        </w:rPr>
        <w:t xml:space="preserve"> saying</w:t>
      </w:r>
      <w:r w:rsidR="00095E13">
        <w:rPr>
          <w:rFonts w:ascii="Arial" w:hAnsi="Arial" w:cs="Arial"/>
        </w:rPr>
        <w:t xml:space="preserve"> that</w:t>
      </w:r>
      <w:r w:rsidR="004E3051">
        <w:rPr>
          <w:rFonts w:ascii="Arial" w:hAnsi="Arial" w:cs="Arial"/>
        </w:rPr>
        <w:t xml:space="preserve"> he wanted £13,000</w:t>
      </w:r>
      <w:r w:rsidR="00095E13">
        <w:rPr>
          <w:rFonts w:ascii="Arial" w:hAnsi="Arial" w:cs="Arial"/>
        </w:rPr>
        <w:t xml:space="preserve"> instead,</w:t>
      </w:r>
      <w:r w:rsidR="00D43397">
        <w:rPr>
          <w:rFonts w:ascii="Arial" w:hAnsi="Arial" w:cs="Arial"/>
        </w:rPr>
        <w:t xml:space="preserve"> and Christine </w:t>
      </w:r>
      <w:r w:rsidR="00095E13">
        <w:rPr>
          <w:rFonts w:ascii="Arial" w:hAnsi="Arial" w:cs="Arial"/>
        </w:rPr>
        <w:t>replied to that with she was only able to pay £11,000 now and £2000 at the end of the month</w:t>
      </w:r>
      <w:r w:rsidR="005D6D89">
        <w:rPr>
          <w:rFonts w:ascii="Arial" w:hAnsi="Arial" w:cs="Arial"/>
        </w:rPr>
        <w:t xml:space="preserve">, but then she </w:t>
      </w:r>
      <w:r w:rsidR="00803CCA">
        <w:rPr>
          <w:rFonts w:ascii="Arial" w:hAnsi="Arial" w:cs="Arial"/>
        </w:rPr>
        <w:t>said that she is able to pay the £13,000 asking price for the watch</w:t>
      </w:r>
      <w:r w:rsidR="00420042">
        <w:rPr>
          <w:rFonts w:ascii="Arial" w:hAnsi="Arial" w:cs="Arial"/>
        </w:rPr>
        <w:t>. However, when proposing a counteroffer</w:t>
      </w:r>
      <w:r w:rsidR="003F6387">
        <w:rPr>
          <w:rFonts w:ascii="Arial" w:hAnsi="Arial" w:cs="Arial"/>
        </w:rPr>
        <w:t>,</w:t>
      </w:r>
      <w:r w:rsidR="00420042">
        <w:rPr>
          <w:rFonts w:ascii="Arial" w:hAnsi="Arial" w:cs="Arial"/>
        </w:rPr>
        <w:t xml:space="preserve"> the original offer is then no longer valid meaning that </w:t>
      </w:r>
      <w:r w:rsidR="00196948">
        <w:rPr>
          <w:rFonts w:ascii="Arial" w:hAnsi="Arial" w:cs="Arial"/>
        </w:rPr>
        <w:t xml:space="preserve">the offer of £13,000 requested by Arthur was no longer valid because Christine made a counteroffer of </w:t>
      </w:r>
      <w:r w:rsidR="003F6387">
        <w:rPr>
          <w:rFonts w:ascii="Arial" w:hAnsi="Arial" w:cs="Arial"/>
        </w:rPr>
        <w:t>£11,000 now and £2000 at the end of the month.</w:t>
      </w:r>
      <w:r w:rsidR="00FA04DF">
        <w:rPr>
          <w:rFonts w:ascii="Arial" w:hAnsi="Arial" w:cs="Arial"/>
        </w:rPr>
        <w:t xml:space="preserve"> Therefore, there is no valid contract with Christine.</w:t>
      </w:r>
      <w:r w:rsidR="00323686">
        <w:rPr>
          <w:rFonts w:ascii="Arial" w:hAnsi="Arial" w:cs="Arial"/>
        </w:rPr>
        <w:t xml:space="preserve"> </w:t>
      </w:r>
    </w:p>
    <w:p w14:paraId="72ECF54B" w14:textId="63B4F56F" w:rsidR="001B490B" w:rsidRDefault="008850A0" w:rsidP="004A76D6">
      <w:pPr>
        <w:rPr>
          <w:rFonts w:ascii="Arial" w:hAnsi="Arial" w:cs="Arial"/>
        </w:rPr>
      </w:pPr>
      <w:r>
        <w:rPr>
          <w:rFonts w:ascii="Arial" w:hAnsi="Arial" w:cs="Arial"/>
        </w:rPr>
        <w:t>Additionally,</w:t>
      </w:r>
      <w:r w:rsidR="00FA04DF">
        <w:rPr>
          <w:rFonts w:ascii="Arial" w:hAnsi="Arial" w:cs="Arial"/>
        </w:rPr>
        <w:t xml:space="preserve"> the situation with Ben is that even though he </w:t>
      </w:r>
      <w:r w:rsidR="00310296">
        <w:rPr>
          <w:rFonts w:ascii="Arial" w:hAnsi="Arial" w:cs="Arial"/>
        </w:rPr>
        <w:t xml:space="preserve">sent a letter to Arthur agreeing to pay the full amount of </w:t>
      </w:r>
      <w:r w:rsidR="00D54D90">
        <w:rPr>
          <w:rFonts w:ascii="Arial" w:hAnsi="Arial" w:cs="Arial"/>
        </w:rPr>
        <w:t>£15,000 for the watch it was not valid due to the fact that Arthur received the letter on the 7</w:t>
      </w:r>
      <w:r w:rsidR="00D54D90" w:rsidRPr="00D54D90">
        <w:rPr>
          <w:rFonts w:ascii="Arial" w:hAnsi="Arial" w:cs="Arial"/>
          <w:vertAlign w:val="superscript"/>
        </w:rPr>
        <w:t>th</w:t>
      </w:r>
      <w:r w:rsidR="00D54D90">
        <w:rPr>
          <w:rFonts w:ascii="Arial" w:hAnsi="Arial" w:cs="Arial"/>
        </w:rPr>
        <w:t xml:space="preserve"> May which was a day late of Dennis agreeing with Arthur to pay </w:t>
      </w:r>
      <w:r w:rsidR="00D97C51">
        <w:rPr>
          <w:rFonts w:ascii="Arial" w:hAnsi="Arial" w:cs="Arial"/>
        </w:rPr>
        <w:t>£13,000 for the watch.</w:t>
      </w:r>
    </w:p>
    <w:p w14:paraId="035FD7D6" w14:textId="38932D8D" w:rsidR="00540FAA" w:rsidRDefault="00890DA9" w:rsidP="004A76D6">
      <w:pPr>
        <w:rPr>
          <w:rFonts w:ascii="Arial" w:hAnsi="Arial" w:cs="Arial"/>
          <w:b/>
          <w:bCs/>
          <w:sz w:val="24"/>
          <w:szCs w:val="24"/>
          <w:u w:val="single"/>
        </w:rPr>
      </w:pPr>
      <w:r w:rsidRPr="00890DA9">
        <w:rPr>
          <w:rFonts w:ascii="Arial" w:hAnsi="Arial" w:cs="Arial"/>
          <w:b/>
          <w:bCs/>
          <w:sz w:val="24"/>
          <w:szCs w:val="24"/>
          <w:u w:val="single"/>
        </w:rPr>
        <w:t xml:space="preserve">Table of Cases </w:t>
      </w:r>
    </w:p>
    <w:p w14:paraId="54F85D00" w14:textId="5714B126" w:rsidR="00ED5091" w:rsidRDefault="00ED5091" w:rsidP="004A76D6">
      <w:pPr>
        <w:rPr>
          <w:rFonts w:ascii="Arial" w:hAnsi="Arial" w:cs="Arial"/>
        </w:rPr>
      </w:pPr>
      <w:r>
        <w:rPr>
          <w:rFonts w:ascii="Arial" w:hAnsi="Arial" w:cs="Arial"/>
        </w:rPr>
        <w:t>Brogden v Metropolitan Railway (1877)</w:t>
      </w:r>
    </w:p>
    <w:p w14:paraId="78D8FF08" w14:textId="606FD48F" w:rsidR="00E7312B" w:rsidRDefault="00793353" w:rsidP="004A76D6">
      <w:pPr>
        <w:rPr>
          <w:rFonts w:ascii="Arial" w:hAnsi="Arial" w:cs="Arial"/>
        </w:rPr>
      </w:pPr>
      <w:r>
        <w:rPr>
          <w:rFonts w:ascii="Arial" w:hAnsi="Arial" w:cs="Arial"/>
        </w:rPr>
        <w:t>Carlill v Carbolic Smoke Ball Co Ltd (1893)</w:t>
      </w:r>
    </w:p>
    <w:p w14:paraId="0293DDE0" w14:textId="7DB38A07" w:rsidR="00017612" w:rsidRDefault="00017612" w:rsidP="004A76D6">
      <w:pPr>
        <w:rPr>
          <w:rFonts w:ascii="Arial" w:hAnsi="Arial" w:cs="Arial"/>
        </w:rPr>
      </w:pPr>
      <w:r w:rsidRPr="00351F05">
        <w:rPr>
          <w:rFonts w:ascii="Arial" w:hAnsi="Arial" w:cs="Arial"/>
        </w:rPr>
        <w:t>Currie v Misa (1875)</w:t>
      </w:r>
    </w:p>
    <w:p w14:paraId="1AAB5471" w14:textId="4E94CDDC" w:rsidR="0035627B" w:rsidRDefault="006D02A6" w:rsidP="004A76D6">
      <w:pPr>
        <w:rPr>
          <w:rFonts w:ascii="Arial" w:hAnsi="Arial" w:cs="Arial"/>
        </w:rPr>
      </w:pPr>
      <w:r>
        <w:rPr>
          <w:rFonts w:ascii="Arial" w:hAnsi="Arial" w:cs="Arial"/>
        </w:rPr>
        <w:t>Cutter v Powell (1795)</w:t>
      </w:r>
    </w:p>
    <w:p w14:paraId="78CF5B5C" w14:textId="77777777" w:rsidR="00ED04D5" w:rsidRDefault="00ED04D5" w:rsidP="00ED04D5">
      <w:pPr>
        <w:rPr>
          <w:rFonts w:ascii="Arial" w:hAnsi="Arial" w:cs="Arial"/>
        </w:rPr>
      </w:pPr>
      <w:r w:rsidRPr="000E40F0">
        <w:rPr>
          <w:rFonts w:ascii="Arial" w:hAnsi="Arial" w:cs="Arial"/>
        </w:rPr>
        <w:t>Dunlop Pneumatic Tyre Co Ltd v Selfridge &amp; Co Ltd (1915)</w:t>
      </w:r>
    </w:p>
    <w:p w14:paraId="7CCDF491" w14:textId="5037BCBA" w:rsidR="00ED04D5" w:rsidRDefault="00737CD5" w:rsidP="00ED04D5">
      <w:pPr>
        <w:rPr>
          <w:rFonts w:ascii="Arial" w:hAnsi="Arial" w:cs="Arial"/>
        </w:rPr>
      </w:pPr>
      <w:r>
        <w:rPr>
          <w:rFonts w:ascii="Arial" w:hAnsi="Arial" w:cs="Arial"/>
        </w:rPr>
        <w:t>Gibson v Manchester City Council (1979)</w:t>
      </w:r>
    </w:p>
    <w:p w14:paraId="7C524ADC" w14:textId="60CFEF93" w:rsidR="00201341" w:rsidRDefault="00201341" w:rsidP="00ED04D5">
      <w:pPr>
        <w:rPr>
          <w:rFonts w:ascii="Arial" w:hAnsi="Arial" w:cs="Arial"/>
        </w:rPr>
      </w:pPr>
      <w:r w:rsidRPr="006520D3">
        <w:rPr>
          <w:rFonts w:ascii="Arial" w:hAnsi="Arial" w:cs="Arial"/>
        </w:rPr>
        <w:t>Hyde v Wrench (1840)</w:t>
      </w:r>
    </w:p>
    <w:p w14:paraId="14E8674E" w14:textId="0399AFC9" w:rsidR="007B2E3E" w:rsidRDefault="007B2E3E" w:rsidP="00ED04D5">
      <w:pPr>
        <w:rPr>
          <w:rFonts w:ascii="Arial" w:hAnsi="Arial" w:cs="Arial"/>
        </w:rPr>
      </w:pPr>
      <w:r>
        <w:rPr>
          <w:rFonts w:ascii="Arial" w:hAnsi="Arial" w:cs="Arial"/>
        </w:rPr>
        <w:t>Kennedy v Lee (1817)</w:t>
      </w:r>
    </w:p>
    <w:p w14:paraId="7A85C76B" w14:textId="7940429D" w:rsidR="00051F6B" w:rsidRDefault="00051F6B" w:rsidP="00ED04D5">
      <w:pPr>
        <w:rPr>
          <w:rFonts w:ascii="Arial" w:hAnsi="Arial" w:cs="Arial"/>
        </w:rPr>
      </w:pPr>
      <w:r w:rsidRPr="006520D3">
        <w:rPr>
          <w:rFonts w:ascii="Arial" w:hAnsi="Arial" w:cs="Arial"/>
        </w:rPr>
        <w:t>Partridge v Crittenden (1968)</w:t>
      </w:r>
    </w:p>
    <w:p w14:paraId="3458A19D" w14:textId="00EB5C29" w:rsidR="005053EE" w:rsidRDefault="005053EE" w:rsidP="00ED04D5">
      <w:pPr>
        <w:rPr>
          <w:rFonts w:ascii="Arial" w:hAnsi="Arial" w:cs="Arial"/>
        </w:rPr>
      </w:pPr>
      <w:r w:rsidRPr="00351F05">
        <w:rPr>
          <w:rFonts w:ascii="Arial" w:hAnsi="Arial" w:cs="Arial"/>
        </w:rPr>
        <w:t>Re McArdle (1951</w:t>
      </w:r>
      <w:r>
        <w:rPr>
          <w:rFonts w:ascii="Arial" w:hAnsi="Arial" w:cs="Arial"/>
        </w:rPr>
        <w:t>)</w:t>
      </w:r>
    </w:p>
    <w:p w14:paraId="7F4962AC" w14:textId="18E999E8" w:rsidR="0057303A" w:rsidRDefault="0057303A" w:rsidP="00ED04D5">
      <w:pPr>
        <w:rPr>
          <w:rFonts w:ascii="Arial" w:hAnsi="Arial" w:cs="Arial"/>
        </w:rPr>
      </w:pPr>
      <w:r w:rsidRPr="000E40F0">
        <w:rPr>
          <w:rFonts w:ascii="Arial" w:hAnsi="Arial" w:cs="Arial"/>
        </w:rPr>
        <w:t xml:space="preserve">Rights of Third Parties Act </w:t>
      </w:r>
      <w:r w:rsidR="00DE580F">
        <w:rPr>
          <w:rFonts w:ascii="Arial" w:hAnsi="Arial" w:cs="Arial"/>
        </w:rPr>
        <w:t>(</w:t>
      </w:r>
      <w:r w:rsidRPr="000E40F0">
        <w:rPr>
          <w:rFonts w:ascii="Arial" w:hAnsi="Arial" w:cs="Arial"/>
        </w:rPr>
        <w:t>1999</w:t>
      </w:r>
      <w:r w:rsidR="00DE580F">
        <w:rPr>
          <w:rFonts w:ascii="Arial" w:hAnsi="Arial" w:cs="Arial"/>
        </w:rPr>
        <w:t>)</w:t>
      </w:r>
    </w:p>
    <w:p w14:paraId="651BFF17" w14:textId="7E15FB1B" w:rsidR="002B1AE2" w:rsidRDefault="002B1AE2" w:rsidP="00ED04D5">
      <w:pPr>
        <w:rPr>
          <w:rFonts w:ascii="Arial" w:hAnsi="Arial" w:cs="Arial"/>
        </w:rPr>
      </w:pPr>
      <w:proofErr w:type="spellStart"/>
      <w:r>
        <w:rPr>
          <w:rFonts w:ascii="Arial" w:hAnsi="Arial" w:cs="Arial"/>
        </w:rPr>
        <w:t>Roscorla</w:t>
      </w:r>
      <w:proofErr w:type="spellEnd"/>
      <w:r>
        <w:rPr>
          <w:rFonts w:ascii="Arial" w:hAnsi="Arial" w:cs="Arial"/>
        </w:rPr>
        <w:t xml:space="preserve"> v Thomas (1842)</w:t>
      </w:r>
    </w:p>
    <w:p w14:paraId="699EED6E" w14:textId="11077865" w:rsidR="001E63D0" w:rsidRDefault="001E63D0" w:rsidP="00ED04D5">
      <w:pPr>
        <w:rPr>
          <w:rFonts w:ascii="Arial" w:hAnsi="Arial" w:cs="Arial"/>
        </w:rPr>
      </w:pPr>
      <w:r w:rsidRPr="006520D3">
        <w:rPr>
          <w:rFonts w:ascii="Arial" w:hAnsi="Arial" w:cs="Arial"/>
        </w:rPr>
        <w:t>Taylor v Laird (1856)</w:t>
      </w:r>
    </w:p>
    <w:p w14:paraId="5FE0360D" w14:textId="3E0B8172" w:rsidR="00575133" w:rsidRDefault="00575133" w:rsidP="00ED04D5">
      <w:pPr>
        <w:rPr>
          <w:rFonts w:ascii="Arial" w:hAnsi="Arial" w:cs="Arial"/>
        </w:rPr>
      </w:pPr>
      <w:r w:rsidRPr="000E40F0">
        <w:rPr>
          <w:rFonts w:ascii="Arial" w:hAnsi="Arial" w:cs="Arial"/>
        </w:rPr>
        <w:t>Tweddle v Atkinson</w:t>
      </w:r>
      <w:r>
        <w:rPr>
          <w:rFonts w:ascii="Arial" w:hAnsi="Arial" w:cs="Arial"/>
        </w:rPr>
        <w:t xml:space="preserve"> (1861)</w:t>
      </w:r>
    </w:p>
    <w:p w14:paraId="5A932CD6" w14:textId="77777777" w:rsidR="00575133" w:rsidRDefault="00575133" w:rsidP="00ED04D5">
      <w:pPr>
        <w:rPr>
          <w:rFonts w:ascii="Arial" w:hAnsi="Arial" w:cs="Arial"/>
        </w:rPr>
      </w:pPr>
    </w:p>
    <w:p w14:paraId="3FF83E70" w14:textId="77777777" w:rsidR="00575133" w:rsidRDefault="00575133" w:rsidP="00ED04D5">
      <w:pPr>
        <w:rPr>
          <w:rFonts w:ascii="Arial" w:hAnsi="Arial" w:cs="Arial"/>
        </w:rPr>
      </w:pPr>
    </w:p>
    <w:p w14:paraId="08D32674" w14:textId="77777777" w:rsidR="00D00274" w:rsidRDefault="00D00274" w:rsidP="00ED04D5">
      <w:pPr>
        <w:rPr>
          <w:rFonts w:ascii="Arial" w:hAnsi="Arial" w:cs="Arial"/>
        </w:rPr>
      </w:pPr>
    </w:p>
    <w:p w14:paraId="17B64E2F" w14:textId="77777777" w:rsidR="00D00274" w:rsidRDefault="00D00274" w:rsidP="00ED04D5">
      <w:pPr>
        <w:rPr>
          <w:rFonts w:ascii="Arial" w:hAnsi="Arial" w:cs="Arial"/>
        </w:rPr>
      </w:pPr>
    </w:p>
    <w:p w14:paraId="49BC3A0E" w14:textId="77777777" w:rsidR="00D00274" w:rsidRDefault="00D00274" w:rsidP="00ED04D5">
      <w:pPr>
        <w:rPr>
          <w:rFonts w:ascii="Arial" w:hAnsi="Arial" w:cs="Arial"/>
        </w:rPr>
      </w:pPr>
    </w:p>
    <w:p w14:paraId="4956A792" w14:textId="77777777" w:rsidR="00D00274" w:rsidRDefault="00D00274" w:rsidP="00ED04D5">
      <w:pPr>
        <w:rPr>
          <w:rFonts w:ascii="Arial" w:hAnsi="Arial" w:cs="Arial"/>
        </w:rPr>
      </w:pPr>
    </w:p>
    <w:p w14:paraId="46AACFAD" w14:textId="77777777" w:rsidR="00D00274" w:rsidRDefault="00D00274" w:rsidP="00ED04D5">
      <w:pPr>
        <w:rPr>
          <w:rFonts w:ascii="Arial" w:hAnsi="Arial" w:cs="Arial"/>
        </w:rPr>
      </w:pPr>
    </w:p>
    <w:p w14:paraId="41FB01D3" w14:textId="77777777" w:rsidR="00D00274" w:rsidRDefault="00D00274" w:rsidP="00ED04D5">
      <w:pPr>
        <w:rPr>
          <w:rFonts w:ascii="Arial" w:hAnsi="Arial" w:cs="Arial"/>
        </w:rPr>
      </w:pPr>
    </w:p>
    <w:p w14:paraId="70FC338A" w14:textId="77777777" w:rsidR="00D00274" w:rsidRDefault="00D00274" w:rsidP="00ED04D5">
      <w:pPr>
        <w:rPr>
          <w:rFonts w:ascii="Arial" w:hAnsi="Arial" w:cs="Arial"/>
        </w:rPr>
      </w:pPr>
    </w:p>
    <w:p w14:paraId="6671087A" w14:textId="77777777" w:rsidR="00D00274" w:rsidRDefault="00D00274" w:rsidP="00ED04D5">
      <w:pPr>
        <w:rPr>
          <w:rFonts w:ascii="Arial" w:hAnsi="Arial" w:cs="Arial"/>
        </w:rPr>
      </w:pPr>
    </w:p>
    <w:p w14:paraId="73C6F6FF" w14:textId="77777777" w:rsidR="00D00274" w:rsidRDefault="00D00274" w:rsidP="00ED04D5">
      <w:pPr>
        <w:rPr>
          <w:rFonts w:ascii="Arial" w:hAnsi="Arial" w:cs="Arial"/>
        </w:rPr>
      </w:pPr>
    </w:p>
    <w:p w14:paraId="68E64D34" w14:textId="77777777" w:rsidR="00D00274" w:rsidRDefault="00D00274" w:rsidP="00ED04D5">
      <w:pPr>
        <w:rPr>
          <w:rFonts w:ascii="Arial" w:hAnsi="Arial" w:cs="Arial"/>
        </w:rPr>
      </w:pPr>
    </w:p>
    <w:p w14:paraId="5932FA87" w14:textId="77777777" w:rsidR="00D00274" w:rsidRDefault="00D00274" w:rsidP="00ED04D5">
      <w:pPr>
        <w:rPr>
          <w:rFonts w:ascii="Arial" w:hAnsi="Arial" w:cs="Arial"/>
        </w:rPr>
      </w:pPr>
    </w:p>
    <w:p w14:paraId="106A21C9" w14:textId="77777777" w:rsidR="00D00274" w:rsidRDefault="00D00274" w:rsidP="00ED04D5">
      <w:pPr>
        <w:rPr>
          <w:rFonts w:ascii="Arial" w:hAnsi="Arial" w:cs="Arial"/>
        </w:rPr>
      </w:pPr>
    </w:p>
    <w:p w14:paraId="335F97BB" w14:textId="77777777" w:rsidR="00D00274" w:rsidRDefault="00D00274" w:rsidP="00ED04D5">
      <w:pPr>
        <w:rPr>
          <w:rFonts w:ascii="Arial" w:hAnsi="Arial" w:cs="Arial"/>
        </w:rPr>
      </w:pPr>
    </w:p>
    <w:p w14:paraId="18A69222" w14:textId="77777777" w:rsidR="00D00274" w:rsidRDefault="00D00274" w:rsidP="00ED04D5">
      <w:pPr>
        <w:rPr>
          <w:rFonts w:ascii="Arial" w:hAnsi="Arial" w:cs="Arial"/>
        </w:rPr>
      </w:pPr>
    </w:p>
    <w:p w14:paraId="5B34CB33" w14:textId="77777777" w:rsidR="00D00274" w:rsidRDefault="00D00274" w:rsidP="00ED04D5">
      <w:pPr>
        <w:rPr>
          <w:rFonts w:ascii="Arial" w:hAnsi="Arial" w:cs="Arial"/>
        </w:rPr>
      </w:pPr>
    </w:p>
    <w:sdt>
      <w:sdtPr>
        <w:id w:val="193177654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1B90EA8" w14:textId="2843514C" w:rsidR="00D00274" w:rsidRDefault="00D00274">
          <w:pPr>
            <w:pStyle w:val="Heading1"/>
          </w:pPr>
          <w:r>
            <w:t>References</w:t>
          </w:r>
        </w:p>
        <w:sdt>
          <w:sdtPr>
            <w:id w:val="-573587230"/>
            <w:bibliography/>
          </w:sdtPr>
          <w:sdtContent>
            <w:p w14:paraId="71509FCA" w14:textId="77777777" w:rsidR="00D00274" w:rsidRDefault="00D00274" w:rsidP="00D00274">
              <w:pPr>
                <w:pStyle w:val="Bibliography"/>
                <w:rPr>
                  <w:noProof/>
                  <w:sz w:val="24"/>
                  <w:szCs w:val="24"/>
                  <w:lang w:val="en-US"/>
                </w:rPr>
              </w:pPr>
              <w:r>
                <w:fldChar w:fldCharType="begin"/>
              </w:r>
              <w:r>
                <w:instrText xml:space="preserve"> BIBLIOGRAPHY </w:instrText>
              </w:r>
              <w:r>
                <w:fldChar w:fldCharType="separate"/>
              </w:r>
              <w:r>
                <w:rPr>
                  <w:noProof/>
                  <w:lang w:val="en-US"/>
                </w:rPr>
                <w:t xml:space="preserve">Chen-Wishart, M., 2005. </w:t>
              </w:r>
              <w:r>
                <w:rPr>
                  <w:i/>
                  <w:iCs/>
                  <w:noProof/>
                  <w:lang w:val="en-US"/>
                </w:rPr>
                <w:t xml:space="preserve">Contract Law. </w:t>
              </w:r>
              <w:r>
                <w:rPr>
                  <w:noProof/>
                  <w:lang w:val="en-US"/>
                </w:rPr>
                <w:t>5th ed. s.l.:Oxford.</w:t>
              </w:r>
            </w:p>
            <w:p w14:paraId="3D0EF601" w14:textId="77777777" w:rsidR="00D00274" w:rsidRDefault="00D00274" w:rsidP="00D00274">
              <w:pPr>
                <w:pStyle w:val="Bibliography"/>
                <w:rPr>
                  <w:noProof/>
                  <w:lang w:val="en-US"/>
                </w:rPr>
              </w:pPr>
              <w:r>
                <w:rPr>
                  <w:noProof/>
                  <w:lang w:val="en-US"/>
                </w:rPr>
                <w:t xml:space="preserve">Devenney, R. S. &amp;. J., 2017. </w:t>
              </w:r>
              <w:r>
                <w:rPr>
                  <w:i/>
                  <w:iCs/>
                  <w:noProof/>
                  <w:lang w:val="en-US"/>
                </w:rPr>
                <w:t xml:space="preserve">The Modern Law of Contract. </w:t>
              </w:r>
              <w:r>
                <w:rPr>
                  <w:noProof/>
                  <w:lang w:val="en-US"/>
                </w:rPr>
                <w:t>12th ed. s.l.:Routledge.</w:t>
              </w:r>
            </w:p>
            <w:p w14:paraId="02005451" w14:textId="77777777" w:rsidR="00D00274" w:rsidRDefault="00D00274" w:rsidP="00D00274">
              <w:pPr>
                <w:pStyle w:val="Bibliography"/>
                <w:rPr>
                  <w:noProof/>
                  <w:lang w:val="en-US"/>
                </w:rPr>
              </w:pPr>
              <w:r>
                <w:rPr>
                  <w:noProof/>
                  <w:lang w:val="en-US"/>
                </w:rPr>
                <w:t xml:space="preserve">eLawresources, 2022. </w:t>
              </w:r>
              <w:r>
                <w:rPr>
                  <w:i/>
                  <w:iCs/>
                  <w:noProof/>
                  <w:lang w:val="en-US"/>
                </w:rPr>
                <w:t xml:space="preserve">Carlill v Carbolic Smoke Ball Co [1893] 1 QB 256 Court of Appeal. </w:t>
              </w:r>
              <w:r>
                <w:rPr>
                  <w:noProof/>
                  <w:lang w:val="en-US"/>
                </w:rPr>
                <w:t xml:space="preserve">[Online] </w:t>
              </w:r>
              <w:r>
                <w:rPr>
                  <w:noProof/>
                  <w:lang w:val="en-US"/>
                </w:rPr>
                <w:br/>
                <w:t xml:space="preserve">Available at: </w:t>
              </w:r>
              <w:r>
                <w:rPr>
                  <w:noProof/>
                  <w:u w:val="single"/>
                  <w:lang w:val="en-US"/>
                </w:rPr>
                <w:t>http://www.e-lawresources.co.uk/Carlill-v-Carbolic-Smoke-Ball-Co.php</w:t>
              </w:r>
              <w:r>
                <w:rPr>
                  <w:noProof/>
                  <w:lang w:val="en-US"/>
                </w:rPr>
                <w:br/>
                <w:t>[Accessed 28 2 2022].</w:t>
              </w:r>
            </w:p>
            <w:p w14:paraId="61AF53A2" w14:textId="77777777" w:rsidR="00D00274" w:rsidRDefault="00D00274" w:rsidP="00D00274">
              <w:pPr>
                <w:pStyle w:val="Bibliography"/>
                <w:rPr>
                  <w:noProof/>
                  <w:lang w:val="en-US"/>
                </w:rPr>
              </w:pPr>
              <w:r>
                <w:rPr>
                  <w:noProof/>
                  <w:lang w:val="en-US"/>
                </w:rPr>
                <w:t xml:space="preserve">IncorporatedZone, 2020. </w:t>
              </w:r>
              <w:r>
                <w:rPr>
                  <w:i/>
                  <w:iCs/>
                  <w:noProof/>
                  <w:lang w:val="en-US"/>
                </w:rPr>
                <w:t xml:space="preserve">Offeror (Best Guide: Who Is It, Legal Definition And Examples). </w:t>
              </w:r>
              <w:r>
                <w:rPr>
                  <w:noProof/>
                  <w:lang w:val="en-US"/>
                </w:rPr>
                <w:t xml:space="preserve">[Online] </w:t>
              </w:r>
              <w:r>
                <w:rPr>
                  <w:noProof/>
                  <w:lang w:val="en-US"/>
                </w:rPr>
                <w:br/>
                <w:t xml:space="preserve">Available at: </w:t>
              </w:r>
              <w:r>
                <w:rPr>
                  <w:noProof/>
                  <w:u w:val="single"/>
                  <w:lang w:val="en-US"/>
                </w:rPr>
                <w:t>https://incorporated.zone/offeror/</w:t>
              </w:r>
              <w:r>
                <w:rPr>
                  <w:noProof/>
                  <w:lang w:val="en-US"/>
                </w:rPr>
                <w:br/>
                <w:t>[Accessed 2 3 2022].</w:t>
              </w:r>
            </w:p>
            <w:p w14:paraId="1E284E24" w14:textId="77777777" w:rsidR="00D00274" w:rsidRDefault="00D00274" w:rsidP="00D00274">
              <w:pPr>
                <w:pStyle w:val="Bibliography"/>
                <w:rPr>
                  <w:noProof/>
                  <w:lang w:val="en-US"/>
                </w:rPr>
              </w:pPr>
              <w:r>
                <w:rPr>
                  <w:noProof/>
                  <w:lang w:val="en-US"/>
                </w:rPr>
                <w:t xml:space="preserve">IPSA LOQUITUR, 2022. </w:t>
              </w:r>
              <w:r>
                <w:rPr>
                  <w:i/>
                  <w:iCs/>
                  <w:noProof/>
                  <w:lang w:val="en-US"/>
                </w:rPr>
                <w:t xml:space="preserve">Cutter v Powell. </w:t>
              </w:r>
              <w:r>
                <w:rPr>
                  <w:noProof/>
                  <w:lang w:val="en-US"/>
                </w:rPr>
                <w:t xml:space="preserve">[Online] </w:t>
              </w:r>
              <w:r>
                <w:rPr>
                  <w:noProof/>
                  <w:lang w:val="en-US"/>
                </w:rPr>
                <w:br/>
                <w:t xml:space="preserve">Available at: </w:t>
              </w:r>
              <w:r>
                <w:rPr>
                  <w:noProof/>
                  <w:u w:val="single"/>
                  <w:lang w:val="en-US"/>
                </w:rPr>
                <w:t>https://ipsaloquitur.com/contract-law/cases/cutter-v-powell/</w:t>
              </w:r>
              <w:r>
                <w:rPr>
                  <w:noProof/>
                  <w:lang w:val="en-US"/>
                </w:rPr>
                <w:br/>
                <w:t>[Accessed 26 2 2022].</w:t>
              </w:r>
            </w:p>
            <w:p w14:paraId="0B4A6EDB" w14:textId="77777777" w:rsidR="00D00274" w:rsidRDefault="00D00274" w:rsidP="00D00274">
              <w:pPr>
                <w:pStyle w:val="Bibliography"/>
                <w:rPr>
                  <w:noProof/>
                  <w:lang w:val="en-US"/>
                </w:rPr>
              </w:pPr>
              <w:r>
                <w:rPr>
                  <w:noProof/>
                  <w:lang w:val="en-US"/>
                </w:rPr>
                <w:t xml:space="preserve">Law Teacher, 2021. </w:t>
              </w:r>
              <w:r>
                <w:rPr>
                  <w:i/>
                  <w:iCs/>
                  <w:noProof/>
                  <w:lang w:val="en-US"/>
                </w:rPr>
                <w:t xml:space="preserve">Dunlop v Selfridge - 1915. </w:t>
              </w:r>
              <w:r>
                <w:rPr>
                  <w:noProof/>
                  <w:lang w:val="en-US"/>
                </w:rPr>
                <w:t xml:space="preserve">[Online] </w:t>
              </w:r>
              <w:r>
                <w:rPr>
                  <w:noProof/>
                  <w:lang w:val="en-US"/>
                </w:rPr>
                <w:br/>
                <w:t xml:space="preserve">Available at: </w:t>
              </w:r>
              <w:r>
                <w:rPr>
                  <w:noProof/>
                  <w:u w:val="single"/>
                  <w:lang w:val="en-US"/>
                </w:rPr>
                <w:t>https://www.lawteacher.net/cases/dunlop-v-selfridge.php</w:t>
              </w:r>
              <w:r>
                <w:rPr>
                  <w:noProof/>
                  <w:lang w:val="en-US"/>
                </w:rPr>
                <w:br/>
                <w:t>[Accessed 24 2 2022].</w:t>
              </w:r>
            </w:p>
            <w:p w14:paraId="418B8EBE" w14:textId="77777777" w:rsidR="00D00274" w:rsidRDefault="00D00274" w:rsidP="00D00274">
              <w:pPr>
                <w:pStyle w:val="Bibliography"/>
                <w:rPr>
                  <w:noProof/>
                  <w:lang w:val="en-US"/>
                </w:rPr>
              </w:pPr>
              <w:r>
                <w:rPr>
                  <w:noProof/>
                  <w:lang w:val="en-US"/>
                </w:rPr>
                <w:t xml:space="preserve">LawTeacher, 2013. </w:t>
              </w:r>
              <w:r>
                <w:rPr>
                  <w:i/>
                  <w:iCs/>
                  <w:noProof/>
                  <w:lang w:val="en-US"/>
                </w:rPr>
                <w:t xml:space="preserve">Currie v Misa - Summary. </w:t>
              </w:r>
              <w:r>
                <w:rPr>
                  <w:noProof/>
                  <w:lang w:val="en-US"/>
                </w:rPr>
                <w:t xml:space="preserve">[Online] </w:t>
              </w:r>
              <w:r>
                <w:rPr>
                  <w:noProof/>
                  <w:lang w:val="en-US"/>
                </w:rPr>
                <w:br/>
                <w:t xml:space="preserve">Available at: </w:t>
              </w:r>
              <w:r>
                <w:rPr>
                  <w:noProof/>
                  <w:u w:val="single"/>
                  <w:lang w:val="en-US"/>
                </w:rPr>
                <w:t>https://www.lawteacher.net/cases/currie-v-misa.php</w:t>
              </w:r>
              <w:r>
                <w:rPr>
                  <w:noProof/>
                  <w:lang w:val="en-US"/>
                </w:rPr>
                <w:br/>
                <w:t>[Accessed 24 2 2022].</w:t>
              </w:r>
            </w:p>
            <w:p w14:paraId="21EFD7EE" w14:textId="77777777" w:rsidR="00D00274" w:rsidRDefault="00D00274" w:rsidP="00D00274">
              <w:pPr>
                <w:pStyle w:val="Bibliography"/>
                <w:rPr>
                  <w:noProof/>
                  <w:lang w:val="en-US"/>
                </w:rPr>
              </w:pPr>
              <w:r>
                <w:rPr>
                  <w:noProof/>
                  <w:lang w:val="en-US"/>
                </w:rPr>
                <w:t xml:space="preserve">LawTeacher, 2021. </w:t>
              </w:r>
              <w:r>
                <w:rPr>
                  <w:i/>
                  <w:iCs/>
                  <w:noProof/>
                  <w:lang w:val="en-US"/>
                </w:rPr>
                <w:t xml:space="preserve">Hyde v Wrench - 1840. </w:t>
              </w:r>
              <w:r>
                <w:rPr>
                  <w:noProof/>
                  <w:lang w:val="en-US"/>
                </w:rPr>
                <w:t xml:space="preserve">[Online] </w:t>
              </w:r>
              <w:r>
                <w:rPr>
                  <w:noProof/>
                  <w:lang w:val="en-US"/>
                </w:rPr>
                <w:br/>
                <w:t xml:space="preserve">Available at: </w:t>
              </w:r>
              <w:r>
                <w:rPr>
                  <w:noProof/>
                  <w:u w:val="single"/>
                  <w:lang w:val="en-US"/>
                </w:rPr>
                <w:t>https://www.lawteacher.net/cases/hyde-v-wrench.php</w:t>
              </w:r>
              <w:r>
                <w:rPr>
                  <w:noProof/>
                  <w:lang w:val="en-US"/>
                </w:rPr>
                <w:br/>
                <w:t>[Accessed 27 2 2022].</w:t>
              </w:r>
            </w:p>
            <w:p w14:paraId="093B9530" w14:textId="77777777" w:rsidR="00D00274" w:rsidRDefault="00D00274" w:rsidP="00D00274">
              <w:pPr>
                <w:pStyle w:val="Bibliography"/>
                <w:rPr>
                  <w:noProof/>
                  <w:lang w:val="en-US"/>
                </w:rPr>
              </w:pPr>
              <w:r>
                <w:rPr>
                  <w:noProof/>
                  <w:lang w:val="en-US"/>
                </w:rPr>
                <w:t xml:space="preserve">Liuk, 2017. </w:t>
              </w:r>
              <w:r>
                <w:rPr>
                  <w:i/>
                  <w:iCs/>
                  <w:noProof/>
                  <w:lang w:val="en-US"/>
                </w:rPr>
                <w:t xml:space="preserve">Roscorla v Thomas (1842): consideration must not be past.. </w:t>
              </w:r>
              <w:r>
                <w:rPr>
                  <w:noProof/>
                  <w:lang w:val="en-US"/>
                </w:rPr>
                <w:t xml:space="preserve">[Online] </w:t>
              </w:r>
              <w:r>
                <w:rPr>
                  <w:noProof/>
                  <w:lang w:val="en-US"/>
                </w:rPr>
                <w:br/>
                <w:t xml:space="preserve">Available at: </w:t>
              </w:r>
              <w:r>
                <w:rPr>
                  <w:noProof/>
                  <w:u w:val="single"/>
                  <w:lang w:val="en-US"/>
                </w:rPr>
                <w:t>https://liuk.co.uk/roscorla-v-thomas/</w:t>
              </w:r>
              <w:r>
                <w:rPr>
                  <w:noProof/>
                  <w:lang w:val="en-US"/>
                </w:rPr>
                <w:br/>
                <w:t>[Accessed 25 2 2022].</w:t>
              </w:r>
            </w:p>
            <w:p w14:paraId="4DD7101A" w14:textId="77777777" w:rsidR="00D00274" w:rsidRDefault="00D00274" w:rsidP="00D00274">
              <w:pPr>
                <w:pStyle w:val="Bibliography"/>
                <w:rPr>
                  <w:noProof/>
                  <w:lang w:val="en-US"/>
                </w:rPr>
              </w:pPr>
              <w:r>
                <w:rPr>
                  <w:noProof/>
                  <w:lang w:val="en-US"/>
                </w:rPr>
                <w:t xml:space="preserve">Poole, J., 2016. </w:t>
              </w:r>
              <w:r>
                <w:rPr>
                  <w:i/>
                  <w:iCs/>
                  <w:noProof/>
                  <w:lang w:val="en-US"/>
                </w:rPr>
                <w:t xml:space="preserve">Textbook on Contract Law. </w:t>
              </w:r>
              <w:r>
                <w:rPr>
                  <w:noProof/>
                  <w:lang w:val="en-US"/>
                </w:rPr>
                <w:t>13th ed. s.l.:Oxford University Press.</w:t>
              </w:r>
            </w:p>
            <w:p w14:paraId="4E91A217" w14:textId="77777777" w:rsidR="00D00274" w:rsidRDefault="00D00274" w:rsidP="00D00274">
              <w:pPr>
                <w:pStyle w:val="Bibliography"/>
                <w:rPr>
                  <w:noProof/>
                  <w:lang w:val="en-US"/>
                </w:rPr>
              </w:pPr>
              <w:r>
                <w:rPr>
                  <w:noProof/>
                  <w:lang w:val="en-US"/>
                </w:rPr>
                <w:t xml:space="preserve">Revise Case Law, 2022. </w:t>
              </w:r>
              <w:r>
                <w:rPr>
                  <w:i/>
                  <w:iCs/>
                  <w:noProof/>
                  <w:lang w:val="en-US"/>
                </w:rPr>
                <w:t xml:space="preserve">Re McArdle 1951. </w:t>
              </w:r>
              <w:r>
                <w:rPr>
                  <w:noProof/>
                  <w:lang w:val="en-US"/>
                </w:rPr>
                <w:t xml:space="preserve">[Online] </w:t>
              </w:r>
              <w:r>
                <w:rPr>
                  <w:noProof/>
                  <w:lang w:val="en-US"/>
                </w:rPr>
                <w:br/>
                <w:t xml:space="preserve">Available at: </w:t>
              </w:r>
              <w:r>
                <w:rPr>
                  <w:noProof/>
                  <w:u w:val="single"/>
                  <w:lang w:val="en-US"/>
                </w:rPr>
                <w:t>http://www.revise-law.com/re-mcardle-1951/</w:t>
              </w:r>
              <w:r>
                <w:rPr>
                  <w:noProof/>
                  <w:lang w:val="en-US"/>
                </w:rPr>
                <w:br/>
                <w:t>[Accessed 25 2 2022].</w:t>
              </w:r>
            </w:p>
            <w:p w14:paraId="440434BB" w14:textId="77777777" w:rsidR="00D00274" w:rsidRDefault="00D00274" w:rsidP="00D00274">
              <w:pPr>
                <w:pStyle w:val="Bibliography"/>
                <w:rPr>
                  <w:noProof/>
                  <w:lang w:val="en-US"/>
                </w:rPr>
              </w:pPr>
              <w:r>
                <w:rPr>
                  <w:noProof/>
                  <w:lang w:val="en-US"/>
                </w:rPr>
                <w:t xml:space="preserve">Saintier, R. M. &amp;. S., 2019. </w:t>
              </w:r>
              <w:r>
                <w:rPr>
                  <w:i/>
                  <w:iCs/>
                  <w:noProof/>
                  <w:lang w:val="en-US"/>
                </w:rPr>
                <w:t xml:space="preserve">Poole's casebook on contract law. </w:t>
              </w:r>
              <w:r>
                <w:rPr>
                  <w:noProof/>
                  <w:lang w:val="en-US"/>
                </w:rPr>
                <w:t>14th ed. s.l.:Oxford Press University.</w:t>
              </w:r>
            </w:p>
            <w:p w14:paraId="7067C4BE" w14:textId="77777777" w:rsidR="00D00274" w:rsidRDefault="00D00274" w:rsidP="00D00274">
              <w:pPr>
                <w:pStyle w:val="Bibliography"/>
                <w:rPr>
                  <w:noProof/>
                  <w:lang w:val="en-US"/>
                </w:rPr>
              </w:pPr>
              <w:r>
                <w:rPr>
                  <w:noProof/>
                  <w:lang w:val="en-US"/>
                </w:rPr>
                <w:t xml:space="preserve">Thomson Reuters Practical Law, 2022. </w:t>
              </w:r>
              <w:r>
                <w:rPr>
                  <w:i/>
                  <w:iCs/>
                  <w:noProof/>
                  <w:lang w:val="en-US"/>
                </w:rPr>
                <w:t xml:space="preserve">Privity of contract. </w:t>
              </w:r>
              <w:r>
                <w:rPr>
                  <w:noProof/>
                  <w:lang w:val="en-US"/>
                </w:rPr>
                <w:t xml:space="preserve">[Online] </w:t>
              </w:r>
              <w:r>
                <w:rPr>
                  <w:noProof/>
                  <w:lang w:val="en-US"/>
                </w:rPr>
                <w:br/>
                <w:t xml:space="preserve">Available at: </w:t>
              </w:r>
              <w:r>
                <w:rPr>
                  <w:noProof/>
                  <w:u w:val="single"/>
                  <w:lang w:val="en-US"/>
                </w:rPr>
                <w:t>https://uk.practicallaw.thomsonreuters.com/8-107-7056?transitionType=Default&amp;contextData=(sc.Default)&amp;firstPage=true#:~:text=Privity%20of%20contract-,Related%20Content,benefit%20on%20the%20third%20party.</w:t>
              </w:r>
              <w:r>
                <w:rPr>
                  <w:noProof/>
                  <w:lang w:val="en-US"/>
                </w:rPr>
                <w:br/>
                <w:t>[Accessed 24 2 2022].</w:t>
              </w:r>
            </w:p>
            <w:p w14:paraId="57F3B2EB" w14:textId="77777777" w:rsidR="00D00274" w:rsidRDefault="00D00274" w:rsidP="00D00274">
              <w:pPr>
                <w:pStyle w:val="Bibliography"/>
                <w:rPr>
                  <w:noProof/>
                  <w:lang w:val="en-US"/>
                </w:rPr>
              </w:pPr>
              <w:r>
                <w:rPr>
                  <w:noProof/>
                  <w:lang w:val="en-US"/>
                </w:rPr>
                <w:t xml:space="preserve">Young, J., 2021. </w:t>
              </w:r>
              <w:r>
                <w:rPr>
                  <w:i/>
                  <w:iCs/>
                  <w:noProof/>
                  <w:lang w:val="en-US"/>
                </w:rPr>
                <w:t xml:space="preserve">Unilateral Contract. </w:t>
              </w:r>
              <w:r>
                <w:rPr>
                  <w:noProof/>
                  <w:lang w:val="en-US"/>
                </w:rPr>
                <w:t xml:space="preserve">[Online] </w:t>
              </w:r>
              <w:r>
                <w:rPr>
                  <w:noProof/>
                  <w:lang w:val="en-US"/>
                </w:rPr>
                <w:br/>
                <w:t xml:space="preserve">Available at: </w:t>
              </w:r>
              <w:r>
                <w:rPr>
                  <w:noProof/>
                  <w:u w:val="single"/>
                  <w:lang w:val="en-US"/>
                </w:rPr>
                <w:t>https://www.investopedia.com/terms/u/unilateral-contract.asp</w:t>
              </w:r>
              <w:r>
                <w:rPr>
                  <w:noProof/>
                  <w:lang w:val="en-US"/>
                </w:rPr>
                <w:br/>
                <w:t>[Accessed 2 3 2022].</w:t>
              </w:r>
            </w:p>
            <w:p w14:paraId="3373FAB4" w14:textId="55012708" w:rsidR="00D00274" w:rsidRDefault="00D00274" w:rsidP="00D00274">
              <w:r>
                <w:rPr>
                  <w:b/>
                  <w:bCs/>
                  <w:noProof/>
                </w:rPr>
                <w:fldChar w:fldCharType="end"/>
              </w:r>
            </w:p>
          </w:sdtContent>
        </w:sdt>
      </w:sdtContent>
    </w:sdt>
    <w:p w14:paraId="07C6CE7F" w14:textId="77777777" w:rsidR="00D00274" w:rsidRDefault="00D00274" w:rsidP="00ED04D5">
      <w:pPr>
        <w:rPr>
          <w:rFonts w:ascii="Arial" w:hAnsi="Arial" w:cs="Arial"/>
        </w:rPr>
      </w:pPr>
    </w:p>
    <w:p w14:paraId="1B18A64E" w14:textId="77777777" w:rsidR="00575133" w:rsidRDefault="00575133" w:rsidP="00ED04D5">
      <w:pPr>
        <w:rPr>
          <w:rFonts w:ascii="Arial" w:hAnsi="Arial" w:cs="Arial"/>
        </w:rPr>
      </w:pPr>
    </w:p>
    <w:p w14:paraId="6811E2A9" w14:textId="77777777" w:rsidR="00575133" w:rsidRDefault="00575133" w:rsidP="00ED04D5">
      <w:pPr>
        <w:rPr>
          <w:rFonts w:ascii="Arial" w:hAnsi="Arial" w:cs="Arial"/>
        </w:rPr>
      </w:pPr>
    </w:p>
    <w:p w14:paraId="2B3312B6" w14:textId="77777777" w:rsidR="00575133" w:rsidRDefault="00575133" w:rsidP="00ED04D5">
      <w:pPr>
        <w:rPr>
          <w:rFonts w:ascii="Arial" w:hAnsi="Arial" w:cs="Arial"/>
        </w:rPr>
      </w:pPr>
    </w:p>
    <w:p w14:paraId="78214BEF" w14:textId="77777777" w:rsidR="00575133" w:rsidRDefault="00575133" w:rsidP="00ED04D5">
      <w:pPr>
        <w:rPr>
          <w:rFonts w:ascii="Arial" w:hAnsi="Arial" w:cs="Arial"/>
        </w:rPr>
      </w:pPr>
    </w:p>
    <w:p w14:paraId="170AA604" w14:textId="77777777" w:rsidR="00575133" w:rsidRDefault="00575133" w:rsidP="00ED04D5">
      <w:pPr>
        <w:rPr>
          <w:rFonts w:ascii="Arial" w:hAnsi="Arial" w:cs="Arial"/>
        </w:rPr>
      </w:pPr>
    </w:p>
    <w:p w14:paraId="37E97A9B" w14:textId="77777777" w:rsidR="00575133" w:rsidRDefault="00575133" w:rsidP="00ED04D5">
      <w:pPr>
        <w:rPr>
          <w:rFonts w:ascii="Arial" w:hAnsi="Arial" w:cs="Arial"/>
        </w:rPr>
      </w:pPr>
    </w:p>
    <w:p w14:paraId="1C3280DE" w14:textId="77777777" w:rsidR="00575133" w:rsidRDefault="00575133" w:rsidP="00ED04D5">
      <w:pPr>
        <w:rPr>
          <w:rFonts w:ascii="Arial" w:hAnsi="Arial" w:cs="Arial"/>
        </w:rPr>
      </w:pPr>
    </w:p>
    <w:p w14:paraId="3E2AA237" w14:textId="77777777" w:rsidR="00575133" w:rsidRDefault="00575133" w:rsidP="00ED04D5">
      <w:pPr>
        <w:rPr>
          <w:rFonts w:ascii="Arial" w:hAnsi="Arial" w:cs="Arial"/>
        </w:rPr>
      </w:pPr>
    </w:p>
    <w:p w14:paraId="37C65452" w14:textId="77777777" w:rsidR="00575133" w:rsidRDefault="00575133" w:rsidP="00ED04D5">
      <w:pPr>
        <w:rPr>
          <w:rFonts w:ascii="Arial" w:hAnsi="Arial" w:cs="Arial"/>
        </w:rPr>
      </w:pPr>
    </w:p>
    <w:p w14:paraId="0D99E6AD" w14:textId="77777777" w:rsidR="00575133" w:rsidRDefault="00575133" w:rsidP="00ED04D5">
      <w:pPr>
        <w:rPr>
          <w:rFonts w:ascii="Arial" w:hAnsi="Arial" w:cs="Arial"/>
        </w:rPr>
      </w:pPr>
    </w:p>
    <w:p w14:paraId="1D39B8A9" w14:textId="77777777" w:rsidR="00575133" w:rsidRDefault="00575133" w:rsidP="00ED04D5">
      <w:pPr>
        <w:rPr>
          <w:rFonts w:ascii="Arial" w:hAnsi="Arial" w:cs="Arial"/>
        </w:rPr>
      </w:pPr>
    </w:p>
    <w:p w14:paraId="749E7C16" w14:textId="77777777" w:rsidR="00575133" w:rsidRDefault="00575133" w:rsidP="00ED04D5">
      <w:pPr>
        <w:rPr>
          <w:rFonts w:ascii="Arial" w:hAnsi="Arial" w:cs="Arial"/>
        </w:rPr>
      </w:pPr>
    </w:p>
    <w:p w14:paraId="6E71C84B" w14:textId="77777777" w:rsidR="00575133" w:rsidRDefault="00575133" w:rsidP="00ED04D5">
      <w:pPr>
        <w:rPr>
          <w:rFonts w:ascii="Arial" w:hAnsi="Arial" w:cs="Arial"/>
        </w:rPr>
      </w:pPr>
    </w:p>
    <w:p w14:paraId="7BB341A0" w14:textId="77777777" w:rsidR="00575133" w:rsidRDefault="00575133" w:rsidP="00ED04D5">
      <w:pPr>
        <w:rPr>
          <w:rFonts w:ascii="Arial" w:hAnsi="Arial" w:cs="Arial"/>
        </w:rPr>
      </w:pPr>
    </w:p>
    <w:p w14:paraId="68EC7405" w14:textId="77777777" w:rsidR="00575133" w:rsidRDefault="00575133" w:rsidP="00ED04D5">
      <w:pPr>
        <w:rPr>
          <w:rFonts w:ascii="Arial" w:hAnsi="Arial" w:cs="Arial"/>
        </w:rPr>
      </w:pPr>
    </w:p>
    <w:p w14:paraId="744B39DD" w14:textId="77777777" w:rsidR="00575133" w:rsidRDefault="00575133" w:rsidP="00ED04D5">
      <w:pPr>
        <w:rPr>
          <w:rFonts w:ascii="Arial" w:hAnsi="Arial" w:cs="Arial"/>
        </w:rPr>
      </w:pPr>
    </w:p>
    <w:p w14:paraId="620FE086" w14:textId="77777777" w:rsidR="00575133" w:rsidRDefault="00575133" w:rsidP="00ED04D5">
      <w:pPr>
        <w:rPr>
          <w:rFonts w:ascii="Arial" w:hAnsi="Arial" w:cs="Arial"/>
        </w:rPr>
      </w:pPr>
    </w:p>
    <w:p w14:paraId="009FD6D7" w14:textId="77777777" w:rsidR="001E63D0" w:rsidRDefault="001E63D0" w:rsidP="00ED04D5">
      <w:pPr>
        <w:rPr>
          <w:rFonts w:ascii="Arial" w:hAnsi="Arial" w:cs="Arial"/>
        </w:rPr>
      </w:pPr>
    </w:p>
    <w:p w14:paraId="74AF09D2" w14:textId="77777777" w:rsidR="002B1AE2" w:rsidRDefault="002B1AE2" w:rsidP="00ED04D5">
      <w:pPr>
        <w:rPr>
          <w:rFonts w:ascii="Arial" w:hAnsi="Arial" w:cs="Arial"/>
        </w:rPr>
      </w:pPr>
    </w:p>
    <w:p w14:paraId="368C7C53" w14:textId="77777777" w:rsidR="00DE580F" w:rsidRDefault="00DE580F" w:rsidP="00ED04D5">
      <w:pPr>
        <w:rPr>
          <w:rFonts w:ascii="Arial" w:hAnsi="Arial" w:cs="Arial"/>
        </w:rPr>
      </w:pPr>
    </w:p>
    <w:p w14:paraId="5C70058C" w14:textId="77777777" w:rsidR="005053EE" w:rsidRDefault="005053EE" w:rsidP="00ED04D5">
      <w:pPr>
        <w:rPr>
          <w:rFonts w:ascii="Arial" w:hAnsi="Arial" w:cs="Arial"/>
        </w:rPr>
      </w:pPr>
    </w:p>
    <w:p w14:paraId="2AD43E4D" w14:textId="77777777" w:rsidR="00E14007" w:rsidRDefault="00E14007" w:rsidP="00ED04D5">
      <w:pPr>
        <w:rPr>
          <w:rFonts w:ascii="Arial" w:hAnsi="Arial" w:cs="Arial"/>
        </w:rPr>
      </w:pPr>
    </w:p>
    <w:p w14:paraId="31699748" w14:textId="77777777" w:rsidR="007B2E3E" w:rsidRDefault="007B2E3E" w:rsidP="00ED04D5">
      <w:pPr>
        <w:rPr>
          <w:rFonts w:ascii="Arial" w:hAnsi="Arial" w:cs="Arial"/>
        </w:rPr>
      </w:pPr>
    </w:p>
    <w:p w14:paraId="7E83E1AC" w14:textId="77777777" w:rsidR="00201341" w:rsidRDefault="00201341" w:rsidP="00ED04D5">
      <w:pPr>
        <w:rPr>
          <w:rFonts w:ascii="Arial" w:hAnsi="Arial" w:cs="Arial"/>
        </w:rPr>
      </w:pPr>
    </w:p>
    <w:p w14:paraId="685CD0CA" w14:textId="77777777" w:rsidR="00737CD5" w:rsidRDefault="00737CD5" w:rsidP="00ED04D5">
      <w:pPr>
        <w:rPr>
          <w:rFonts w:ascii="Arial" w:hAnsi="Arial" w:cs="Arial"/>
        </w:rPr>
      </w:pPr>
    </w:p>
    <w:p w14:paraId="3582DFC5" w14:textId="77777777" w:rsidR="00ED04D5" w:rsidRDefault="00ED04D5" w:rsidP="004A76D6">
      <w:pPr>
        <w:rPr>
          <w:rFonts w:ascii="Arial" w:hAnsi="Arial" w:cs="Arial"/>
        </w:rPr>
      </w:pPr>
    </w:p>
    <w:p w14:paraId="496A67DB" w14:textId="77777777" w:rsidR="006D02A6" w:rsidRPr="00890DA9" w:rsidRDefault="006D02A6" w:rsidP="004A76D6">
      <w:pPr>
        <w:rPr>
          <w:rFonts w:ascii="Arial" w:hAnsi="Arial" w:cs="Arial"/>
          <w:b/>
          <w:bCs/>
          <w:sz w:val="24"/>
          <w:szCs w:val="24"/>
          <w:u w:val="single"/>
        </w:rPr>
      </w:pPr>
    </w:p>
    <w:sectPr w:rsidR="006D02A6" w:rsidRPr="00890D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8264A" w14:textId="77777777" w:rsidR="00F83870" w:rsidRDefault="00F83870" w:rsidP="004507EC">
      <w:pPr>
        <w:spacing w:after="0" w:line="240" w:lineRule="auto"/>
      </w:pPr>
      <w:r>
        <w:separator/>
      </w:r>
    </w:p>
  </w:endnote>
  <w:endnote w:type="continuationSeparator" w:id="0">
    <w:p w14:paraId="68CF4F78" w14:textId="77777777" w:rsidR="00F83870" w:rsidRDefault="00F83870" w:rsidP="00450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87CBF" w14:textId="77777777" w:rsidR="00F83870" w:rsidRDefault="00F83870" w:rsidP="004507EC">
      <w:pPr>
        <w:spacing w:after="0" w:line="240" w:lineRule="auto"/>
      </w:pPr>
      <w:r>
        <w:separator/>
      </w:r>
    </w:p>
  </w:footnote>
  <w:footnote w:type="continuationSeparator" w:id="0">
    <w:p w14:paraId="0E2D533A" w14:textId="77777777" w:rsidR="00F83870" w:rsidRDefault="00F83870" w:rsidP="004507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A692E"/>
    <w:multiLevelType w:val="hybridMultilevel"/>
    <w:tmpl w:val="352E7E96"/>
    <w:lvl w:ilvl="0" w:tplc="D326FF6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FD52EC"/>
    <w:multiLevelType w:val="hybridMultilevel"/>
    <w:tmpl w:val="1B469ED8"/>
    <w:lvl w:ilvl="0" w:tplc="0D446938">
      <w:start w:val="1"/>
      <w:numFmt w:val="lowerLetter"/>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987DD8"/>
    <w:multiLevelType w:val="hybridMultilevel"/>
    <w:tmpl w:val="DF685C7A"/>
    <w:lvl w:ilvl="0" w:tplc="7B90DF7A">
      <w:start w:val="1"/>
      <w:numFmt w:val="lowerLetter"/>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1C4"/>
    <w:rsid w:val="00005B99"/>
    <w:rsid w:val="00012548"/>
    <w:rsid w:val="00017612"/>
    <w:rsid w:val="000266AA"/>
    <w:rsid w:val="000446E8"/>
    <w:rsid w:val="0004706C"/>
    <w:rsid w:val="00051F6B"/>
    <w:rsid w:val="0005563E"/>
    <w:rsid w:val="0006000A"/>
    <w:rsid w:val="000657E8"/>
    <w:rsid w:val="00093F12"/>
    <w:rsid w:val="0009429B"/>
    <w:rsid w:val="000942E7"/>
    <w:rsid w:val="00095E13"/>
    <w:rsid w:val="000A0F82"/>
    <w:rsid w:val="000B01C6"/>
    <w:rsid w:val="000C02E9"/>
    <w:rsid w:val="000C45E1"/>
    <w:rsid w:val="000E40F0"/>
    <w:rsid w:val="000F1D98"/>
    <w:rsid w:val="00101EB5"/>
    <w:rsid w:val="001103FD"/>
    <w:rsid w:val="0013582D"/>
    <w:rsid w:val="0014760F"/>
    <w:rsid w:val="0018150A"/>
    <w:rsid w:val="0018289F"/>
    <w:rsid w:val="00196948"/>
    <w:rsid w:val="001B01C4"/>
    <w:rsid w:val="001B490B"/>
    <w:rsid w:val="001B4E15"/>
    <w:rsid w:val="001C615C"/>
    <w:rsid w:val="001E63D0"/>
    <w:rsid w:val="001F08CA"/>
    <w:rsid w:val="001F0FE0"/>
    <w:rsid w:val="001F3923"/>
    <w:rsid w:val="00201341"/>
    <w:rsid w:val="00201E5A"/>
    <w:rsid w:val="00210C87"/>
    <w:rsid w:val="00214B65"/>
    <w:rsid w:val="00221BF3"/>
    <w:rsid w:val="00223683"/>
    <w:rsid w:val="002347E2"/>
    <w:rsid w:val="002471D3"/>
    <w:rsid w:val="00251BE4"/>
    <w:rsid w:val="00253187"/>
    <w:rsid w:val="00254D4A"/>
    <w:rsid w:val="00277BC0"/>
    <w:rsid w:val="00284C3B"/>
    <w:rsid w:val="0029231F"/>
    <w:rsid w:val="002B0105"/>
    <w:rsid w:val="002B1AE2"/>
    <w:rsid w:val="002B356E"/>
    <w:rsid w:val="002B5BFB"/>
    <w:rsid w:val="002C740B"/>
    <w:rsid w:val="002E3A91"/>
    <w:rsid w:val="002E6EA9"/>
    <w:rsid w:val="002F124D"/>
    <w:rsid w:val="002F3AC7"/>
    <w:rsid w:val="00310296"/>
    <w:rsid w:val="003109AE"/>
    <w:rsid w:val="00311F64"/>
    <w:rsid w:val="00313BFD"/>
    <w:rsid w:val="003165E8"/>
    <w:rsid w:val="00322610"/>
    <w:rsid w:val="00323686"/>
    <w:rsid w:val="00323A6F"/>
    <w:rsid w:val="0033508A"/>
    <w:rsid w:val="00343988"/>
    <w:rsid w:val="00350604"/>
    <w:rsid w:val="00351F05"/>
    <w:rsid w:val="0035234D"/>
    <w:rsid w:val="0035627B"/>
    <w:rsid w:val="00356CA4"/>
    <w:rsid w:val="003706CD"/>
    <w:rsid w:val="00394DB1"/>
    <w:rsid w:val="003A1AEF"/>
    <w:rsid w:val="003A1E74"/>
    <w:rsid w:val="003A2176"/>
    <w:rsid w:val="003A4C5F"/>
    <w:rsid w:val="003B227C"/>
    <w:rsid w:val="003F393D"/>
    <w:rsid w:val="003F6387"/>
    <w:rsid w:val="003F6CF8"/>
    <w:rsid w:val="0040152F"/>
    <w:rsid w:val="00402E26"/>
    <w:rsid w:val="0041328A"/>
    <w:rsid w:val="00415BBD"/>
    <w:rsid w:val="00415F49"/>
    <w:rsid w:val="0041603F"/>
    <w:rsid w:val="00420042"/>
    <w:rsid w:val="00421295"/>
    <w:rsid w:val="0043489D"/>
    <w:rsid w:val="00435A81"/>
    <w:rsid w:val="004507EC"/>
    <w:rsid w:val="00451C88"/>
    <w:rsid w:val="004673C2"/>
    <w:rsid w:val="00471298"/>
    <w:rsid w:val="0047152F"/>
    <w:rsid w:val="0047154A"/>
    <w:rsid w:val="00475AD6"/>
    <w:rsid w:val="0047652D"/>
    <w:rsid w:val="004A76D6"/>
    <w:rsid w:val="004C055C"/>
    <w:rsid w:val="004C0EBB"/>
    <w:rsid w:val="004D74C9"/>
    <w:rsid w:val="004E2045"/>
    <w:rsid w:val="004E3051"/>
    <w:rsid w:val="004F0139"/>
    <w:rsid w:val="004F3F2B"/>
    <w:rsid w:val="004F5014"/>
    <w:rsid w:val="00503392"/>
    <w:rsid w:val="005053EE"/>
    <w:rsid w:val="00511B48"/>
    <w:rsid w:val="005233F7"/>
    <w:rsid w:val="00524B81"/>
    <w:rsid w:val="00540FAA"/>
    <w:rsid w:val="00541EE0"/>
    <w:rsid w:val="00542123"/>
    <w:rsid w:val="00561FA5"/>
    <w:rsid w:val="0057303A"/>
    <w:rsid w:val="00575133"/>
    <w:rsid w:val="0058303B"/>
    <w:rsid w:val="005A1ADD"/>
    <w:rsid w:val="005C643C"/>
    <w:rsid w:val="005D2221"/>
    <w:rsid w:val="005D42B0"/>
    <w:rsid w:val="005D6D89"/>
    <w:rsid w:val="005E202D"/>
    <w:rsid w:val="005E2408"/>
    <w:rsid w:val="005F5D44"/>
    <w:rsid w:val="00625AC7"/>
    <w:rsid w:val="0063376C"/>
    <w:rsid w:val="00640EEE"/>
    <w:rsid w:val="006429D7"/>
    <w:rsid w:val="00644244"/>
    <w:rsid w:val="006520D3"/>
    <w:rsid w:val="0067338B"/>
    <w:rsid w:val="00673681"/>
    <w:rsid w:val="00681604"/>
    <w:rsid w:val="006840DE"/>
    <w:rsid w:val="006845BC"/>
    <w:rsid w:val="006855A8"/>
    <w:rsid w:val="00686FC7"/>
    <w:rsid w:val="0069337C"/>
    <w:rsid w:val="006A5E5F"/>
    <w:rsid w:val="006B06AD"/>
    <w:rsid w:val="006B212B"/>
    <w:rsid w:val="006B56DF"/>
    <w:rsid w:val="006B6356"/>
    <w:rsid w:val="006C0BEE"/>
    <w:rsid w:val="006C783F"/>
    <w:rsid w:val="006D02A6"/>
    <w:rsid w:val="006D086B"/>
    <w:rsid w:val="006D562B"/>
    <w:rsid w:val="006D76EA"/>
    <w:rsid w:val="006D7F3B"/>
    <w:rsid w:val="006E19B9"/>
    <w:rsid w:val="006F7894"/>
    <w:rsid w:val="00700E4A"/>
    <w:rsid w:val="00703A22"/>
    <w:rsid w:val="0071662C"/>
    <w:rsid w:val="00727DCA"/>
    <w:rsid w:val="007360B0"/>
    <w:rsid w:val="00737CD5"/>
    <w:rsid w:val="00740F35"/>
    <w:rsid w:val="00752310"/>
    <w:rsid w:val="00752C2E"/>
    <w:rsid w:val="00757E36"/>
    <w:rsid w:val="007674F5"/>
    <w:rsid w:val="00784F3E"/>
    <w:rsid w:val="00785C6D"/>
    <w:rsid w:val="007909C0"/>
    <w:rsid w:val="00793353"/>
    <w:rsid w:val="0079528C"/>
    <w:rsid w:val="007A5198"/>
    <w:rsid w:val="007B2DE3"/>
    <w:rsid w:val="007B2E3E"/>
    <w:rsid w:val="007C6328"/>
    <w:rsid w:val="007E5A23"/>
    <w:rsid w:val="007E7F4E"/>
    <w:rsid w:val="007F0BBE"/>
    <w:rsid w:val="008030DC"/>
    <w:rsid w:val="00803CCA"/>
    <w:rsid w:val="008118E7"/>
    <w:rsid w:val="008230A9"/>
    <w:rsid w:val="008231F9"/>
    <w:rsid w:val="008341EB"/>
    <w:rsid w:val="0083594B"/>
    <w:rsid w:val="00837EB4"/>
    <w:rsid w:val="00857A8A"/>
    <w:rsid w:val="00866C03"/>
    <w:rsid w:val="00867412"/>
    <w:rsid w:val="00867AFE"/>
    <w:rsid w:val="00883283"/>
    <w:rsid w:val="008850A0"/>
    <w:rsid w:val="00885CE5"/>
    <w:rsid w:val="00890DA9"/>
    <w:rsid w:val="00896807"/>
    <w:rsid w:val="008978B6"/>
    <w:rsid w:val="008B4A32"/>
    <w:rsid w:val="008C5305"/>
    <w:rsid w:val="008C541B"/>
    <w:rsid w:val="008D2D96"/>
    <w:rsid w:val="008E0CCA"/>
    <w:rsid w:val="008E45AA"/>
    <w:rsid w:val="008F604D"/>
    <w:rsid w:val="00901AE5"/>
    <w:rsid w:val="009057BA"/>
    <w:rsid w:val="00905A99"/>
    <w:rsid w:val="00913C1C"/>
    <w:rsid w:val="00922BF0"/>
    <w:rsid w:val="0092315A"/>
    <w:rsid w:val="00944763"/>
    <w:rsid w:val="0096495E"/>
    <w:rsid w:val="0096692F"/>
    <w:rsid w:val="00967FE1"/>
    <w:rsid w:val="00971E6D"/>
    <w:rsid w:val="0097733B"/>
    <w:rsid w:val="00977ACF"/>
    <w:rsid w:val="009A27AC"/>
    <w:rsid w:val="009B0877"/>
    <w:rsid w:val="009B1430"/>
    <w:rsid w:val="009F02DC"/>
    <w:rsid w:val="009F1340"/>
    <w:rsid w:val="00A050EE"/>
    <w:rsid w:val="00A0772B"/>
    <w:rsid w:val="00A2273D"/>
    <w:rsid w:val="00A44BE5"/>
    <w:rsid w:val="00A45DD0"/>
    <w:rsid w:val="00A525CB"/>
    <w:rsid w:val="00A57A7F"/>
    <w:rsid w:val="00A57E5F"/>
    <w:rsid w:val="00A65AF4"/>
    <w:rsid w:val="00A821C9"/>
    <w:rsid w:val="00A841FC"/>
    <w:rsid w:val="00A84579"/>
    <w:rsid w:val="00A8703A"/>
    <w:rsid w:val="00AB1C37"/>
    <w:rsid w:val="00AD4425"/>
    <w:rsid w:val="00AD5E75"/>
    <w:rsid w:val="00AE2E58"/>
    <w:rsid w:val="00AE4F29"/>
    <w:rsid w:val="00B0691A"/>
    <w:rsid w:val="00B11019"/>
    <w:rsid w:val="00B14AA3"/>
    <w:rsid w:val="00B21958"/>
    <w:rsid w:val="00B22033"/>
    <w:rsid w:val="00B22936"/>
    <w:rsid w:val="00B266B9"/>
    <w:rsid w:val="00B32951"/>
    <w:rsid w:val="00B60508"/>
    <w:rsid w:val="00B64CE5"/>
    <w:rsid w:val="00B67E95"/>
    <w:rsid w:val="00B85E5A"/>
    <w:rsid w:val="00B90E08"/>
    <w:rsid w:val="00BA707E"/>
    <w:rsid w:val="00BB11DB"/>
    <w:rsid w:val="00BB5E10"/>
    <w:rsid w:val="00BB7621"/>
    <w:rsid w:val="00BD4165"/>
    <w:rsid w:val="00BF0E2D"/>
    <w:rsid w:val="00C056D2"/>
    <w:rsid w:val="00C05E01"/>
    <w:rsid w:val="00C34C73"/>
    <w:rsid w:val="00C553B6"/>
    <w:rsid w:val="00C57B2A"/>
    <w:rsid w:val="00C74506"/>
    <w:rsid w:val="00C8659B"/>
    <w:rsid w:val="00C96E3F"/>
    <w:rsid w:val="00CA2D85"/>
    <w:rsid w:val="00CB0CFA"/>
    <w:rsid w:val="00CC0512"/>
    <w:rsid w:val="00CF22AE"/>
    <w:rsid w:val="00CF4845"/>
    <w:rsid w:val="00D00274"/>
    <w:rsid w:val="00D10746"/>
    <w:rsid w:val="00D10986"/>
    <w:rsid w:val="00D11F02"/>
    <w:rsid w:val="00D17809"/>
    <w:rsid w:val="00D17847"/>
    <w:rsid w:val="00D229DD"/>
    <w:rsid w:val="00D26832"/>
    <w:rsid w:val="00D272FA"/>
    <w:rsid w:val="00D30922"/>
    <w:rsid w:val="00D34B30"/>
    <w:rsid w:val="00D3781A"/>
    <w:rsid w:val="00D43397"/>
    <w:rsid w:val="00D54D90"/>
    <w:rsid w:val="00D5712E"/>
    <w:rsid w:val="00D6055F"/>
    <w:rsid w:val="00D75819"/>
    <w:rsid w:val="00D95AD0"/>
    <w:rsid w:val="00D96FC4"/>
    <w:rsid w:val="00D97C51"/>
    <w:rsid w:val="00DA2818"/>
    <w:rsid w:val="00DB0090"/>
    <w:rsid w:val="00DB2036"/>
    <w:rsid w:val="00DB3563"/>
    <w:rsid w:val="00DB6133"/>
    <w:rsid w:val="00DB7AD0"/>
    <w:rsid w:val="00DC4137"/>
    <w:rsid w:val="00DE1C27"/>
    <w:rsid w:val="00DE580F"/>
    <w:rsid w:val="00DE732F"/>
    <w:rsid w:val="00DE7567"/>
    <w:rsid w:val="00DF1146"/>
    <w:rsid w:val="00E030FF"/>
    <w:rsid w:val="00E14007"/>
    <w:rsid w:val="00E456B6"/>
    <w:rsid w:val="00E645E6"/>
    <w:rsid w:val="00E6546C"/>
    <w:rsid w:val="00E675EA"/>
    <w:rsid w:val="00E7312B"/>
    <w:rsid w:val="00E808B0"/>
    <w:rsid w:val="00E83E5F"/>
    <w:rsid w:val="00EB2F4A"/>
    <w:rsid w:val="00EB4E8A"/>
    <w:rsid w:val="00EC06F8"/>
    <w:rsid w:val="00ED012E"/>
    <w:rsid w:val="00ED04D5"/>
    <w:rsid w:val="00ED5091"/>
    <w:rsid w:val="00ED54CE"/>
    <w:rsid w:val="00EE2A31"/>
    <w:rsid w:val="00EE74F4"/>
    <w:rsid w:val="00F12639"/>
    <w:rsid w:val="00F12D4A"/>
    <w:rsid w:val="00F1786B"/>
    <w:rsid w:val="00F30AE4"/>
    <w:rsid w:val="00F30B83"/>
    <w:rsid w:val="00F3215A"/>
    <w:rsid w:val="00F32F2E"/>
    <w:rsid w:val="00F3354F"/>
    <w:rsid w:val="00F64674"/>
    <w:rsid w:val="00F67A42"/>
    <w:rsid w:val="00F83870"/>
    <w:rsid w:val="00F847AE"/>
    <w:rsid w:val="00FA04DF"/>
    <w:rsid w:val="00FB018A"/>
    <w:rsid w:val="00FF56D5"/>
    <w:rsid w:val="00FF6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A45CB"/>
  <w15:chartTrackingRefBased/>
  <w15:docId w15:val="{76686781-71DF-4514-8BBF-48BD58412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27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2B5B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3A22"/>
    <w:pPr>
      <w:ind w:left="720"/>
      <w:contextualSpacing/>
    </w:pPr>
  </w:style>
  <w:style w:type="character" w:customStyle="1" w:styleId="Heading2Char">
    <w:name w:val="Heading 2 Char"/>
    <w:basedOn w:val="DefaultParagraphFont"/>
    <w:link w:val="Heading2"/>
    <w:uiPriority w:val="9"/>
    <w:rsid w:val="002B5BF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0027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00274"/>
  </w:style>
  <w:style w:type="paragraph" w:styleId="Header">
    <w:name w:val="header"/>
    <w:basedOn w:val="Normal"/>
    <w:link w:val="HeaderChar"/>
    <w:uiPriority w:val="99"/>
    <w:unhideWhenUsed/>
    <w:rsid w:val="00450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7EC"/>
  </w:style>
  <w:style w:type="paragraph" w:styleId="Footer">
    <w:name w:val="footer"/>
    <w:basedOn w:val="Normal"/>
    <w:link w:val="FooterChar"/>
    <w:uiPriority w:val="99"/>
    <w:unhideWhenUsed/>
    <w:rsid w:val="00450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7EC"/>
  </w:style>
  <w:style w:type="paragraph" w:styleId="NoSpacing">
    <w:name w:val="No Spacing"/>
    <w:link w:val="NoSpacingChar"/>
    <w:uiPriority w:val="1"/>
    <w:qFormat/>
    <w:rsid w:val="00B229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293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56016">
      <w:bodyDiv w:val="1"/>
      <w:marLeft w:val="0"/>
      <w:marRight w:val="0"/>
      <w:marTop w:val="0"/>
      <w:marBottom w:val="0"/>
      <w:divBdr>
        <w:top w:val="none" w:sz="0" w:space="0" w:color="auto"/>
        <w:left w:val="none" w:sz="0" w:space="0" w:color="auto"/>
        <w:bottom w:val="none" w:sz="0" w:space="0" w:color="auto"/>
        <w:right w:val="none" w:sz="0" w:space="0" w:color="auto"/>
      </w:divBdr>
    </w:div>
    <w:div w:id="56978756">
      <w:bodyDiv w:val="1"/>
      <w:marLeft w:val="0"/>
      <w:marRight w:val="0"/>
      <w:marTop w:val="0"/>
      <w:marBottom w:val="0"/>
      <w:divBdr>
        <w:top w:val="none" w:sz="0" w:space="0" w:color="auto"/>
        <w:left w:val="none" w:sz="0" w:space="0" w:color="auto"/>
        <w:bottom w:val="none" w:sz="0" w:space="0" w:color="auto"/>
        <w:right w:val="none" w:sz="0" w:space="0" w:color="auto"/>
      </w:divBdr>
    </w:div>
    <w:div w:id="77531047">
      <w:bodyDiv w:val="1"/>
      <w:marLeft w:val="0"/>
      <w:marRight w:val="0"/>
      <w:marTop w:val="0"/>
      <w:marBottom w:val="0"/>
      <w:divBdr>
        <w:top w:val="none" w:sz="0" w:space="0" w:color="auto"/>
        <w:left w:val="none" w:sz="0" w:space="0" w:color="auto"/>
        <w:bottom w:val="none" w:sz="0" w:space="0" w:color="auto"/>
        <w:right w:val="none" w:sz="0" w:space="0" w:color="auto"/>
      </w:divBdr>
    </w:div>
    <w:div w:id="115409795">
      <w:bodyDiv w:val="1"/>
      <w:marLeft w:val="0"/>
      <w:marRight w:val="0"/>
      <w:marTop w:val="0"/>
      <w:marBottom w:val="0"/>
      <w:divBdr>
        <w:top w:val="none" w:sz="0" w:space="0" w:color="auto"/>
        <w:left w:val="none" w:sz="0" w:space="0" w:color="auto"/>
        <w:bottom w:val="none" w:sz="0" w:space="0" w:color="auto"/>
        <w:right w:val="none" w:sz="0" w:space="0" w:color="auto"/>
      </w:divBdr>
    </w:div>
    <w:div w:id="650058122">
      <w:bodyDiv w:val="1"/>
      <w:marLeft w:val="0"/>
      <w:marRight w:val="0"/>
      <w:marTop w:val="0"/>
      <w:marBottom w:val="0"/>
      <w:divBdr>
        <w:top w:val="none" w:sz="0" w:space="0" w:color="auto"/>
        <w:left w:val="none" w:sz="0" w:space="0" w:color="auto"/>
        <w:bottom w:val="none" w:sz="0" w:space="0" w:color="auto"/>
        <w:right w:val="none" w:sz="0" w:space="0" w:color="auto"/>
      </w:divBdr>
    </w:div>
    <w:div w:id="733088921">
      <w:bodyDiv w:val="1"/>
      <w:marLeft w:val="0"/>
      <w:marRight w:val="0"/>
      <w:marTop w:val="0"/>
      <w:marBottom w:val="0"/>
      <w:divBdr>
        <w:top w:val="none" w:sz="0" w:space="0" w:color="auto"/>
        <w:left w:val="none" w:sz="0" w:space="0" w:color="auto"/>
        <w:bottom w:val="none" w:sz="0" w:space="0" w:color="auto"/>
        <w:right w:val="none" w:sz="0" w:space="0" w:color="auto"/>
      </w:divBdr>
    </w:div>
    <w:div w:id="827286919">
      <w:bodyDiv w:val="1"/>
      <w:marLeft w:val="0"/>
      <w:marRight w:val="0"/>
      <w:marTop w:val="0"/>
      <w:marBottom w:val="0"/>
      <w:divBdr>
        <w:top w:val="none" w:sz="0" w:space="0" w:color="auto"/>
        <w:left w:val="none" w:sz="0" w:space="0" w:color="auto"/>
        <w:bottom w:val="none" w:sz="0" w:space="0" w:color="auto"/>
        <w:right w:val="none" w:sz="0" w:space="0" w:color="auto"/>
      </w:divBdr>
    </w:div>
    <w:div w:id="848908225">
      <w:bodyDiv w:val="1"/>
      <w:marLeft w:val="0"/>
      <w:marRight w:val="0"/>
      <w:marTop w:val="0"/>
      <w:marBottom w:val="0"/>
      <w:divBdr>
        <w:top w:val="none" w:sz="0" w:space="0" w:color="auto"/>
        <w:left w:val="none" w:sz="0" w:space="0" w:color="auto"/>
        <w:bottom w:val="none" w:sz="0" w:space="0" w:color="auto"/>
        <w:right w:val="none" w:sz="0" w:space="0" w:color="auto"/>
      </w:divBdr>
    </w:div>
    <w:div w:id="947658189">
      <w:bodyDiv w:val="1"/>
      <w:marLeft w:val="0"/>
      <w:marRight w:val="0"/>
      <w:marTop w:val="0"/>
      <w:marBottom w:val="0"/>
      <w:divBdr>
        <w:top w:val="none" w:sz="0" w:space="0" w:color="auto"/>
        <w:left w:val="none" w:sz="0" w:space="0" w:color="auto"/>
        <w:bottom w:val="none" w:sz="0" w:space="0" w:color="auto"/>
        <w:right w:val="none" w:sz="0" w:space="0" w:color="auto"/>
      </w:divBdr>
    </w:div>
    <w:div w:id="1156456099">
      <w:bodyDiv w:val="1"/>
      <w:marLeft w:val="0"/>
      <w:marRight w:val="0"/>
      <w:marTop w:val="0"/>
      <w:marBottom w:val="0"/>
      <w:divBdr>
        <w:top w:val="none" w:sz="0" w:space="0" w:color="auto"/>
        <w:left w:val="none" w:sz="0" w:space="0" w:color="auto"/>
        <w:bottom w:val="none" w:sz="0" w:space="0" w:color="auto"/>
        <w:right w:val="none" w:sz="0" w:space="0" w:color="auto"/>
      </w:divBdr>
    </w:div>
    <w:div w:id="1273172119">
      <w:bodyDiv w:val="1"/>
      <w:marLeft w:val="0"/>
      <w:marRight w:val="0"/>
      <w:marTop w:val="0"/>
      <w:marBottom w:val="0"/>
      <w:divBdr>
        <w:top w:val="none" w:sz="0" w:space="0" w:color="auto"/>
        <w:left w:val="none" w:sz="0" w:space="0" w:color="auto"/>
        <w:bottom w:val="none" w:sz="0" w:space="0" w:color="auto"/>
        <w:right w:val="none" w:sz="0" w:space="0" w:color="auto"/>
      </w:divBdr>
    </w:div>
    <w:div w:id="1287855405">
      <w:bodyDiv w:val="1"/>
      <w:marLeft w:val="0"/>
      <w:marRight w:val="0"/>
      <w:marTop w:val="0"/>
      <w:marBottom w:val="0"/>
      <w:divBdr>
        <w:top w:val="none" w:sz="0" w:space="0" w:color="auto"/>
        <w:left w:val="none" w:sz="0" w:space="0" w:color="auto"/>
        <w:bottom w:val="none" w:sz="0" w:space="0" w:color="auto"/>
        <w:right w:val="none" w:sz="0" w:space="0" w:color="auto"/>
      </w:divBdr>
    </w:div>
    <w:div w:id="1292632916">
      <w:bodyDiv w:val="1"/>
      <w:marLeft w:val="0"/>
      <w:marRight w:val="0"/>
      <w:marTop w:val="0"/>
      <w:marBottom w:val="0"/>
      <w:divBdr>
        <w:top w:val="none" w:sz="0" w:space="0" w:color="auto"/>
        <w:left w:val="none" w:sz="0" w:space="0" w:color="auto"/>
        <w:bottom w:val="none" w:sz="0" w:space="0" w:color="auto"/>
        <w:right w:val="none" w:sz="0" w:space="0" w:color="auto"/>
      </w:divBdr>
    </w:div>
    <w:div w:id="1326713254">
      <w:bodyDiv w:val="1"/>
      <w:marLeft w:val="0"/>
      <w:marRight w:val="0"/>
      <w:marTop w:val="0"/>
      <w:marBottom w:val="0"/>
      <w:divBdr>
        <w:top w:val="none" w:sz="0" w:space="0" w:color="auto"/>
        <w:left w:val="none" w:sz="0" w:space="0" w:color="auto"/>
        <w:bottom w:val="none" w:sz="0" w:space="0" w:color="auto"/>
        <w:right w:val="none" w:sz="0" w:space="0" w:color="auto"/>
      </w:divBdr>
    </w:div>
    <w:div w:id="1422482418">
      <w:bodyDiv w:val="1"/>
      <w:marLeft w:val="0"/>
      <w:marRight w:val="0"/>
      <w:marTop w:val="0"/>
      <w:marBottom w:val="0"/>
      <w:divBdr>
        <w:top w:val="none" w:sz="0" w:space="0" w:color="auto"/>
        <w:left w:val="none" w:sz="0" w:space="0" w:color="auto"/>
        <w:bottom w:val="none" w:sz="0" w:space="0" w:color="auto"/>
        <w:right w:val="none" w:sz="0" w:space="0" w:color="auto"/>
      </w:divBdr>
    </w:div>
    <w:div w:id="1523591371">
      <w:bodyDiv w:val="1"/>
      <w:marLeft w:val="0"/>
      <w:marRight w:val="0"/>
      <w:marTop w:val="0"/>
      <w:marBottom w:val="0"/>
      <w:divBdr>
        <w:top w:val="none" w:sz="0" w:space="0" w:color="auto"/>
        <w:left w:val="none" w:sz="0" w:space="0" w:color="auto"/>
        <w:bottom w:val="none" w:sz="0" w:space="0" w:color="auto"/>
        <w:right w:val="none" w:sz="0" w:space="0" w:color="auto"/>
      </w:divBdr>
    </w:div>
    <w:div w:id="1672249335">
      <w:bodyDiv w:val="1"/>
      <w:marLeft w:val="0"/>
      <w:marRight w:val="0"/>
      <w:marTop w:val="0"/>
      <w:marBottom w:val="0"/>
      <w:divBdr>
        <w:top w:val="none" w:sz="0" w:space="0" w:color="auto"/>
        <w:left w:val="none" w:sz="0" w:space="0" w:color="auto"/>
        <w:bottom w:val="none" w:sz="0" w:space="0" w:color="auto"/>
        <w:right w:val="none" w:sz="0" w:space="0" w:color="auto"/>
      </w:divBdr>
    </w:div>
    <w:div w:id="1874264216">
      <w:bodyDiv w:val="1"/>
      <w:marLeft w:val="0"/>
      <w:marRight w:val="0"/>
      <w:marTop w:val="0"/>
      <w:marBottom w:val="0"/>
      <w:divBdr>
        <w:top w:val="none" w:sz="0" w:space="0" w:color="auto"/>
        <w:left w:val="none" w:sz="0" w:space="0" w:color="auto"/>
        <w:bottom w:val="none" w:sz="0" w:space="0" w:color="auto"/>
        <w:right w:val="none" w:sz="0" w:space="0" w:color="auto"/>
      </w:divBdr>
    </w:div>
    <w:div w:id="1889369670">
      <w:bodyDiv w:val="1"/>
      <w:marLeft w:val="0"/>
      <w:marRight w:val="0"/>
      <w:marTop w:val="0"/>
      <w:marBottom w:val="0"/>
      <w:divBdr>
        <w:top w:val="none" w:sz="0" w:space="0" w:color="auto"/>
        <w:left w:val="none" w:sz="0" w:space="0" w:color="auto"/>
        <w:bottom w:val="none" w:sz="0" w:space="0" w:color="auto"/>
        <w:right w:val="none" w:sz="0" w:space="0" w:color="auto"/>
      </w:divBdr>
    </w:div>
    <w:div w:id="2039969365">
      <w:bodyDiv w:val="1"/>
      <w:marLeft w:val="0"/>
      <w:marRight w:val="0"/>
      <w:marTop w:val="0"/>
      <w:marBottom w:val="0"/>
      <w:divBdr>
        <w:top w:val="none" w:sz="0" w:space="0" w:color="auto"/>
        <w:left w:val="none" w:sz="0" w:space="0" w:color="auto"/>
        <w:bottom w:val="none" w:sz="0" w:space="0" w:color="auto"/>
        <w:right w:val="none" w:sz="0" w:space="0" w:color="auto"/>
      </w:divBdr>
    </w:div>
    <w:div w:id="2062707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Tho22</b:Tag>
    <b:SourceType>InternetSite</b:SourceType>
    <b:Guid>{35BB5EB3-16DA-4AAD-884B-8D9E8A200AE6}</b:Guid>
    <b:Author>
      <b:Author>
        <b:Corporate>Thomson Reuters Practical Law</b:Corporate>
      </b:Author>
    </b:Author>
    <b:Title>Privity of contract</b:Title>
    <b:Year>2022</b:Year>
    <b:YearAccessed>2022</b:YearAccessed>
    <b:MonthAccessed>2</b:MonthAccessed>
    <b:DayAccessed>24</b:DayAccessed>
    <b:URL>https://uk.practicallaw.thomsonreuters.com/8-107-7056?transitionType=Default&amp;contextData=(sc.Default)&amp;firstPage=true#:~:text=Privity%20of%20contract-,Related%20Content,benefit%20on%20the%20third%20party.</b:URL>
    <b:RefOrder>1</b:RefOrder>
  </b:Source>
  <b:Source>
    <b:Tag>Law21</b:Tag>
    <b:SourceType>InternetSite</b:SourceType>
    <b:Guid>{73250C9F-4A4E-4DED-8E48-81C244C54936}</b:Guid>
    <b:Author>
      <b:Author>
        <b:Corporate>Law Teacher</b:Corporate>
      </b:Author>
    </b:Author>
    <b:Title>Dunlop v Selfridge - 1915</b:Title>
    <b:Year>2021</b:Year>
    <b:YearAccessed>2022</b:YearAccessed>
    <b:MonthAccessed>2</b:MonthAccessed>
    <b:DayAccessed>24</b:DayAccessed>
    <b:URL>https://www.lawteacher.net/cases/dunlop-v-selfridge.php</b:URL>
    <b:RefOrder>2</b:RefOrder>
  </b:Source>
  <b:Source>
    <b:Tag>Ric17</b:Tag>
    <b:SourceType>Book</b:SourceType>
    <b:Guid>{55F8B3B9-65B8-4D83-A5E4-34143F04FBC4}</b:Guid>
    <b:Title>The Modern Law of Contract </b:Title>
    <b:Year>2017</b:Year>
    <b:Publisher>Routledge</b:Publisher>
    <b:Author>
      <b:Author>
        <b:NameList>
          <b:Person>
            <b:Last>Devenney</b:Last>
            <b:First>Richard</b:First>
            <b:Middle>Stone &amp; James</b:Middle>
          </b:Person>
        </b:NameList>
      </b:Author>
    </b:Author>
    <b:Edition>12th</b:Edition>
    <b:RefOrder>3</b:RefOrder>
  </b:Source>
  <b:Source>
    <b:Tag>Law13</b:Tag>
    <b:SourceType>InternetSite</b:SourceType>
    <b:Guid>{9C47B174-EEF7-4217-AC23-B914590561C8}</b:Guid>
    <b:Author>
      <b:Author>
        <b:Corporate>LawTeacher</b:Corporate>
      </b:Author>
    </b:Author>
    <b:Title>Currie v Misa - Summary</b:Title>
    <b:Year>2013</b:Year>
    <b:YearAccessed>2022</b:YearAccessed>
    <b:MonthAccessed>2</b:MonthAccessed>
    <b:DayAccessed>24</b:DayAccessed>
    <b:URL>https://www.lawteacher.net/cases/currie-v-misa.php</b:URL>
    <b:RefOrder>4</b:RefOrder>
  </b:Source>
  <b:Source>
    <b:Tag>Rev22</b:Tag>
    <b:SourceType>InternetSite</b:SourceType>
    <b:Guid>{3EC2F5D5-C11F-4F2F-B77E-5793F34117AA}</b:Guid>
    <b:Author>
      <b:Author>
        <b:Corporate>Revise Case Law</b:Corporate>
      </b:Author>
    </b:Author>
    <b:Title>Re McArdle 1951</b:Title>
    <b:Year>2022</b:Year>
    <b:YearAccessed>2022</b:YearAccessed>
    <b:MonthAccessed>2</b:MonthAccessed>
    <b:DayAccessed>25</b:DayAccessed>
    <b:URL>http://www.revise-law.com/re-mcardle-1951/</b:URL>
    <b:RefOrder>5</b:RefOrder>
  </b:Source>
  <b:Source>
    <b:Tag>Liu17</b:Tag>
    <b:SourceType>InternetSite</b:SourceType>
    <b:Guid>{914FE07F-4689-41D7-BD38-174170BB9E3A}</b:Guid>
    <b:Author>
      <b:Author>
        <b:Corporate>Liuk</b:Corporate>
      </b:Author>
    </b:Author>
    <b:Title>Roscorla v Thomas (1842): consideration must not be past.</b:Title>
    <b:Year>2017</b:Year>
    <b:YearAccessed>2022</b:YearAccessed>
    <b:MonthAccessed>2</b:MonthAccessed>
    <b:DayAccessed>25</b:DayAccessed>
    <b:URL>https://liuk.co.uk/roscorla-v-thomas/</b:URL>
    <b:RefOrder>6</b:RefOrder>
  </b:Source>
  <b:Source>
    <b:Tag>IPS22</b:Tag>
    <b:SourceType>InternetSite</b:SourceType>
    <b:Guid>{FB082D63-BBA8-4261-9696-A4C213211177}</b:Guid>
    <b:Author>
      <b:Author>
        <b:Corporate>IPSA LOQUITUR</b:Corporate>
      </b:Author>
    </b:Author>
    <b:Title>Cutter v Powell</b:Title>
    <b:Year>2022</b:Year>
    <b:YearAccessed>2022</b:YearAccessed>
    <b:MonthAccessed>2</b:MonthAccessed>
    <b:DayAccessed>26</b:DayAccessed>
    <b:URL>https://ipsaloquitur.com/contract-law/cases/cutter-v-powell/</b:URL>
    <b:RefOrder>7</b:RefOrder>
  </b:Source>
  <b:Source>
    <b:Tag>Min05</b:Tag>
    <b:SourceType>Book</b:SourceType>
    <b:Guid>{B24FB2A7-8C01-4097-B472-9441FA375752}</b:Guid>
    <b:Title>Contract Law</b:Title>
    <b:Year>2005</b:Year>
    <b:Author>
      <b:Author>
        <b:NameList>
          <b:Person>
            <b:Last>Chen-Wishart</b:Last>
            <b:First>Mindy</b:First>
          </b:Person>
        </b:NameList>
      </b:Author>
    </b:Author>
    <b:Publisher>Oxford</b:Publisher>
    <b:Edition>5th</b:Edition>
    <b:RefOrder>8</b:RefOrder>
  </b:Source>
  <b:Source>
    <b:Tag>Jil16</b:Tag>
    <b:SourceType>Book</b:SourceType>
    <b:Guid>{28D97027-42BC-439F-A4C4-3BAFE152C76C}</b:Guid>
    <b:Author>
      <b:Author>
        <b:NameList>
          <b:Person>
            <b:Last>Poole</b:Last>
            <b:First>Jill</b:First>
          </b:Person>
        </b:NameList>
      </b:Author>
    </b:Author>
    <b:Title>Textbook on Contract Law</b:Title>
    <b:Year>2016</b:Year>
    <b:Publisher>Oxford University Press</b:Publisher>
    <b:Edition>13th</b:Edition>
    <b:RefOrder>9</b:RefOrder>
  </b:Source>
  <b:Source>
    <b:Tag>Rob19</b:Tag>
    <b:SourceType>Book</b:SourceType>
    <b:Guid>{A47C1E2F-AA54-46FA-9DC3-18E235585651}</b:Guid>
    <b:Author>
      <b:Author>
        <b:NameList>
          <b:Person>
            <b:Last>Saintier</b:Last>
            <b:First>Robert</b:First>
            <b:Middle>Merkin &amp; Severine</b:Middle>
          </b:Person>
        </b:NameList>
      </b:Author>
    </b:Author>
    <b:Title>Poole's casebook on contract law </b:Title>
    <b:Year>2019</b:Year>
    <b:Publisher>Oxford Press University</b:Publisher>
    <b:Edition>14th</b:Edition>
    <b:RefOrder>13</b:RefOrder>
  </b:Source>
  <b:Source>
    <b:Tag>Law211</b:Tag>
    <b:SourceType>InternetSite</b:SourceType>
    <b:Guid>{8C30D970-5948-41DA-B7B5-4085C51F6F15}</b:Guid>
    <b:Title>Hyde v Wrench - 1840</b:Title>
    <b:Year>2021</b:Year>
    <b:Author>
      <b:Author>
        <b:Corporate>LawTeacher</b:Corporate>
      </b:Author>
    </b:Author>
    <b:YearAccessed>2022</b:YearAccessed>
    <b:MonthAccessed>2</b:MonthAccessed>
    <b:DayAccessed>27</b:DayAccessed>
    <b:URL>https://www.lawteacher.net/cases/hyde-v-wrench.php</b:URL>
    <b:RefOrder>14</b:RefOrder>
  </b:Source>
  <b:Source>
    <b:Tag>eLa22</b:Tag>
    <b:SourceType>InternetSite</b:SourceType>
    <b:Guid>{1B239981-5331-4418-BD12-3FE3561FCF9F}</b:Guid>
    <b:Author>
      <b:Author>
        <b:Corporate>eLawresources</b:Corporate>
      </b:Author>
    </b:Author>
    <b:Title>Carlill v Carbolic Smoke Ball Co [1893] 1 QB 256 Court of Appeal</b:Title>
    <b:Year>2022</b:Year>
    <b:YearAccessed>2022</b:YearAccessed>
    <b:MonthAccessed>2</b:MonthAccessed>
    <b:DayAccessed>28</b:DayAccessed>
    <b:URL>http://www.e-lawresources.co.uk/Carlill-v-Carbolic-Smoke-Ball-Co.php</b:URL>
    <b:RefOrder>10</b:RefOrder>
  </b:Source>
  <b:Source>
    <b:Tag>Jul21</b:Tag>
    <b:SourceType>InternetSite</b:SourceType>
    <b:Guid>{CC454171-9DAC-4A3C-98B0-EE28412A82D4}</b:Guid>
    <b:Author>
      <b:Author>
        <b:NameList>
          <b:Person>
            <b:Last>Young</b:Last>
            <b:First>Julie</b:First>
          </b:Person>
        </b:NameList>
      </b:Author>
    </b:Author>
    <b:Title>Unilateral Contract</b:Title>
    <b:Year>2021</b:Year>
    <b:YearAccessed>2022</b:YearAccessed>
    <b:MonthAccessed>3</b:MonthAccessed>
    <b:DayAccessed>2</b:DayAccessed>
    <b:URL>https://www.investopedia.com/terms/u/unilateral-contract.asp</b:URL>
    <b:RefOrder>11</b:RefOrder>
  </b:Source>
  <b:Source>
    <b:Tag>Inc20</b:Tag>
    <b:SourceType>InternetSite</b:SourceType>
    <b:Guid>{939EAB1E-4C63-42D1-AA43-70015DBB5EC0}</b:Guid>
    <b:Author>
      <b:Author>
        <b:Corporate>IncorporatedZone</b:Corporate>
      </b:Author>
    </b:Author>
    <b:Title>Offeror (Best Guide: Who Is It, Legal Definition And Examples)</b:Title>
    <b:Year>2020</b:Year>
    <b:YearAccessed>2022</b:YearAccessed>
    <b:MonthAccessed>3</b:MonthAccessed>
    <b:DayAccessed>2</b:DayAccessed>
    <b:URL>https://incorporated.zone/offeror/</b:URL>
    <b:RefOrder>12</b:RefOrder>
  </b:Source>
</b:Sources>
</file>

<file path=customXml/itemProps1.xml><?xml version="1.0" encoding="utf-8"?>
<ds:datastoreItem xmlns:ds="http://schemas.openxmlformats.org/officeDocument/2006/customXml" ds:itemID="{73E48BDC-1CB3-4E3C-B6FF-C5C758D3D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6</Pages>
  <Words>2182</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Kaashif Ahmed</dc:creator>
  <cp:keywords/>
  <dc:description/>
  <cp:lastModifiedBy>Kaashif Ahmed</cp:lastModifiedBy>
  <cp:revision>338</cp:revision>
  <dcterms:created xsi:type="dcterms:W3CDTF">2022-03-01T20:48:00Z</dcterms:created>
  <dcterms:modified xsi:type="dcterms:W3CDTF">2022-03-04T22:49:00Z</dcterms:modified>
</cp:coreProperties>
</file>