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0DDF4" w14:textId="3791F782" w:rsidR="00340E2D" w:rsidRDefault="00340E2D">
      <w:pPr>
        <w:spacing w:after="412" w:line="259" w:lineRule="auto"/>
        <w:ind w:left="-5"/>
      </w:pPr>
      <w:r>
        <w:t xml:space="preserve">                             </w:t>
      </w:r>
      <w:r>
        <w:rPr>
          <w:noProof/>
        </w:rPr>
        <w:drawing>
          <wp:inline distT="0" distB="0" distL="0" distR="0" wp14:anchorId="2BB0FE43" wp14:editId="5CA395B4">
            <wp:extent cx="5617210" cy="2006600"/>
            <wp:effectExtent l="0" t="0" r="2540" b="0"/>
            <wp:docPr id="2102898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898986" name="Picture 2102898986"/>
                    <pic:cNvPicPr/>
                  </pic:nvPicPr>
                  <pic:blipFill>
                    <a:blip r:embed="rId5" cstate="print">
                      <a:extLst>
                        <a:ext uri="{28A0092B-C50C-407E-A947-70E740481C1C}">
                          <a14:useLocalDpi xmlns:a14="http://schemas.microsoft.com/office/drawing/2010/main" val="0"/>
                        </a:ext>
                      </a:extLst>
                    </a:blip>
                    <a:stretch>
                      <a:fillRect/>
                    </a:stretch>
                  </pic:blipFill>
                  <pic:spPr>
                    <a:xfrm>
                      <a:off x="0" y="0"/>
                      <a:ext cx="5617210" cy="2006600"/>
                    </a:xfrm>
                    <a:prstGeom prst="rect">
                      <a:avLst/>
                    </a:prstGeom>
                  </pic:spPr>
                </pic:pic>
              </a:graphicData>
            </a:graphic>
          </wp:inline>
        </w:drawing>
      </w:r>
    </w:p>
    <w:p w14:paraId="71D7DD08" w14:textId="77777777" w:rsidR="00340E2D" w:rsidRDefault="00340E2D">
      <w:pPr>
        <w:spacing w:after="412" w:line="259" w:lineRule="auto"/>
        <w:ind w:left="-5"/>
      </w:pPr>
    </w:p>
    <w:p w14:paraId="2E938E5E" w14:textId="77777777" w:rsidR="00340E2D" w:rsidRDefault="00340E2D">
      <w:pPr>
        <w:spacing w:after="412" w:line="259" w:lineRule="auto"/>
        <w:ind w:left="-5"/>
      </w:pPr>
    </w:p>
    <w:p w14:paraId="5790E296" w14:textId="77777777" w:rsidR="00340E2D" w:rsidRDefault="00340E2D" w:rsidP="00340E2D">
      <w:pPr>
        <w:spacing w:after="412" w:line="259" w:lineRule="auto"/>
        <w:ind w:left="360" w:firstLine="0"/>
        <w:rPr>
          <w:rFonts w:ascii="Arial" w:hAnsi="Arial" w:cs="Arial"/>
          <w:b/>
          <w:bCs/>
          <w:sz w:val="28"/>
          <w:szCs w:val="28"/>
        </w:rPr>
      </w:pPr>
      <w:r>
        <w:rPr>
          <w:rFonts w:ascii="Arial" w:hAnsi="Arial" w:cs="Arial"/>
          <w:b/>
          <w:bCs/>
          <w:sz w:val="28"/>
          <w:szCs w:val="28"/>
        </w:rPr>
        <w:t xml:space="preserve">                               </w:t>
      </w:r>
    </w:p>
    <w:p w14:paraId="0D52A9EA" w14:textId="77777777" w:rsidR="00340E2D" w:rsidRDefault="00340E2D" w:rsidP="00340E2D">
      <w:pPr>
        <w:spacing w:after="412" w:line="259" w:lineRule="auto"/>
        <w:ind w:left="360" w:firstLine="0"/>
        <w:rPr>
          <w:rFonts w:ascii="Arial" w:hAnsi="Arial" w:cs="Arial"/>
          <w:b/>
          <w:bCs/>
          <w:sz w:val="28"/>
          <w:szCs w:val="28"/>
        </w:rPr>
      </w:pPr>
    </w:p>
    <w:p w14:paraId="0CFCE03A" w14:textId="1F7842F5" w:rsidR="00340E2D" w:rsidRPr="00340E2D" w:rsidRDefault="00340E2D" w:rsidP="00340E2D">
      <w:pPr>
        <w:spacing w:after="412" w:line="259" w:lineRule="auto"/>
        <w:ind w:left="360" w:firstLine="0"/>
        <w:rPr>
          <w:rFonts w:ascii="Arial" w:hAnsi="Arial" w:cs="Arial"/>
          <w:b/>
          <w:bCs/>
          <w:sz w:val="28"/>
          <w:szCs w:val="28"/>
        </w:rPr>
      </w:pPr>
      <w:r>
        <w:rPr>
          <w:rFonts w:ascii="Arial" w:hAnsi="Arial" w:cs="Arial"/>
          <w:b/>
          <w:bCs/>
          <w:sz w:val="28"/>
          <w:szCs w:val="28"/>
        </w:rPr>
        <w:t xml:space="preserve">                                      </w:t>
      </w:r>
      <w:r w:rsidRPr="00340E2D">
        <w:rPr>
          <w:rFonts w:ascii="Arial" w:hAnsi="Arial" w:cs="Arial"/>
          <w:b/>
          <w:bCs/>
          <w:sz w:val="28"/>
          <w:szCs w:val="28"/>
        </w:rPr>
        <w:t>RESEARCH FOR LEARNING</w:t>
      </w:r>
    </w:p>
    <w:p w14:paraId="2D4E41E2" w14:textId="0C77EB1F" w:rsidR="00340E2D" w:rsidRPr="00340E2D" w:rsidRDefault="00340E2D" w:rsidP="00340E2D">
      <w:pPr>
        <w:spacing w:after="412" w:line="259" w:lineRule="auto"/>
        <w:ind w:left="360" w:firstLine="0"/>
        <w:rPr>
          <w:rFonts w:ascii="Arial" w:hAnsi="Arial" w:cs="Arial"/>
          <w:b/>
          <w:bCs/>
          <w:sz w:val="28"/>
          <w:szCs w:val="28"/>
        </w:rPr>
      </w:pPr>
      <w:r>
        <w:rPr>
          <w:rFonts w:ascii="Arial" w:hAnsi="Arial" w:cs="Arial"/>
          <w:b/>
          <w:bCs/>
          <w:sz w:val="28"/>
          <w:szCs w:val="28"/>
        </w:rPr>
        <w:t xml:space="preserve">                                                      </w:t>
      </w:r>
      <w:r w:rsidRPr="00340E2D">
        <w:rPr>
          <w:rFonts w:ascii="Arial" w:hAnsi="Arial" w:cs="Arial"/>
          <w:b/>
          <w:bCs/>
          <w:sz w:val="28"/>
          <w:szCs w:val="28"/>
        </w:rPr>
        <w:t>ECEY5010C</w:t>
      </w:r>
    </w:p>
    <w:p w14:paraId="31036830" w14:textId="03E6C6C2" w:rsidR="00340E2D" w:rsidRPr="00340E2D" w:rsidRDefault="00340E2D" w:rsidP="00340E2D">
      <w:pPr>
        <w:spacing w:after="412" w:line="259" w:lineRule="auto"/>
        <w:ind w:left="360" w:firstLine="0"/>
        <w:rPr>
          <w:rFonts w:ascii="Arial" w:hAnsi="Arial" w:cs="Arial"/>
          <w:b/>
          <w:bCs/>
          <w:sz w:val="28"/>
          <w:szCs w:val="28"/>
        </w:rPr>
      </w:pPr>
      <w:r>
        <w:rPr>
          <w:rFonts w:ascii="Arial" w:hAnsi="Arial" w:cs="Arial"/>
          <w:b/>
          <w:bCs/>
          <w:sz w:val="28"/>
          <w:szCs w:val="28"/>
        </w:rPr>
        <w:t xml:space="preserve">                                             </w:t>
      </w:r>
      <w:r w:rsidRPr="00340E2D">
        <w:rPr>
          <w:rFonts w:ascii="Arial" w:hAnsi="Arial" w:cs="Arial"/>
          <w:b/>
          <w:bCs/>
          <w:sz w:val="28"/>
          <w:szCs w:val="28"/>
        </w:rPr>
        <w:t>STUDENT ID- 2516300</w:t>
      </w:r>
    </w:p>
    <w:p w14:paraId="296BDA7F" w14:textId="77777777" w:rsidR="00340E2D" w:rsidRPr="00340E2D" w:rsidRDefault="00340E2D" w:rsidP="00340E2D">
      <w:pPr>
        <w:spacing w:after="412" w:line="259" w:lineRule="auto"/>
        <w:ind w:left="-15" w:firstLine="0"/>
        <w:rPr>
          <w:rFonts w:ascii="Arial" w:hAnsi="Arial" w:cs="Arial"/>
        </w:rPr>
      </w:pPr>
    </w:p>
    <w:p w14:paraId="7C2676FD" w14:textId="77777777" w:rsidR="00340E2D" w:rsidRDefault="00340E2D">
      <w:pPr>
        <w:spacing w:after="412" w:line="259" w:lineRule="auto"/>
        <w:ind w:left="-5"/>
      </w:pPr>
    </w:p>
    <w:p w14:paraId="75DEC3CB" w14:textId="77777777" w:rsidR="00340E2D" w:rsidRDefault="00340E2D">
      <w:pPr>
        <w:spacing w:after="412" w:line="259" w:lineRule="auto"/>
        <w:ind w:left="-5"/>
      </w:pPr>
    </w:p>
    <w:p w14:paraId="6B834CEA" w14:textId="77777777" w:rsidR="00340E2D" w:rsidRDefault="00340E2D">
      <w:pPr>
        <w:spacing w:after="412" w:line="259" w:lineRule="auto"/>
        <w:ind w:left="-5"/>
      </w:pPr>
    </w:p>
    <w:p w14:paraId="29B15479" w14:textId="77777777" w:rsidR="00340E2D" w:rsidRDefault="00340E2D">
      <w:pPr>
        <w:spacing w:after="412" w:line="259" w:lineRule="auto"/>
        <w:ind w:left="-5"/>
      </w:pPr>
    </w:p>
    <w:p w14:paraId="5D615B28" w14:textId="77777777" w:rsidR="00340E2D" w:rsidRDefault="00340E2D">
      <w:pPr>
        <w:spacing w:after="412" w:line="259" w:lineRule="auto"/>
        <w:ind w:left="-5"/>
      </w:pPr>
    </w:p>
    <w:p w14:paraId="567A3877" w14:textId="77777777" w:rsidR="00340E2D" w:rsidRDefault="00340E2D">
      <w:pPr>
        <w:spacing w:after="412" w:line="259" w:lineRule="auto"/>
        <w:ind w:left="-5"/>
      </w:pPr>
    </w:p>
    <w:p w14:paraId="556FB068" w14:textId="77777777" w:rsidR="00340E2D" w:rsidRDefault="00340E2D">
      <w:pPr>
        <w:spacing w:after="412" w:line="259" w:lineRule="auto"/>
        <w:ind w:left="-5"/>
      </w:pPr>
    </w:p>
    <w:p w14:paraId="48ECC8CD" w14:textId="23A45F8B" w:rsidR="00B13453" w:rsidRPr="00340E2D" w:rsidRDefault="00000000" w:rsidP="00340E2D">
      <w:pPr>
        <w:spacing w:after="412" w:line="259" w:lineRule="auto"/>
        <w:ind w:left="0" w:firstLine="0"/>
        <w:rPr>
          <w:b/>
          <w:bCs/>
        </w:rPr>
      </w:pPr>
      <w:r w:rsidRPr="00340E2D">
        <w:rPr>
          <w:b/>
          <w:bCs/>
        </w:rPr>
        <w:lastRenderedPageBreak/>
        <w:t xml:space="preserve">Word </w:t>
      </w:r>
      <w:proofErr w:type="gramStart"/>
      <w:r w:rsidRPr="00340E2D">
        <w:rPr>
          <w:b/>
          <w:bCs/>
        </w:rPr>
        <w:t>Count :</w:t>
      </w:r>
      <w:proofErr w:type="gramEnd"/>
      <w:r w:rsidRPr="00340E2D">
        <w:rPr>
          <w:b/>
          <w:bCs/>
        </w:rPr>
        <w:t xml:space="preserve"> 3974</w:t>
      </w:r>
    </w:p>
    <w:p w14:paraId="3EE0494C" w14:textId="77777777" w:rsidR="00B13453" w:rsidRPr="00340E2D" w:rsidRDefault="00000000">
      <w:pPr>
        <w:spacing w:after="183" w:line="450" w:lineRule="auto"/>
        <w:ind w:left="-5"/>
        <w:rPr>
          <w:b/>
          <w:bCs/>
        </w:rPr>
      </w:pPr>
      <w:r w:rsidRPr="00340E2D">
        <w:rPr>
          <w:b/>
          <w:bCs/>
        </w:rPr>
        <w:t>Generative AI was used in accordance with the module guidance to support research and proofreading only; all final written content, structure and academic decisions are my own. Portfolio Introduction with Citations</w:t>
      </w:r>
    </w:p>
    <w:p w14:paraId="3D68C6DF" w14:textId="77777777" w:rsidR="00B13453" w:rsidRPr="00340E2D" w:rsidRDefault="00000000">
      <w:pPr>
        <w:spacing w:after="412" w:line="259" w:lineRule="auto"/>
        <w:ind w:left="-5"/>
        <w:rPr>
          <w:b/>
          <w:bCs/>
        </w:rPr>
      </w:pPr>
      <w:r w:rsidRPr="00340E2D">
        <w:rPr>
          <w:b/>
          <w:bCs/>
        </w:rPr>
        <w:t>Research Question</w:t>
      </w:r>
    </w:p>
    <w:p w14:paraId="77A21FD1" w14:textId="77777777" w:rsidR="00B13453" w:rsidRPr="00340E2D" w:rsidRDefault="00000000">
      <w:pPr>
        <w:spacing w:after="412" w:line="259" w:lineRule="auto"/>
        <w:ind w:left="-5"/>
        <w:rPr>
          <w:b/>
          <w:bCs/>
        </w:rPr>
      </w:pPr>
      <w:r w:rsidRPr="00340E2D">
        <w:rPr>
          <w:b/>
          <w:bCs/>
        </w:rPr>
        <w:t>How do early years practitioners perceive the role of imaginative play in supporting emotional development in children aged 3–5 years?</w:t>
      </w:r>
    </w:p>
    <w:p w14:paraId="21AB87B8" w14:textId="77777777" w:rsidR="00B13453" w:rsidRDefault="00000000">
      <w:pPr>
        <w:ind w:left="-5"/>
      </w:pPr>
      <w:r>
        <w:t>Imaginative play is widely recognised as an important aspect of early childhood, allowing young children to explore ideas, emotions, relationships and social roles in meaningful ways. Vygotsky (1978) argued that imaginative play supports children’s development by enabling them to act beyond their immediate reality and practise social rules within symbolic situations. Similarly, Piaget (1962) viewed symbolic play as central to children’s cognitive development, as it allows them to represent experiences through pretend actions and objects.</w:t>
      </w:r>
    </w:p>
    <w:p w14:paraId="4C825BCF" w14:textId="77777777" w:rsidR="00B13453" w:rsidRDefault="00000000">
      <w:pPr>
        <w:ind w:left="-5"/>
      </w:pPr>
      <w:r>
        <w:t xml:space="preserve">In early years settings, children often use pretend play, role play and symbolic play to make sense of everyday experiences and express feelings that they may not yet be able to communicate verbally. This makes imaginative play particularly relevant to emotional development, as it can provide opportunities for children to develop confidence, empathy, </w:t>
      </w:r>
      <w:proofErr w:type="spellStart"/>
      <w:r>
        <w:t>selfexpression</w:t>
      </w:r>
      <w:proofErr w:type="spellEnd"/>
      <w:r>
        <w:t xml:space="preserve"> and early emotional regulation (Bruce, 2012; Moyles, 2010).</w:t>
      </w:r>
    </w:p>
    <w:p w14:paraId="4008F65B" w14:textId="77777777" w:rsidR="00B13453" w:rsidRDefault="00000000">
      <w:pPr>
        <w:ind w:left="-5"/>
      </w:pPr>
      <w:r>
        <w:t>Emotional development during the ages of 3–5 is significant because children are beginning to form stronger peer relationships, manage feelings more independently and understand the emotions of others. Early years practitioners are therefore in an important position to observe, support and extend children’s play in ways that may contribute to social and emotional growth. However, while existing literature often highlights the developmental value of play, it is also important to consider how practitioners themselves understand and support imaginative play in everyday practice (Roberts-Holmes, 2018; Mukherji and Albon, 2018).</w:t>
      </w:r>
    </w:p>
    <w:p w14:paraId="32DFD8F3" w14:textId="77777777" w:rsidR="00B13453" w:rsidRDefault="00000000">
      <w:pPr>
        <w:ind w:left="-5"/>
      </w:pPr>
      <w:r>
        <w:t>This proposed research project will explore early years practitioners’ perceptions of the role of imaginative play in supporting emotional development in children aged 3–5 years. The focus on practitioner perspectives is appropriate because practitioners have direct experience of observing children’s play, creating enabling environments and supporting emotional wellbeing within early years settings.</w:t>
      </w:r>
    </w:p>
    <w:p w14:paraId="5092BE97" w14:textId="77777777" w:rsidR="00B13453" w:rsidRDefault="00000000">
      <w:pPr>
        <w:ind w:left="-5"/>
      </w:pPr>
      <w:r>
        <w:t xml:space="preserve">This portfolio will first review relevant literature on imaginative play, emotional development and practitioner roles. It will then consider the methodological approach for the proposed study, including the sample, data collection methods and justification for using a qualitative approach. Finally, it will critically discuss ethical considerations when researching with and for young children, including consent, confidentiality, safeguarding, data protection and researcher responsibility, which directly links to the portfolio requirements for literature review, methodology and ethics.  </w:t>
      </w:r>
    </w:p>
    <w:p w14:paraId="28A6784E" w14:textId="77777777" w:rsidR="00B13453" w:rsidRPr="00340E2D" w:rsidRDefault="00000000">
      <w:pPr>
        <w:spacing w:after="366"/>
        <w:ind w:left="-5" w:right="137"/>
        <w:jc w:val="both"/>
        <w:rPr>
          <w:b/>
          <w:bCs/>
        </w:rPr>
      </w:pPr>
      <w:r>
        <w:lastRenderedPageBreak/>
        <w:t xml:space="preserve">Because the handbook specifies that AI can support research and proofreading but should not generate the final written submission, this should be used as a </w:t>
      </w:r>
      <w:r w:rsidRPr="00340E2D">
        <w:rPr>
          <w:b/>
          <w:bCs/>
        </w:rPr>
        <w:t xml:space="preserve">detailed literature review model to adapt into the student’s own academic wording.  </w:t>
      </w:r>
    </w:p>
    <w:p w14:paraId="15620CD3" w14:textId="77777777" w:rsidR="00B13453" w:rsidRPr="00340E2D" w:rsidRDefault="00000000">
      <w:pPr>
        <w:spacing w:after="412" w:line="259" w:lineRule="auto"/>
        <w:ind w:left="-5"/>
        <w:rPr>
          <w:b/>
          <w:bCs/>
        </w:rPr>
      </w:pPr>
      <w:r w:rsidRPr="00340E2D">
        <w:rPr>
          <w:b/>
          <w:bCs/>
        </w:rPr>
        <w:t>Literature Review</w:t>
      </w:r>
    </w:p>
    <w:p w14:paraId="6D92AEE0" w14:textId="77777777" w:rsidR="00B13453" w:rsidRDefault="00000000">
      <w:pPr>
        <w:ind w:left="-5"/>
      </w:pPr>
      <w:r>
        <w:t>Imaginative play is widely recognised as an important aspect of early childhood development and is commonly associated with cognitive, social and emotional growth. Imaginative play includes pretend play, symbolic play and role play, where children use objects, language and actions to represent experiences and ideas beyond immediate reality. Piaget (1962) viewed symbolic play as an important stage of cognitive development because it allows children to practise representation and abstract thinking. Through pretend scenarios, children begin to make sense of the world around them by recreating experiences and experimenting with different perspectives.</w:t>
      </w:r>
    </w:p>
    <w:p w14:paraId="2F4BB85E" w14:textId="77777777" w:rsidR="00B13453" w:rsidRDefault="00000000">
      <w:pPr>
        <w:ind w:left="-5"/>
      </w:pPr>
      <w:r>
        <w:t>Although both Piaget (1962) and Vygotsky (1978) acknowledged the developmental importance of imaginative play, Vygotsky placed greater emphasis on the social and emotional dimensions of play. Vygotsky (1978) argued that imaginative play allows children to act beyond their everyday behaviour while learning social rules through interaction with others. He suggested that play creates a “zone of proximal development,” where children develop skills with the support of social interaction and collaboration. This perspective is particularly relevant to emotional development because children often negotiate emotions, relationships and social expectations during pretend play activities.</w:t>
      </w:r>
    </w:p>
    <w:p w14:paraId="06ECC4B2" w14:textId="77777777" w:rsidR="00B13453" w:rsidRDefault="00000000">
      <w:pPr>
        <w:ind w:left="-5"/>
      </w:pPr>
      <w:r>
        <w:t>Contemporary early years literature continues to support the developmental value of imaginative play. Bruce (2012) argues that play-based experiences allow children to explore ideas freely while developing confidence, communication and self-expression. Similarly, Moyles (2010) suggests that imaginative play provides children with opportunities to experiment with emotions and relationships in psychologically safe environments. This suggests that imaginative play may support emotional wellbeing by allowing children to express feelings symbolically that they may not yet be able to communicate verbally.</w:t>
      </w:r>
    </w:p>
    <w:p w14:paraId="44428C46" w14:textId="77777777" w:rsidR="00B13453" w:rsidRDefault="00000000">
      <w:pPr>
        <w:spacing w:after="0"/>
        <w:ind w:left="-5"/>
      </w:pPr>
      <w:r>
        <w:t xml:space="preserve">Emotional development during the ages of 3–5 years is particularly significant because children begin developing emotional awareness, empathy, social competence and self-regulation. </w:t>
      </w:r>
    </w:p>
    <w:p w14:paraId="480C2854" w14:textId="77777777" w:rsidR="00B13453" w:rsidRDefault="00000000">
      <w:pPr>
        <w:spacing w:after="366"/>
        <w:ind w:left="-5"/>
        <w:jc w:val="both"/>
      </w:pPr>
      <w:r>
        <w:t>Mukherji and Albon (2018) argue that emotional development influences children’s ability to form positive relationships, manage behaviour and engage successfully within learning environments. Emotional regulation is especially important during early childhood because children are gradually learning to recognise and control emotional responses within social situations.</w:t>
      </w:r>
    </w:p>
    <w:p w14:paraId="1574029F" w14:textId="77777777" w:rsidR="00B13453" w:rsidRDefault="00000000">
      <w:pPr>
        <w:ind w:left="-5"/>
      </w:pPr>
      <w:r>
        <w:t xml:space="preserve">Research increasingly suggests that imaginative play may support emotional regulation and resilience. Whitebread et al. (2017) argue that play-based experiences contribute significantly to self-regulation, emotional control and social negotiation. Through imaginative play, children may practise coping with frustration, negotiating with peers and resolving conflict in socially acceptable ways. For example, role-play scenarios such as “playing families,” “playing schools” or “playing shops” may allow children to rehearse emotional interactions </w:t>
      </w:r>
      <w:r>
        <w:lastRenderedPageBreak/>
        <w:t>observed within everyday life. Pretend play therefore provides opportunities for children to explore emotions within supportive and low-risk contexts.</w:t>
      </w:r>
    </w:p>
    <w:p w14:paraId="1E955B04" w14:textId="77777777" w:rsidR="00B13453" w:rsidRDefault="00000000">
      <w:pPr>
        <w:ind w:left="-5"/>
      </w:pPr>
      <w:r>
        <w:t>Recent research also suggests that imaginative play may support emotional expression and empathy. Studies exploring pretend play indicate that children often use symbolic play to process fears, anxieties and social experiences. Imaginative play may therefore function as a psychologically safe space where children can express difficult emotions indirectly. However, while many studies highlight positive relationships between imaginative play and emotional development, some researchers argue that evidence remains difficult to measure objectively because emotional growth is influenced by multiple social and environmental factors rather than play alone. This suggests that imaginative play should not be viewed as the sole factor influencing emotional development.</w:t>
      </w:r>
    </w:p>
    <w:p w14:paraId="62D16658" w14:textId="77777777" w:rsidR="00B13453" w:rsidRDefault="00000000">
      <w:pPr>
        <w:ind w:left="-5"/>
      </w:pPr>
      <w:r>
        <w:t>Within Wales, play-based learning has been strongly embedded within early years pedagogy through the Foundation Phase and Curriculum for Wales. Welsh educational policy emphasises experiential learning, wellbeing and child-centred practice (Welsh Government, 2022). These approaches position play as central to children’s holistic development rather than simply recreational activity. Donaldson (2015) also highlights the importance of creating learning environments that support confident, capable and emotionally secure learners. This reflects Vygotsky’s sociocultural perspective by recognising the importance of interaction, collaboration and meaningful experiences within children’s learning.</w:t>
      </w:r>
    </w:p>
    <w:p w14:paraId="16501929" w14:textId="77777777" w:rsidR="00B13453" w:rsidRDefault="00000000">
      <w:pPr>
        <w:ind w:left="-5"/>
      </w:pPr>
      <w:r>
        <w:t xml:space="preserve">However, despite policy support for play-based learning, tensions may still exist between </w:t>
      </w:r>
      <w:proofErr w:type="spellStart"/>
      <w:r>
        <w:t>childled</w:t>
      </w:r>
      <w:proofErr w:type="spellEnd"/>
      <w:r>
        <w:t xml:space="preserve"> imaginative play and increasing school-readiness expectations. Contemporary early years settings are increasingly influenced by accountability measures and structured educational outcomes, which may reduce opportunities for sustained imaginative play. Moyles (2010) argues that pressures surrounding measurable achievement may result in practitioners prioritising formal learning activities over open-ended play experiences. This creates debate regarding how imaginative play is valued within practice and whether practitioners feel able to support child-led play effectively within modern educational contexts.</w:t>
      </w:r>
    </w:p>
    <w:p w14:paraId="19E1EF8C" w14:textId="77777777" w:rsidR="00B13453" w:rsidRDefault="00000000">
      <w:pPr>
        <w:ind w:left="-5"/>
      </w:pPr>
      <w:r>
        <w:t xml:space="preserve">The role of early years practitioners is therefore particularly important in supporting imaginative play and emotional development. Practitioners influence the quality of play experiences through the environments they </w:t>
      </w:r>
      <w:proofErr w:type="gramStart"/>
      <w:r>
        <w:t>create,</w:t>
      </w:r>
      <w:proofErr w:type="gramEnd"/>
      <w:r>
        <w:t xml:space="preserve"> the resources they provide and the interactions they facilitate. Bruce (2012) suggests that effective practitioners balance adult guidance with opportunities for child-led exploration. Similarly, Smidt (2016) highlights the importance of sensitive adult involvement that extends learning without dominating children’s play experiences.</w:t>
      </w:r>
    </w:p>
    <w:p w14:paraId="0BAF8370" w14:textId="77777777" w:rsidR="00B13453" w:rsidRDefault="00000000">
      <w:pPr>
        <w:ind w:left="-5"/>
      </w:pPr>
      <w:r>
        <w:t xml:space="preserve">Observation also plays a significant role within imaginative play. Roberts-Holmes (2018) argues that observational practice allows practitioners to understand children’s emotional needs, interests and social interactions more effectively. Through observing imaginative play, practitioners may identify how </w:t>
      </w:r>
      <w:proofErr w:type="gramStart"/>
      <w:r>
        <w:t>children</w:t>
      </w:r>
      <w:proofErr w:type="gramEnd"/>
      <w:r>
        <w:t xml:space="preserve"> express emotions, negotiate relationships and respond to challenges. This suggests that imaginative play may provide valuable insight into children’s emotional wellbeing and development.</w:t>
      </w:r>
    </w:p>
    <w:p w14:paraId="67520E4A" w14:textId="77777777" w:rsidR="00B13453" w:rsidRDefault="00000000">
      <w:pPr>
        <w:ind w:left="-5"/>
      </w:pPr>
      <w:r>
        <w:lastRenderedPageBreak/>
        <w:t>However, practitioner perceptions of imaginative play may vary depending on experience, training and educational philosophy. Some practitioners may strongly value imaginative play as essential for emotional development, while others may view it primarily as recreational activity. In addition, practitioners working within highly structured educational environments may feel constrained by curriculum expectations or limited time for open-ended play. This highlights the importance of exploring practitioner perceptions because practitioners directly influence how imaginative play opportunities are planned, supported and interpreted within early years settings.</w:t>
      </w:r>
    </w:p>
    <w:p w14:paraId="51FB2C56" w14:textId="77777777" w:rsidR="00B13453" w:rsidRDefault="00000000">
      <w:pPr>
        <w:ind w:left="-5"/>
      </w:pPr>
      <w:r>
        <w:t>Although literature widely recognises the developmental value of imaginative play, less research appears to focus specifically on how practitioners perceive its role in supporting emotional development within contemporary early years settings in Wales. Much existing research focuses primarily on developmental theory or child outcomes rather than practitioner experiences and perspectives. Therefore, exploring practitioner perceptions may provide valuable insight into how imaginative play is understood, facilitated and prioritised within current early years practice.</w:t>
      </w:r>
    </w:p>
    <w:p w14:paraId="2BE0B7F5" w14:textId="77777777" w:rsidR="00B13453" w:rsidRDefault="00000000">
      <w:pPr>
        <w:ind w:left="-5"/>
      </w:pPr>
      <w:r>
        <w:t>Overall, literature suggests that imaginative play may significantly contribute to emotional development by supporting emotional expression, empathy, self-regulation and social competence. Theoretical perspectives from Piaget and Vygotsky, alongside contemporary research and Welsh educational policy, continue to emphasise the developmental importance of play-based learning. However, the extent to which imaginative play supports emotional development may depend heavily on practitioner understanding, facilitation and the opportunities available within early years environments. This supports the rationale for the proposed study exploring practitioner perceptions of imaginative play and emotional development in children aged 3–5 years.</w:t>
      </w:r>
    </w:p>
    <w:p w14:paraId="66FE0E3D" w14:textId="77777777" w:rsidR="00B13453" w:rsidRPr="00340E2D" w:rsidRDefault="00000000">
      <w:pPr>
        <w:spacing w:after="0" w:line="259" w:lineRule="auto"/>
        <w:ind w:left="-5"/>
        <w:rPr>
          <w:b/>
          <w:bCs/>
        </w:rPr>
      </w:pPr>
      <w:r w:rsidRPr="00340E2D">
        <w:rPr>
          <w:b/>
          <w:bCs/>
        </w:rPr>
        <w:t>Methodological Considerations</w:t>
      </w:r>
    </w:p>
    <w:p w14:paraId="3B752B01" w14:textId="77777777" w:rsidR="00B13453" w:rsidRDefault="00000000">
      <w:pPr>
        <w:ind w:left="-5"/>
      </w:pPr>
      <w:r>
        <w:t>This section outlines the methodological approach proposed for exploring early years practitioners’ perceptions of the role of imaginative play in supporting emotional development in children aged 3–5 years. The study aims to explore practitioner experiences and understandings in depth; therefore, a qualitative research approach is considered most appropriate. Qualitative research focuses on exploring meanings, perceptions and experiences rather than producing numerical data (Bryman, 2016). This aligns with the research question because the study seeks to understand how practitioners interpret and support imaginative play within early years settings.</w:t>
      </w:r>
    </w:p>
    <w:p w14:paraId="18FF8DF9" w14:textId="77777777" w:rsidR="00B13453" w:rsidRDefault="00000000">
      <w:pPr>
        <w:ind w:left="-5"/>
      </w:pPr>
      <w:r>
        <w:t>A qualitative approach is particularly suitable within early years research because children’s development and practitioner interactions are often influenced by social context, relationships and individual experiences. Cohen, Manion and Morrison (2018) suggest that qualitative methods allow researchers to gain detailed insight into participants’ perspectives and behaviours within natural settings. In contrast, a quantitative approach may produce measurable data but would provide less opportunity to explore practitioners’ individual experiences and beliefs regarding imaginative play and emotional development. For example, questionnaires using closed questions may restrict participants’ responses and fail to capture the complexity of practitioner perspectives.</w:t>
      </w:r>
    </w:p>
    <w:p w14:paraId="1EF63D4F" w14:textId="77777777" w:rsidR="00B13453" w:rsidRDefault="00000000">
      <w:pPr>
        <w:ind w:left="-5"/>
      </w:pPr>
      <w:r>
        <w:t xml:space="preserve">The proposed study would adopt an interpretivist research paradigm. Interpretivism is based on the idea that reality is socially constructed and that individuals may interpret experiences differently depending on context </w:t>
      </w:r>
      <w:r>
        <w:lastRenderedPageBreak/>
        <w:t>and personal understanding (Bryman, 2016). This perspective is relevant because early years practitioners may hold different beliefs about the value of imaginative play depending on their training, experience and educational philosophy. An interpretivist approach therefore allows the researcher to explore multiple perspectives rather than attempting to identify one objective truth.</w:t>
      </w:r>
    </w:p>
    <w:p w14:paraId="679ACDD9" w14:textId="77777777" w:rsidR="00B13453" w:rsidRDefault="00000000">
      <w:pPr>
        <w:ind w:left="-5"/>
      </w:pPr>
      <w:r>
        <w:t>Semi-structured interviews are proposed as the primary data collection method. Semi-structured interviews involve a series of open-ended questions while also allowing flexibility for participants to expand upon their responses (Bell, 2014). This method is considered appropriate because it enables practitioners to discuss their experiences and perceptions in detail while ensuring the discussion remains focused on the research topic. Interviews may also allow the researcher to ask follow-up questions to clarify meaning or explore unexpected themes further.</w:t>
      </w:r>
    </w:p>
    <w:p w14:paraId="38D7E8FB" w14:textId="77777777" w:rsidR="00B13453" w:rsidRDefault="00000000">
      <w:pPr>
        <w:ind w:left="-5"/>
      </w:pPr>
      <w:r>
        <w:t>Semi-structured interviews may be particularly beneficial within this study because practitioner perceptions of imaginative play are likely to be influenced by personal experience and professional judgement. Open-ended discussion may therefore provide richer and more detailed data than highly structured interviews or questionnaires. For example, practitioners may describe how they observe emotional development during role play, how they support children’s emotional expression or how curriculum expectations influence opportunities for imaginative play.</w:t>
      </w:r>
    </w:p>
    <w:p w14:paraId="4E11B548" w14:textId="77777777" w:rsidR="00B13453" w:rsidRDefault="00000000">
      <w:pPr>
        <w:spacing w:after="9"/>
        <w:ind w:left="-5"/>
      </w:pPr>
      <w:r>
        <w:t xml:space="preserve">Observation was also considered as a possible research method because observing imaginative </w:t>
      </w:r>
    </w:p>
    <w:p w14:paraId="18646BAB" w14:textId="77777777" w:rsidR="00B13453" w:rsidRDefault="00000000">
      <w:pPr>
        <w:ind w:left="-5"/>
      </w:pPr>
      <w:r>
        <w:t>play within natural early years environments may provide valuable insight into children’s emotional interactions and practitioner support. However, observational methods may raise additional ethical and practical challenges, including interpretation bias, safeguarding considerations and the difficulty of directly exploring practitioner perceptions. Observations may also require greater time and access within early years settings. Therefore, semi-structured interviews were considered more appropriate for addressing the research question, as they allow practitioners to explain their experiences and perspectives in greater depth.</w:t>
      </w:r>
    </w:p>
    <w:p w14:paraId="5F8330CC" w14:textId="77777777" w:rsidR="00B13453" w:rsidRDefault="00000000">
      <w:pPr>
        <w:ind w:left="-5"/>
      </w:pPr>
      <w:r>
        <w:t>Triangulation refers to the use of multiple methods, sources or perspectives within research to improve credibility and depth of understanding (Cohen, Manion and Morrison, 2018). Within qualitative research, triangulation may strengthen trustworthiness by allowing findings to be compared across different forms of data collection. For this proposed study, triangulation was considered through the possible combination of interviews and observational methods. However, due to the small-scale nature of the research and the primary focus on practitioner perceptions, semi-structured interviews were considered sufficient for addressing the research question. Although triangulation may have increased the depth and reliability of findings, time limitations and ethical considerations relating to observing children within early years settings influenced the decision not to include additional methods.</w:t>
      </w:r>
    </w:p>
    <w:p w14:paraId="46F3EC5C" w14:textId="77777777" w:rsidR="00B13453" w:rsidRDefault="00000000">
      <w:pPr>
        <w:ind w:left="-5"/>
      </w:pPr>
      <w:r>
        <w:t xml:space="preserve">However, interviews also present limitations. Participants may provide socially desirable responses, particularly when discussing educational practice, because they may wish to present themselves positively. In addition, interviews can be time-consuming to conduct and analyse. Researcher bias may also influence interpretation of responses, particularly within qualitative research where analysis is subjective. Therefore, reflexivity would be </w:t>
      </w:r>
      <w:r>
        <w:lastRenderedPageBreak/>
        <w:t>important throughout the study to minimise bias and ensure interpretations remain grounded within participant responses.</w:t>
      </w:r>
    </w:p>
    <w:p w14:paraId="16BF4EA1" w14:textId="77777777" w:rsidR="00B13453" w:rsidRDefault="00000000">
      <w:pPr>
        <w:ind w:left="-5"/>
      </w:pPr>
      <w:r>
        <w:t>The proposed participants for this study would include approximately five to eight early years practitioners working with children aged 3–5 years within nursery or Foundation Phase settings in Wales. A small sample size is appropriate within qualitative research because the aim is to gain depth of understanding rather than statistical generalisation (Cohen, Manion and Morrison, 2018). Practitioners would ideally have direct experience supporting imaginative play within early years environments, making them relevant participants for addressing the research question.</w:t>
      </w:r>
    </w:p>
    <w:p w14:paraId="44383BB9" w14:textId="77777777" w:rsidR="00B13453" w:rsidRDefault="00000000">
      <w:pPr>
        <w:ind w:left="-5"/>
      </w:pPr>
      <w:r>
        <w:t xml:space="preserve">Purposive sampling would be used to select participants. Purposive sampling involves selecting individuals based on their relevance to the research topic (Bryman, 2016). This method is appropriate because participants would be chosen specifically for their experience working within early years settings and supporting children’s emotional development through play. However, purposive sampling may limit the representativeness of the findings because the sample would be relatively small and </w:t>
      </w:r>
      <w:proofErr w:type="gramStart"/>
      <w:r>
        <w:t>context-specific</w:t>
      </w:r>
      <w:proofErr w:type="gramEnd"/>
      <w:r>
        <w:t>.</w:t>
      </w:r>
    </w:p>
    <w:p w14:paraId="3C57FBC1" w14:textId="77777777" w:rsidR="00B13453" w:rsidRDefault="00000000">
      <w:pPr>
        <w:ind w:left="-5"/>
      </w:pPr>
      <w:r>
        <w:t>Data collection would involve arranging individual interviews lasting approximately 30–45 minutes. Interviews would likely take place in a quiet space within the educational setting or online through a secure platform if necessary. With participant consent, interviews would be audio-recorded to ensure accurate data collection. The recordings would then be transcribed for analysis. Open-ended interview questions may include topics such as practitioners’ understanding of imaginative play, observations of emotional development and perceived challenges in supporting play-based learning.</w:t>
      </w:r>
    </w:p>
    <w:p w14:paraId="1661E2E6" w14:textId="77777777" w:rsidR="00B13453" w:rsidRDefault="00000000">
      <w:pPr>
        <w:ind w:left="-5"/>
      </w:pPr>
      <w:r>
        <w:t>Thematic analysis would be used to analyse the interview data. Braun and Clarke (2006) describe thematic analysis as a method for identifying, analysing and interpreting patterns within qualitative data. This approach is suitable because it allows recurring themes and ideas within practitioner responses to be explored systematically. For example, themes may include emotional expression, practitioner facilitation, curriculum pressures or child-led learning.</w:t>
      </w:r>
    </w:p>
    <w:p w14:paraId="444A457B" w14:textId="77777777" w:rsidR="00B13453" w:rsidRDefault="00000000">
      <w:pPr>
        <w:ind w:left="-5"/>
      </w:pPr>
      <w:r>
        <w:t>The process of thematic analysis would involve several stages, including familiarisation with the data, coding, identifying themes and reviewing patterns across participant responses (Braun and Clarke, 2006). This method is flexible and widely used within qualitative early years research because it supports in-depth interpretation while remaining accessible for smaller-scale studies. However, thematic analysis also relies heavily on researcher interpretation, which may increase the possibility of subjective bias.</w:t>
      </w:r>
    </w:p>
    <w:p w14:paraId="705854CD" w14:textId="77777777" w:rsidR="00B13453" w:rsidRDefault="00000000">
      <w:pPr>
        <w:ind w:left="-5"/>
      </w:pPr>
      <w:r>
        <w:t>Trustworthiness is an important consideration within qualitative research. Lincoln and Guba (1985) argue that credibility, dependability and reflexivity are essential for ensuring research quality. To improve credibility, the researcher would ensure interview questions remain clearly linked to the research objectives. Reflexivity would also be important throughout the study because the researcher’s own beliefs about imaginative play may influence interpretation of the findings. Maintaining reflective notes during data analysis may help minimise this bias.</w:t>
      </w:r>
    </w:p>
    <w:p w14:paraId="07BA2381" w14:textId="77777777" w:rsidR="00B13453" w:rsidRDefault="00000000">
      <w:pPr>
        <w:ind w:left="-5"/>
      </w:pPr>
      <w:r>
        <w:lastRenderedPageBreak/>
        <w:t xml:space="preserve">Several methodological limitations should also be acknowledged. The small sample size means findings may not be generalisable to all early </w:t>
      </w:r>
      <w:proofErr w:type="gramStart"/>
      <w:r>
        <w:t>years</w:t>
      </w:r>
      <w:proofErr w:type="gramEnd"/>
      <w:r>
        <w:t xml:space="preserve"> settings. In addition, practitioners’ responses may be influenced by workplace expectations or curriculum pressures, potentially affecting honesty during interviews. Time limitations may also restrict the depth of data collection and analysis. Furthermore, because the study focuses on practitioner perceptions rather than direct observation of children, the findings would reflect practitioner interpretations rather than children’s own experiences.</w:t>
      </w:r>
    </w:p>
    <w:p w14:paraId="0AF0B60D" w14:textId="77777777" w:rsidR="00B13453" w:rsidRDefault="00000000">
      <w:pPr>
        <w:ind w:left="-5"/>
      </w:pPr>
      <w:r>
        <w:t xml:space="preserve">Despite these limitations, the proposed methodology is considered appropriate for exploring practitioner perceptions of imaginative play and emotional development. A qualitative interpretivist approach supported by semi-structured interviews and thematic analysis would allow detailed exploration of practitioner experiences within contemporary early years settings. </w:t>
      </w:r>
    </w:p>
    <w:p w14:paraId="4F84CE50" w14:textId="77777777" w:rsidR="00B13453" w:rsidRDefault="00000000">
      <w:pPr>
        <w:ind w:left="-5"/>
      </w:pPr>
      <w:r>
        <w:t>This methodology aligns closely with the research aims by prioritising depth, context and professional understanding rather than numerical measurement alone.</w:t>
      </w:r>
    </w:p>
    <w:p w14:paraId="34EBB8BE" w14:textId="77777777" w:rsidR="00B13453" w:rsidRDefault="00000000">
      <w:pPr>
        <w:spacing w:after="366"/>
        <w:ind w:left="-5" w:right="206"/>
        <w:jc w:val="both"/>
      </w:pPr>
      <w:r>
        <w:t xml:space="preserve">Because the handbook states that AI can support research and proofreading but should not generate the final submission text, this should be treated as a detailed model to adapt into the student’s own academic wording.  </w:t>
      </w:r>
    </w:p>
    <w:p w14:paraId="521B1728" w14:textId="77777777" w:rsidR="00B13453" w:rsidRPr="00340E2D" w:rsidRDefault="00000000">
      <w:pPr>
        <w:spacing w:after="412" w:line="259" w:lineRule="auto"/>
        <w:ind w:left="-5"/>
        <w:rPr>
          <w:b/>
          <w:bCs/>
        </w:rPr>
      </w:pPr>
      <w:r w:rsidRPr="00340E2D">
        <w:rPr>
          <w:b/>
          <w:bCs/>
        </w:rPr>
        <w:t>Ethical Considerations</w:t>
      </w:r>
    </w:p>
    <w:p w14:paraId="745433F8" w14:textId="77777777" w:rsidR="00B13453" w:rsidRDefault="00000000">
      <w:pPr>
        <w:ind w:left="-5"/>
      </w:pPr>
      <w:r>
        <w:t>Ethics are a fundamental aspect of educational research, particularly within early years contexts where research may involve vulnerable groups, professional relationships and sensitive information. Ethical research aims to protect participants from harm while ensuring that research is conducted responsibly, honestly and respectfully (BERA, 2024). Although this proposed study focuses on practitioners rather than directly researching children, ethical considerations remain highly important because discussions may involve children’s emotional development, workplace practice and professional experiences.</w:t>
      </w:r>
    </w:p>
    <w:p w14:paraId="5D5A9426" w14:textId="77777777" w:rsidR="00B13453" w:rsidRDefault="00000000">
      <w:pPr>
        <w:ind w:left="-5"/>
      </w:pPr>
      <w:r>
        <w:t>The proposed research would explore early years practitioners’ perceptions of imaginative play and emotional development in children aged 3–5 years. Due to the professional nature of the study, ethical issues relating to consent, confidentiality, safeguarding, data protection and researcher bias must be carefully considered throughout the research process. Cohen, Manion and Morrison (2018) argue that ethical considerations should not be viewed as a single stage of research but as an ongoing responsibility throughout planning, data collection and analysis.</w:t>
      </w:r>
    </w:p>
    <w:p w14:paraId="76F254BC" w14:textId="77777777" w:rsidR="00B13453" w:rsidRDefault="00000000">
      <w:pPr>
        <w:ind w:left="-5"/>
      </w:pPr>
      <w:r>
        <w:t>Informed consent would be an essential component of the proposed study. Participants would need to fully understand the purpose of the research, how the data would be collected and how the findings would be used before agreeing to participate. Bell (2014) states that informed consent requires participants to make voluntary and informed decisions regarding participation. Therefore, practitioners would be provided with participant information sheets explaining the research aims, interview process, confidentiality procedures and their rights as participants. Written consent forms would also be obtained before interviews take place.</w:t>
      </w:r>
    </w:p>
    <w:p w14:paraId="49A9B5D2" w14:textId="77777777" w:rsidR="00B13453" w:rsidRDefault="00000000">
      <w:pPr>
        <w:ind w:left="-5"/>
      </w:pPr>
      <w:r>
        <w:lastRenderedPageBreak/>
        <w:t>Participation within the study would be entirely voluntary. Practitioners would have the right to withdraw from the study at any stage without penalty or explanation. This is important because participants may feel uncomfortable discussing aspects of professional practice or emotional development. Allowing withdrawal helps reduce pressure and supports ethical participation. However, limitations may exist regarding withdrawal after data analysis has begun because removing data once themes have been developed may become difficult. Therefore, participants would be informed clearly about deadlines for withdrawing data.</w:t>
      </w:r>
    </w:p>
    <w:p w14:paraId="0EB10725" w14:textId="77777777" w:rsidR="00B13453" w:rsidRDefault="00000000">
      <w:pPr>
        <w:ind w:left="-5"/>
      </w:pPr>
      <w:r>
        <w:t>Confidentiality and anonymity would also be important ethical considerations within the proposed study. Practitioners discussing workplace experiences may reveal information relating to colleagues, settings or children. To protect participant identities, pseudonyms would be used within transcripts and final findings. Any identifying details relating to educational settings or individuals would be removed during transcription. Bryman (2016) argues that anonymity is essential in protecting participants from potential professional or personal consequences.</w:t>
      </w:r>
    </w:p>
    <w:p w14:paraId="386BBF5A" w14:textId="77777777" w:rsidR="00B13453" w:rsidRDefault="00000000">
      <w:pPr>
        <w:ind w:left="-5"/>
      </w:pPr>
      <w:r>
        <w:t>However, maintaining complete anonymity may remain challenging within small early years settings where practitioners may recognise contextual details or experiences discussed during interviews. This highlights the complexity of confidentiality within qualitative educational research. Researchers must therefore carefully balance rich contextual description with participant protection. Participants would also be reminded not to disclose unnecessary identifying information regarding specific children or colleagues during interviews.</w:t>
      </w:r>
    </w:p>
    <w:p w14:paraId="1898C048" w14:textId="77777777" w:rsidR="00B13453" w:rsidRDefault="00000000">
      <w:pPr>
        <w:spacing w:after="9"/>
        <w:ind w:left="-5"/>
      </w:pPr>
      <w:r>
        <w:t xml:space="preserve">Data protection is another significant ethical consideration, particularly following the </w:t>
      </w:r>
    </w:p>
    <w:p w14:paraId="371542CE" w14:textId="77777777" w:rsidR="00B13453" w:rsidRDefault="00000000">
      <w:pPr>
        <w:ind w:left="-5"/>
      </w:pPr>
      <w:r>
        <w:t>implementation of General Data Protection Regulation (GDPR). Audio recordings, transcripts and consent forms would need to be stored securely using password-protected devices or encrypted storage systems. Access to data would be restricted to the researcher only. According to BERA (2024), researchers are responsible for ensuring that participant information is collected, stored and disposed of ethically and securely. Data would therefore be deleted after a specified retention period in line with institutional guidance.</w:t>
      </w:r>
    </w:p>
    <w:p w14:paraId="45B0989A" w14:textId="77777777" w:rsidR="00B13453" w:rsidRDefault="00000000">
      <w:pPr>
        <w:ind w:left="-5"/>
      </w:pPr>
      <w:r>
        <w:t>Safeguarding responsibilities would also need careful consideration, despite the study focusing on practitioners rather than children directly. Discussions during interviews may unintentionally reveal concerns relating to child welfare, safeguarding issues or inappropriate practice within settings. In such situations, the researcher would have a professional responsibility to follow safeguarding procedures. This demonstrates that confidentiality cannot always be guaranteed if concerns arise regarding the safety or wellbeing of children. Participants would therefore be informed before interviews that safeguarding concerns may need to be reported appropriately.</w:t>
      </w:r>
    </w:p>
    <w:p w14:paraId="22DB1587" w14:textId="77777777" w:rsidR="00B13453" w:rsidRDefault="00000000">
      <w:pPr>
        <w:ind w:left="-5"/>
      </w:pPr>
      <w:r>
        <w:t>Ethical approval procedures and adherence to university research policies would also help protect institutional reputation and ensure the research is conducted professionally and responsibly throughout the study.</w:t>
      </w:r>
    </w:p>
    <w:p w14:paraId="49D59DC1" w14:textId="77777777" w:rsidR="00B13453" w:rsidRDefault="00000000">
      <w:pPr>
        <w:ind w:left="-5"/>
      </w:pPr>
      <w:r>
        <w:t xml:space="preserve">Researcher positionality and reflexivity are also important ethical considerations within qualitative research. Reflexivity refers to the researcher’s awareness of how personal beliefs, experiences and assumptions may influence the research process and interpretation of findings (Cohen, Manion and Morrison, 2018). Within this proposed study, the researcher may hold positive beliefs regarding imaginative play and its value within </w:t>
      </w:r>
      <w:r>
        <w:lastRenderedPageBreak/>
        <w:t>emotional development. These perspectives could unintentionally influence interview questioning, interpretation of participant responses or data analysis.</w:t>
      </w:r>
    </w:p>
    <w:p w14:paraId="2311DA6B" w14:textId="77777777" w:rsidR="00B13453" w:rsidRDefault="00000000">
      <w:pPr>
        <w:ind w:left="-5"/>
      </w:pPr>
      <w:r>
        <w:t>To reduce bias, the researcher would need to engage in reflective practice throughout the study. Reflective notes may be maintained during data collection and analysis to identify potential assumptions or subjective interpretations. Braun and Clarke (2006) emphasise the importance of reflexivity within thematic analysis because researchers play an active role in identifying and interpreting themes. Acknowledging researcher bias therefore supports transparency and credibility within qualitative research.</w:t>
      </w:r>
    </w:p>
    <w:p w14:paraId="7EF50486" w14:textId="77777777" w:rsidR="00B13453" w:rsidRDefault="00000000">
      <w:pPr>
        <w:ind w:left="-5"/>
      </w:pPr>
      <w:r>
        <w:t>Power relationships between the researcher and participants should also be considered carefully. Although practitioners are adults and professionals, they may still feel professionally evaluated during interviews. Participants may worry that their responses could reflect negatively on their competence or practice. This could result in socially desirable responses rather than honest opinions. Bell (2014) suggests that researchers should attempt to minimise power imbalances by creating supportive and non-judgemental research environments.</w:t>
      </w:r>
    </w:p>
    <w:p w14:paraId="18BB77BA" w14:textId="77777777" w:rsidR="00B13453" w:rsidRDefault="00000000">
      <w:pPr>
        <w:ind w:left="-5"/>
      </w:pPr>
      <w:r>
        <w:t>To address this issue, interview questions would be open-ended, respectful and focused on experiences rather than evaluating professional ability. The researcher would emphasise that there are no “correct” answers and that the study aims to explore perspectives rather than assess performance. Building rapport with participants may also encourage more open and authentic discussion.</w:t>
      </w:r>
    </w:p>
    <w:p w14:paraId="6AECD589" w14:textId="77777777" w:rsidR="00B13453" w:rsidRDefault="00000000">
      <w:pPr>
        <w:ind w:left="-5"/>
      </w:pPr>
      <w:r>
        <w:t>Ethical challenges may additionally arise due to the emotional nature of the research topic. Discussions surrounding children’s emotional wellbeing may lead practitioners to reflect on challenging experiences, behavioural concerns or emotional difficulties observed within practice. Researchers must therefore remain sensitive when discussing emotional topics and ensure participants feel comfortable throughout the interview process.</w:t>
      </w:r>
    </w:p>
    <w:p w14:paraId="1AC8E71A" w14:textId="77777777" w:rsidR="00B13453" w:rsidRDefault="00000000">
      <w:pPr>
        <w:ind w:left="-5"/>
      </w:pPr>
      <w:r>
        <w:t xml:space="preserve">Within Wales, educational policy strongly promotes wellbeing, inclusion and child-centred learning through frameworks such as the Curriculum for Wales and Foundation Phase approaches (Welsh Government, 2022). While these policies encourage reflective and </w:t>
      </w:r>
      <w:proofErr w:type="spellStart"/>
      <w:r>
        <w:t>playbased</w:t>
      </w:r>
      <w:proofErr w:type="spellEnd"/>
      <w:r>
        <w:t xml:space="preserve"> practice, practitioners may still experience tensions between emotional wellbeing priorities and increasing educational accountability. Discussing such issues within interviews may create professional sensitivity, further reinforcing the importance of confidentiality and respectful research practice.</w:t>
      </w:r>
    </w:p>
    <w:p w14:paraId="28568D83" w14:textId="77777777" w:rsidR="00B13453" w:rsidRDefault="00000000">
      <w:pPr>
        <w:ind w:left="-5"/>
      </w:pPr>
      <w:r>
        <w:t>Another ethical issue relates to representation and interpretation of participant voices. Within qualitative research, researchers hold significant power when selecting quotations, identifying themes and presenting findings. There is therefore a responsibility to ensure participant perspectives are represented accurately and fairly. Misinterpretation may lead to distorted conclusions or reinforce researcher assumptions. Braun and Clarke (2006) argue that transparency within analysis is important for maintaining trustworthiness within qualitative studies.</w:t>
      </w:r>
    </w:p>
    <w:p w14:paraId="1B7FB5DB" w14:textId="77777777" w:rsidR="00B13453" w:rsidRDefault="00000000">
      <w:pPr>
        <w:ind w:left="-5"/>
      </w:pPr>
      <w:r>
        <w:lastRenderedPageBreak/>
        <w:t>Overall, ethical considerations are central to the proposed research study exploring practitioners’ perceptions of imaginative play and emotional development. Issues relating to informed consent, confidentiality, safeguarding, data protection, researcher reflexivity and power relationships require careful planning and ongoing reflection throughout the research process. Although the study focuses on practitioners rather than directly involving children, ethical responsibilities remain highly significant due to the sensitive nature of emotional development and professional practice within early years settings.</w:t>
      </w:r>
    </w:p>
    <w:p w14:paraId="0D704F2E" w14:textId="77777777" w:rsidR="00B13453" w:rsidRDefault="00000000">
      <w:pPr>
        <w:ind w:left="-5"/>
      </w:pPr>
      <w:r>
        <w:t>By following ethical guidance from BERA (2024) and maintaining reflective, respectful and transparent research practices, the proposed study would aim to protect participants while producing meaningful and trustworthy findings. Ethical awareness is therefore not only a procedural requirement but also an essential component of responsible early years research.</w:t>
      </w:r>
    </w:p>
    <w:p w14:paraId="4B3573AD" w14:textId="77777777" w:rsidR="00340E2D" w:rsidRDefault="00340E2D">
      <w:pPr>
        <w:spacing w:after="412" w:line="259" w:lineRule="auto"/>
        <w:ind w:left="-5"/>
        <w:rPr>
          <w:b/>
          <w:bCs/>
        </w:rPr>
      </w:pPr>
    </w:p>
    <w:p w14:paraId="289A492A" w14:textId="66224171" w:rsidR="00B13453" w:rsidRPr="00340E2D" w:rsidRDefault="00000000">
      <w:pPr>
        <w:spacing w:after="412" w:line="259" w:lineRule="auto"/>
        <w:ind w:left="-5"/>
        <w:rPr>
          <w:b/>
          <w:bCs/>
        </w:rPr>
      </w:pPr>
      <w:r w:rsidRPr="00340E2D">
        <w:rPr>
          <w:b/>
          <w:bCs/>
        </w:rPr>
        <w:t>Reference List</w:t>
      </w:r>
    </w:p>
    <w:p w14:paraId="41F5A59A" w14:textId="77777777" w:rsidR="00B13453" w:rsidRDefault="00000000">
      <w:pPr>
        <w:spacing w:after="371"/>
        <w:ind w:left="-5"/>
      </w:pPr>
      <w:r>
        <w:t xml:space="preserve">Bell, J. (2014). </w:t>
      </w:r>
      <w:r>
        <w:rPr>
          <w:i/>
        </w:rPr>
        <w:t>Doing your research project: A guide for first-time researchers</w:t>
      </w:r>
      <w:r>
        <w:t>. 6th ed. Maidenhead: Open University Press.</w:t>
      </w:r>
    </w:p>
    <w:p w14:paraId="07DEDA84" w14:textId="77777777" w:rsidR="00B13453" w:rsidRDefault="00000000">
      <w:pPr>
        <w:ind w:left="-5"/>
      </w:pPr>
      <w:r>
        <w:t xml:space="preserve">BERA (2024). </w:t>
      </w:r>
      <w:r>
        <w:rPr>
          <w:i/>
        </w:rPr>
        <w:t>Ethical guidelines for educational research</w:t>
      </w:r>
      <w:r>
        <w:t>. 5th ed. London: British Educational Research Association.</w:t>
      </w:r>
    </w:p>
    <w:p w14:paraId="0B71BE11" w14:textId="77777777" w:rsidR="00B13453" w:rsidRDefault="00000000">
      <w:pPr>
        <w:spacing w:after="371"/>
        <w:ind w:left="-5"/>
      </w:pPr>
      <w:r>
        <w:t xml:space="preserve">Braun, V. and Clarke, V. (2006). </w:t>
      </w:r>
      <w:r>
        <w:rPr>
          <w:i/>
        </w:rPr>
        <w:t>Using thematic analysis in psychology</w:t>
      </w:r>
      <w:r>
        <w:t xml:space="preserve">. </w:t>
      </w:r>
      <w:r>
        <w:rPr>
          <w:i/>
        </w:rPr>
        <w:t>Qualitative Research in Psychology</w:t>
      </w:r>
      <w:r>
        <w:t>, 3(2), pp. 77–101.</w:t>
      </w:r>
    </w:p>
    <w:p w14:paraId="259549ED" w14:textId="77777777" w:rsidR="00B13453" w:rsidRDefault="00000000">
      <w:pPr>
        <w:ind w:left="-5"/>
      </w:pPr>
      <w:r>
        <w:t xml:space="preserve">Bruce, T. (2012). </w:t>
      </w:r>
      <w:r>
        <w:rPr>
          <w:i/>
        </w:rPr>
        <w:t>Learning through play</w:t>
      </w:r>
      <w:r>
        <w:t>. 2nd ed. London: Hodder Education.</w:t>
      </w:r>
    </w:p>
    <w:p w14:paraId="6B41C1F7" w14:textId="77777777" w:rsidR="00B13453" w:rsidRDefault="00000000">
      <w:pPr>
        <w:ind w:left="-5"/>
      </w:pPr>
      <w:r>
        <w:t xml:space="preserve">Bryman, A. (2016). </w:t>
      </w:r>
      <w:r>
        <w:rPr>
          <w:i/>
        </w:rPr>
        <w:t>Social research methods</w:t>
      </w:r>
      <w:r>
        <w:t>. 5th ed. Oxford: Oxford University Press.</w:t>
      </w:r>
    </w:p>
    <w:p w14:paraId="54BB1BC3" w14:textId="77777777" w:rsidR="00B13453" w:rsidRDefault="00000000">
      <w:pPr>
        <w:ind w:left="-5"/>
      </w:pPr>
      <w:r>
        <w:t xml:space="preserve">Cohen, L., Manion, L. and Morrison, K. (2018). </w:t>
      </w:r>
      <w:r>
        <w:rPr>
          <w:i/>
        </w:rPr>
        <w:t>Research methods in education</w:t>
      </w:r>
      <w:r>
        <w:t>. 8th ed. London: Routledge.</w:t>
      </w:r>
    </w:p>
    <w:p w14:paraId="2924EB92" w14:textId="77777777" w:rsidR="00B13453" w:rsidRDefault="00000000">
      <w:pPr>
        <w:spacing w:after="371"/>
        <w:ind w:left="-5"/>
      </w:pPr>
      <w:r>
        <w:t xml:space="preserve">Donaldson, G. (2015). </w:t>
      </w:r>
      <w:r>
        <w:rPr>
          <w:i/>
        </w:rPr>
        <w:t>Successful futures: Independent review of curriculum and assessment arrangements in Wales</w:t>
      </w:r>
      <w:r>
        <w:t>. Cardiff: Welsh Government.</w:t>
      </w:r>
    </w:p>
    <w:p w14:paraId="086E10D1" w14:textId="77777777" w:rsidR="00B13453" w:rsidRDefault="00000000">
      <w:pPr>
        <w:ind w:left="-5"/>
      </w:pPr>
      <w:r>
        <w:t xml:space="preserve">Lincoln, Y.S. and Guba, E.G. (1985). </w:t>
      </w:r>
      <w:r>
        <w:rPr>
          <w:i/>
        </w:rPr>
        <w:t>Naturalistic inquiry</w:t>
      </w:r>
      <w:r>
        <w:t>. Beverly Hills, CA: Sage.</w:t>
      </w:r>
    </w:p>
    <w:p w14:paraId="0187CE10" w14:textId="77777777" w:rsidR="00B13453" w:rsidRDefault="00000000">
      <w:pPr>
        <w:ind w:left="-5"/>
      </w:pPr>
      <w:r>
        <w:t xml:space="preserve">Moyles, J. (2010). </w:t>
      </w:r>
      <w:r>
        <w:rPr>
          <w:i/>
        </w:rPr>
        <w:t>The excellence of play</w:t>
      </w:r>
      <w:r>
        <w:t>. 3rd ed. Maidenhead: Open University Press.</w:t>
      </w:r>
    </w:p>
    <w:p w14:paraId="51F8EEC3" w14:textId="77777777" w:rsidR="00B13453" w:rsidRDefault="00000000">
      <w:pPr>
        <w:ind w:left="-5"/>
      </w:pPr>
      <w:r>
        <w:t xml:space="preserve">Mukherji, P. and Albon, D. (2018). </w:t>
      </w:r>
      <w:r>
        <w:rPr>
          <w:i/>
        </w:rPr>
        <w:t>Research methods in early childhood: An introductory guide</w:t>
      </w:r>
      <w:r>
        <w:t>. 3rd ed. London: Sage.</w:t>
      </w:r>
    </w:p>
    <w:p w14:paraId="55EC9C76" w14:textId="77777777" w:rsidR="00B13453" w:rsidRDefault="00000000">
      <w:pPr>
        <w:spacing w:after="371"/>
        <w:ind w:left="-5"/>
      </w:pPr>
      <w:r>
        <w:lastRenderedPageBreak/>
        <w:t xml:space="preserve">Piaget, J. (1962). </w:t>
      </w:r>
      <w:r>
        <w:rPr>
          <w:i/>
        </w:rPr>
        <w:t>Play, dreams and imitation in childhood</w:t>
      </w:r>
      <w:r>
        <w:t>. New York: Norton.</w:t>
      </w:r>
    </w:p>
    <w:p w14:paraId="713B3634" w14:textId="77777777" w:rsidR="00B13453" w:rsidRDefault="00000000">
      <w:pPr>
        <w:spacing w:after="371"/>
        <w:ind w:left="-5"/>
      </w:pPr>
      <w:r>
        <w:t xml:space="preserve">Roberts-Holmes, G. (2018). </w:t>
      </w:r>
      <w:r>
        <w:rPr>
          <w:i/>
        </w:rPr>
        <w:t>Doing your early years research project: A step-by-step guide</w:t>
      </w:r>
      <w:r>
        <w:t>. 4th ed. London: Sage.</w:t>
      </w:r>
    </w:p>
    <w:p w14:paraId="079B52D8" w14:textId="77777777" w:rsidR="00B13453" w:rsidRDefault="00000000">
      <w:pPr>
        <w:spacing w:after="371"/>
        <w:ind w:left="-5"/>
      </w:pPr>
      <w:r>
        <w:t xml:space="preserve">Smidt, S. (2016). </w:t>
      </w:r>
      <w:r>
        <w:rPr>
          <w:i/>
        </w:rPr>
        <w:t>Introducing Vygotsky: A guide for practitioners and students in early years education</w:t>
      </w:r>
      <w:r>
        <w:t>. 2nd ed. London: Routledge.</w:t>
      </w:r>
    </w:p>
    <w:p w14:paraId="6CC5D5F3" w14:textId="77777777" w:rsidR="00B13453" w:rsidRDefault="00000000">
      <w:pPr>
        <w:spacing w:after="371"/>
        <w:ind w:left="-5"/>
      </w:pPr>
      <w:r>
        <w:t xml:space="preserve">Vygotsky, L.S. (1978). </w:t>
      </w:r>
      <w:r>
        <w:rPr>
          <w:i/>
        </w:rPr>
        <w:t>Mind in society: The development of higher psychological processes</w:t>
      </w:r>
      <w:r>
        <w:t>. Cambridge, MA: Harvard University Press.</w:t>
      </w:r>
    </w:p>
    <w:p w14:paraId="7CADAEEE" w14:textId="77777777" w:rsidR="00B13453" w:rsidRDefault="00000000">
      <w:pPr>
        <w:ind w:left="-5"/>
      </w:pPr>
      <w:r>
        <w:t xml:space="preserve">Welsh Government (2022). </w:t>
      </w:r>
      <w:r>
        <w:rPr>
          <w:i/>
        </w:rPr>
        <w:t>Curriculum for Wales framework</w:t>
      </w:r>
      <w:r>
        <w:t>. Cardiff: Welsh Government.</w:t>
      </w:r>
    </w:p>
    <w:p w14:paraId="2E1CD0C8" w14:textId="77777777" w:rsidR="00B13453" w:rsidRDefault="00000000">
      <w:pPr>
        <w:spacing w:after="371"/>
        <w:ind w:left="-5"/>
      </w:pPr>
      <w:r>
        <w:t xml:space="preserve">Whitebread, D., Basilio, M., </w:t>
      </w:r>
      <w:proofErr w:type="spellStart"/>
      <w:r>
        <w:t>Kuvalja</w:t>
      </w:r>
      <w:proofErr w:type="spellEnd"/>
      <w:r>
        <w:t xml:space="preserve">, M. and Verma, M. (2017). </w:t>
      </w:r>
      <w:r>
        <w:rPr>
          <w:i/>
        </w:rPr>
        <w:t>The importance of play: A report on the value of children’s play with a series of policy recommendations</w:t>
      </w:r>
      <w:r>
        <w:t>. Brussels: Toy Industries of Europe.</w:t>
      </w:r>
    </w:p>
    <w:sectPr w:rsidR="00B13453">
      <w:pgSz w:w="11906" w:h="16838"/>
      <w:pgMar w:top="800" w:right="460" w:bottom="1095" w:left="46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C02666"/>
    <w:multiLevelType w:val="hybridMultilevel"/>
    <w:tmpl w:val="A5320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602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3453"/>
    <w:rsid w:val="00340E2D"/>
    <w:rsid w:val="00B13453"/>
    <w:rsid w:val="00B76E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6158A"/>
  <w15:docId w15:val="{69B53A01-89EA-484B-90FC-FCC044FA6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64" w:line="300" w:lineRule="auto"/>
      <w:ind w:left="10" w:hanging="10"/>
    </w:pPr>
    <w:rPr>
      <w:rFonts w:ascii="Calibri" w:eastAsia="Calibri" w:hAnsi="Calibri" w:cs="Calibri"/>
      <w:color w:val="4444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0E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4968</Words>
  <Characters>28324</Characters>
  <Application>Microsoft Office Word</Application>
  <DocSecurity>0</DocSecurity>
  <Lines>236</Lines>
  <Paragraphs>66</Paragraphs>
  <ScaleCrop>false</ScaleCrop>
  <Company/>
  <LinksUpToDate>false</LinksUpToDate>
  <CharactersWithSpaces>33226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Count : 3974</dc:title>
  <dc:subject/>
  <dc:creator>Elliya Rizvi</dc:creator>
  <cp:keywords/>
  <cp:lastModifiedBy>Elliya Rizvi</cp:lastModifiedBy>
  <cp:revision>2</cp:revision>
  <dcterms:created xsi:type="dcterms:W3CDTF">2026-05-16T19:10:00Z</dcterms:created>
  <dcterms:modified xsi:type="dcterms:W3CDTF">2026-05-16T19:10:00Z</dcterms:modified>
</cp:coreProperties>
</file>