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PlainTable1"/>
        <w:tblpPr w:leftFromText="180" w:rightFromText="180" w:vertAnchor="page" w:horzAnchor="margin" w:tblpY="5588"/>
        <w:tblW w:w="0" w:type="auto"/>
        <w:tblLook w:val="04A0" w:firstRow="1" w:lastRow="0" w:firstColumn="1" w:lastColumn="0" w:noHBand="0" w:noVBand="1"/>
      </w:tblPr>
      <w:tblGrid>
        <w:gridCol w:w="4675"/>
        <w:gridCol w:w="4675"/>
      </w:tblGrid>
      <w:tr w:rsidR="00B970FA" w14:paraId="235C3B77" w14:textId="77777777" w:rsidTr="00B970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F79F1F1" w14:textId="61CDFD39" w:rsidR="00B970FA" w:rsidRPr="00B970FA" w:rsidRDefault="00B970FA" w:rsidP="00B970FA">
            <w:pPr>
              <w:jc w:val="center"/>
              <w:rPr>
                <w:sz w:val="28"/>
                <w:szCs w:val="28"/>
              </w:rPr>
            </w:pPr>
            <w:r w:rsidRPr="00B970FA">
              <w:rPr>
                <w:sz w:val="28"/>
                <w:szCs w:val="28"/>
              </w:rPr>
              <w:t>Student Name</w:t>
            </w:r>
          </w:p>
        </w:tc>
        <w:tc>
          <w:tcPr>
            <w:tcW w:w="4675" w:type="dxa"/>
          </w:tcPr>
          <w:p w14:paraId="3443AD4D" w14:textId="29D29341" w:rsidR="00B970FA" w:rsidRPr="00B970FA" w:rsidRDefault="00B970FA" w:rsidP="00B970FA">
            <w:pPr>
              <w:jc w:val="center"/>
              <w:cnfStyle w:val="100000000000" w:firstRow="1" w:lastRow="0" w:firstColumn="0" w:lastColumn="0" w:oddVBand="0" w:evenVBand="0" w:oddHBand="0" w:evenHBand="0" w:firstRowFirstColumn="0" w:firstRowLastColumn="0" w:lastRowFirstColumn="0" w:lastRowLastColumn="0"/>
              <w:rPr>
                <w:sz w:val="28"/>
                <w:szCs w:val="28"/>
              </w:rPr>
            </w:pPr>
            <w:r w:rsidRPr="00B970FA">
              <w:rPr>
                <w:sz w:val="28"/>
                <w:szCs w:val="28"/>
              </w:rPr>
              <w:t>Robena Khan</w:t>
            </w:r>
          </w:p>
        </w:tc>
      </w:tr>
      <w:tr w:rsidR="00B970FA" w14:paraId="3A8F4803" w14:textId="77777777" w:rsidTr="00B970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4620B90" w14:textId="31D72230" w:rsidR="00B970FA" w:rsidRPr="00B970FA" w:rsidRDefault="00B970FA" w:rsidP="00B970FA">
            <w:pPr>
              <w:jc w:val="center"/>
              <w:rPr>
                <w:sz w:val="28"/>
                <w:szCs w:val="28"/>
              </w:rPr>
            </w:pPr>
            <w:r w:rsidRPr="00B970FA">
              <w:rPr>
                <w:sz w:val="28"/>
                <w:szCs w:val="28"/>
              </w:rPr>
              <w:t>Student ID</w:t>
            </w:r>
          </w:p>
        </w:tc>
        <w:tc>
          <w:tcPr>
            <w:tcW w:w="4675" w:type="dxa"/>
          </w:tcPr>
          <w:p w14:paraId="60626A27" w14:textId="7F39CCB1" w:rsidR="00B970FA" w:rsidRPr="00B970FA" w:rsidRDefault="00B970FA" w:rsidP="00B970FA">
            <w:pPr>
              <w:jc w:val="center"/>
              <w:cnfStyle w:val="000000100000" w:firstRow="0" w:lastRow="0" w:firstColumn="0" w:lastColumn="0" w:oddVBand="0" w:evenVBand="0" w:oddHBand="1" w:evenHBand="0" w:firstRowFirstColumn="0" w:firstRowLastColumn="0" w:lastRowFirstColumn="0" w:lastRowLastColumn="0"/>
              <w:rPr>
                <w:sz w:val="28"/>
                <w:szCs w:val="28"/>
              </w:rPr>
            </w:pPr>
            <w:r w:rsidRPr="00B970FA">
              <w:rPr>
                <w:sz w:val="28"/>
                <w:szCs w:val="28"/>
              </w:rPr>
              <w:t>2331471</w:t>
            </w:r>
          </w:p>
        </w:tc>
      </w:tr>
      <w:tr w:rsidR="00B970FA" w14:paraId="41D875C7" w14:textId="77777777" w:rsidTr="00B970FA">
        <w:tc>
          <w:tcPr>
            <w:cnfStyle w:val="001000000000" w:firstRow="0" w:lastRow="0" w:firstColumn="1" w:lastColumn="0" w:oddVBand="0" w:evenVBand="0" w:oddHBand="0" w:evenHBand="0" w:firstRowFirstColumn="0" w:firstRowLastColumn="0" w:lastRowFirstColumn="0" w:lastRowLastColumn="0"/>
            <w:tcW w:w="4675" w:type="dxa"/>
          </w:tcPr>
          <w:p w14:paraId="25CA7FDF" w14:textId="372CC9A3" w:rsidR="00B970FA" w:rsidRPr="00B970FA" w:rsidRDefault="00B970FA" w:rsidP="00B970FA">
            <w:pPr>
              <w:jc w:val="center"/>
              <w:rPr>
                <w:sz w:val="28"/>
                <w:szCs w:val="28"/>
              </w:rPr>
            </w:pPr>
            <w:r w:rsidRPr="00B970FA">
              <w:rPr>
                <w:sz w:val="28"/>
                <w:szCs w:val="28"/>
              </w:rPr>
              <w:t>Module Code</w:t>
            </w:r>
          </w:p>
        </w:tc>
        <w:tc>
          <w:tcPr>
            <w:tcW w:w="4675" w:type="dxa"/>
          </w:tcPr>
          <w:p w14:paraId="64984D40" w14:textId="05618594" w:rsidR="00B970FA" w:rsidRPr="00B970FA" w:rsidRDefault="00B970FA" w:rsidP="00B970FA">
            <w:pPr>
              <w:jc w:val="center"/>
              <w:cnfStyle w:val="000000000000" w:firstRow="0" w:lastRow="0" w:firstColumn="0" w:lastColumn="0" w:oddVBand="0" w:evenVBand="0" w:oddHBand="0" w:evenHBand="0" w:firstRowFirstColumn="0" w:firstRowLastColumn="0" w:lastRowFirstColumn="0" w:lastRowLastColumn="0"/>
              <w:rPr>
                <w:sz w:val="28"/>
                <w:szCs w:val="28"/>
              </w:rPr>
            </w:pPr>
            <w:r w:rsidRPr="00B970FA">
              <w:rPr>
                <w:sz w:val="28"/>
                <w:szCs w:val="28"/>
              </w:rPr>
              <w:t>BMHP5021</w:t>
            </w:r>
          </w:p>
        </w:tc>
      </w:tr>
      <w:tr w:rsidR="00B970FA" w14:paraId="39BF25AE" w14:textId="77777777" w:rsidTr="00B970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82B31DB" w14:textId="4B89C5A7" w:rsidR="00B970FA" w:rsidRPr="00B970FA" w:rsidRDefault="00B970FA" w:rsidP="00B970FA">
            <w:pPr>
              <w:jc w:val="center"/>
              <w:rPr>
                <w:sz w:val="28"/>
                <w:szCs w:val="28"/>
              </w:rPr>
            </w:pPr>
            <w:r w:rsidRPr="00B970FA">
              <w:rPr>
                <w:sz w:val="28"/>
                <w:szCs w:val="28"/>
              </w:rPr>
              <w:t>Module Title</w:t>
            </w:r>
          </w:p>
        </w:tc>
        <w:tc>
          <w:tcPr>
            <w:tcW w:w="4675" w:type="dxa"/>
          </w:tcPr>
          <w:p w14:paraId="1C245AE1" w14:textId="17FB7069" w:rsidR="00B970FA" w:rsidRPr="00B970FA" w:rsidRDefault="00B970FA" w:rsidP="00B970FA">
            <w:pPr>
              <w:jc w:val="center"/>
              <w:cnfStyle w:val="000000100000" w:firstRow="0" w:lastRow="0" w:firstColumn="0" w:lastColumn="0" w:oddVBand="0" w:evenVBand="0" w:oddHBand="1" w:evenHBand="0" w:firstRowFirstColumn="0" w:firstRowLastColumn="0" w:lastRowFirstColumn="0" w:lastRowLastColumn="0"/>
              <w:rPr>
                <w:sz w:val="28"/>
                <w:szCs w:val="28"/>
              </w:rPr>
            </w:pPr>
            <w:r w:rsidRPr="00B970FA">
              <w:rPr>
                <w:sz w:val="28"/>
                <w:szCs w:val="28"/>
              </w:rPr>
              <w:t>Protecting and Supporting Families in Health and Care</w:t>
            </w:r>
          </w:p>
        </w:tc>
      </w:tr>
      <w:tr w:rsidR="00B970FA" w14:paraId="62C02CBC" w14:textId="77777777" w:rsidTr="00B970FA">
        <w:tc>
          <w:tcPr>
            <w:cnfStyle w:val="001000000000" w:firstRow="0" w:lastRow="0" w:firstColumn="1" w:lastColumn="0" w:oddVBand="0" w:evenVBand="0" w:oddHBand="0" w:evenHBand="0" w:firstRowFirstColumn="0" w:firstRowLastColumn="0" w:lastRowFirstColumn="0" w:lastRowLastColumn="0"/>
            <w:tcW w:w="4675" w:type="dxa"/>
          </w:tcPr>
          <w:p w14:paraId="75156A09" w14:textId="6962FBF9" w:rsidR="00B970FA" w:rsidRPr="00B970FA" w:rsidRDefault="00B970FA" w:rsidP="00B970FA">
            <w:pPr>
              <w:jc w:val="center"/>
              <w:rPr>
                <w:sz w:val="28"/>
                <w:szCs w:val="28"/>
              </w:rPr>
            </w:pPr>
            <w:r w:rsidRPr="00B970FA">
              <w:rPr>
                <w:sz w:val="28"/>
                <w:szCs w:val="28"/>
              </w:rPr>
              <w:t>Lecturer Name</w:t>
            </w:r>
          </w:p>
        </w:tc>
        <w:tc>
          <w:tcPr>
            <w:tcW w:w="4675" w:type="dxa"/>
          </w:tcPr>
          <w:p w14:paraId="5191D5B4" w14:textId="39F4802C" w:rsidR="00B970FA" w:rsidRPr="00B970FA" w:rsidRDefault="00B970FA" w:rsidP="00B970FA">
            <w:pPr>
              <w:jc w:val="center"/>
              <w:cnfStyle w:val="000000000000" w:firstRow="0" w:lastRow="0" w:firstColumn="0" w:lastColumn="0" w:oddVBand="0" w:evenVBand="0" w:oddHBand="0" w:evenHBand="0" w:firstRowFirstColumn="0" w:firstRowLastColumn="0" w:lastRowFirstColumn="0" w:lastRowLastColumn="0"/>
              <w:rPr>
                <w:sz w:val="28"/>
                <w:szCs w:val="28"/>
              </w:rPr>
            </w:pPr>
            <w:r w:rsidRPr="00B970FA">
              <w:rPr>
                <w:sz w:val="28"/>
                <w:szCs w:val="28"/>
              </w:rPr>
              <w:t>Gillian Weaver</w:t>
            </w:r>
          </w:p>
        </w:tc>
      </w:tr>
      <w:tr w:rsidR="00B970FA" w14:paraId="738E0479" w14:textId="77777777" w:rsidTr="00B970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1811A0B" w14:textId="3AB91128" w:rsidR="00B970FA" w:rsidRPr="00B970FA" w:rsidRDefault="00B970FA" w:rsidP="00B970FA">
            <w:pPr>
              <w:jc w:val="center"/>
              <w:rPr>
                <w:sz w:val="28"/>
                <w:szCs w:val="28"/>
              </w:rPr>
            </w:pPr>
            <w:r w:rsidRPr="00B970FA">
              <w:rPr>
                <w:sz w:val="28"/>
                <w:szCs w:val="28"/>
              </w:rPr>
              <w:t>Assignment Title</w:t>
            </w:r>
          </w:p>
        </w:tc>
        <w:tc>
          <w:tcPr>
            <w:tcW w:w="4675" w:type="dxa"/>
          </w:tcPr>
          <w:p w14:paraId="50D0C122" w14:textId="2BECE0DE" w:rsidR="00B970FA" w:rsidRPr="00B970FA" w:rsidRDefault="00B970FA" w:rsidP="00B970FA">
            <w:pPr>
              <w:jc w:val="center"/>
              <w:cnfStyle w:val="000000100000" w:firstRow="0" w:lastRow="0" w:firstColumn="0" w:lastColumn="0" w:oddVBand="0" w:evenVBand="0" w:oddHBand="1" w:evenHBand="0" w:firstRowFirstColumn="0" w:firstRowLastColumn="0" w:lastRowFirstColumn="0" w:lastRowLastColumn="0"/>
              <w:rPr>
                <w:sz w:val="28"/>
                <w:szCs w:val="28"/>
              </w:rPr>
            </w:pPr>
            <w:r w:rsidRPr="00B970FA">
              <w:rPr>
                <w:sz w:val="28"/>
                <w:szCs w:val="28"/>
              </w:rPr>
              <w:t>Component 1: Presentation (Round-the-table Group Discussion</w:t>
            </w:r>
          </w:p>
        </w:tc>
      </w:tr>
    </w:tbl>
    <w:p w14:paraId="76C9CB5A" w14:textId="5A05B849" w:rsidR="00E1731A" w:rsidRDefault="00E1731A"/>
    <w:p w14:paraId="3B77BB98" w14:textId="77777777" w:rsidR="00B970FA" w:rsidRDefault="00B970FA"/>
    <w:p w14:paraId="5C535CFB" w14:textId="77777777" w:rsidR="00B970FA" w:rsidRDefault="00B970FA"/>
    <w:p w14:paraId="6A3E995C" w14:textId="77777777" w:rsidR="00E1731A" w:rsidRDefault="00E1731A"/>
    <w:p w14:paraId="0BD934BF" w14:textId="77777777" w:rsidR="00B970FA" w:rsidRDefault="00B970FA"/>
    <w:p w14:paraId="109B0A57" w14:textId="77777777" w:rsidR="00B970FA" w:rsidRDefault="00B970FA"/>
    <w:p w14:paraId="33729899" w14:textId="77777777" w:rsidR="00E1731A" w:rsidRDefault="00E1731A"/>
    <w:p w14:paraId="3D7184C8" w14:textId="77777777" w:rsidR="00697822" w:rsidRDefault="00697822">
      <w:pPr>
        <w:spacing w:line="278" w:lineRule="auto"/>
        <w:jc w:val="left"/>
        <w:rPr>
          <w:rFonts w:eastAsiaTheme="majorEastAsia" w:cstheme="majorBidi"/>
          <w:b/>
          <w:sz w:val="24"/>
          <w:szCs w:val="40"/>
        </w:rPr>
      </w:pPr>
      <w:r>
        <w:br w:type="page"/>
      </w:r>
    </w:p>
    <w:p w14:paraId="5F986BFC" w14:textId="4DC701DB" w:rsidR="00C62D42" w:rsidRDefault="00C62D42" w:rsidP="00E1731A">
      <w:pPr>
        <w:pStyle w:val="Heading1"/>
      </w:pPr>
      <w:r>
        <w:lastRenderedPageBreak/>
        <w:t>Introduction</w:t>
      </w:r>
    </w:p>
    <w:p w14:paraId="6C495EAF" w14:textId="756BB388" w:rsidR="00C62D42" w:rsidRDefault="00C62D42" w:rsidP="00C62D42">
      <w:r>
        <w:t xml:space="preserve">Hello everyone, </w:t>
      </w:r>
      <w:r w:rsidR="00B970FA">
        <w:t>my</w:t>
      </w:r>
      <w:r w:rsidRPr="00C62D42">
        <w:t xml:space="preserve"> name is Robena Khan. I’m presenting as the social worker. In this case I focused on child criminal exploitation risks, coordinated information from school/PRU, police, health and youth justice, mapped peer/place risks (routes, hotspots, older coercive peers), and proposed a trauma-informed, one-plan response with clear disruption actions against perpetrators</w:t>
      </w:r>
    </w:p>
    <w:p w14:paraId="32F3B0D1" w14:textId="75738885" w:rsidR="00E1731A" w:rsidRPr="00E1731A" w:rsidRDefault="00E1731A" w:rsidP="00E1731A">
      <w:pPr>
        <w:pStyle w:val="Heading1"/>
      </w:pPr>
      <w:r w:rsidRPr="00E1731A">
        <w:t>Children, young people and families’ perception of well-being</w:t>
      </w:r>
    </w:p>
    <w:p w14:paraId="49D30F54" w14:textId="77777777" w:rsidR="00E1731A" w:rsidRPr="00E1731A" w:rsidRDefault="00E1731A" w:rsidP="00E1731A">
      <w:r w:rsidRPr="00E1731A">
        <w:t xml:space="preserve">In this case, “F” was a 16-year-old boy who was murdered on 23 December 2020 after a planned attack connected to street-level drug activity and a small debt. “G” and “H” were peers involved in the attack; both had a history of violence between young people, exclusion from school, and involvement in drug supply. These letters are the </w:t>
      </w:r>
      <w:proofErr w:type="spellStart"/>
      <w:r w:rsidRPr="00E1731A">
        <w:t>anonymised</w:t>
      </w:r>
      <w:proofErr w:type="spellEnd"/>
      <w:r w:rsidRPr="00E1731A">
        <w:t xml:space="preserve"> labels used in the official Child Safeguarding Practice Review (CSPR) for Blackburn with Darwen, Blackpool and Lancashire (May 2023). As a social worker discussing this case, I need to start with how F and his family might have perceived “well-being.” For F, “being well” likely meant feeling safe from threats, having stable education, trusted adults, and a sense of belonging with friends. For his mother and wider family, well-being probably meant keeping F alive, safe, in school, and away from people who were exploiting him—plus getting timely help without being blamed when they asked for support.</w:t>
      </w:r>
    </w:p>
    <w:p w14:paraId="40FFD558" w14:textId="31847D8F" w:rsidR="00E1731A" w:rsidRPr="00E1731A" w:rsidRDefault="00E1731A" w:rsidP="00E1731A">
      <w:r w:rsidRPr="00E1731A">
        <w:t>The national guidance Working Together to Safeguard Children (2023) reminds us that safeguarding is everyone’s duty and that “well-being” is not only about health; it also includes protection from harm, stability, and positive relationships. The guidance sets out how all agencies must work together to help, support, safeguard and protect children (HM Government, 2023). In practice, that means the police, health, schools, youth justice, and children’s social care should jointly notice changes in a child’s daily life, share what they know, and act early when risks</w:t>
      </w:r>
      <w:r w:rsidR="003219DB">
        <w:t xml:space="preserve"> (</w:t>
      </w:r>
      <w:r w:rsidRPr="00E1731A">
        <w:t>like drug exploitation by peers or adults</w:t>
      </w:r>
      <w:r w:rsidR="003219DB">
        <w:t xml:space="preserve">) </w:t>
      </w:r>
      <w:r w:rsidRPr="00E1731A">
        <w:t xml:space="preserve">start to appear. In F’s world, well-being was being undermined by community-based risks (violence, debt coercion, weapons) that sat outside the family home. The “Contextual Safeguarding” approach explains this clearly: many harms for adolescents happen in peer groups, schools, streets and online spaces, so our help must also reach into those places, not only look at parenting (Firmin, 2017; 2020). </w:t>
      </w:r>
    </w:p>
    <w:p w14:paraId="31A863EA" w14:textId="63655ED5" w:rsidR="00E1731A" w:rsidRPr="00E1731A" w:rsidRDefault="00E1731A" w:rsidP="00E1731A">
      <w:r w:rsidRPr="00E1731A">
        <w:t xml:space="preserve">We also need to </w:t>
      </w:r>
      <w:proofErr w:type="spellStart"/>
      <w:r w:rsidRPr="00E1731A">
        <w:t>recognise</w:t>
      </w:r>
      <w:proofErr w:type="spellEnd"/>
      <w:r w:rsidRPr="00E1731A">
        <w:t xml:space="preserve"> the impact of Adverse Childhood Experiences (ACEs). Classic research shows that exposure to abuse, neglect, domestic violence, or family substance misuse increases the risk of later poor health, mental health problems and risk-taking (</w:t>
      </w:r>
      <w:proofErr w:type="spellStart"/>
      <w:r w:rsidRPr="00E1731A">
        <w:t>Felitti</w:t>
      </w:r>
      <w:proofErr w:type="spellEnd"/>
      <w:r w:rsidRPr="00E1731A">
        <w:t xml:space="preserve"> et al., 1998). More recent reviews confirm a dose-response pattern: the more ACEs, the higher the risk of </w:t>
      </w:r>
      <w:r w:rsidRPr="00E1731A">
        <w:lastRenderedPageBreak/>
        <w:t>harmful outcomes across the life course (Hughes et al., 2017; Senaratne et al., 2024). In simple terms, if F (or G and H) carried earlier adversity, that could have lowered their sense of safety and hope, made school feel less relevant, and made them more vulnerable to criminal exploitation. This is why, when I assess well-being, I ask about daily safety in school and streets, peer influences, and past adversity</w:t>
      </w:r>
      <w:r w:rsidR="003219DB">
        <w:t xml:space="preserve"> </w:t>
      </w:r>
      <w:r w:rsidRPr="00E1731A">
        <w:t>and I treat disclosures from families as early opportunities to help, not reasons to blame.</w:t>
      </w:r>
    </w:p>
    <w:p w14:paraId="240DE4C5" w14:textId="77777777" w:rsidR="00E1731A" w:rsidRPr="00E1731A" w:rsidRDefault="00E1731A" w:rsidP="00E1731A">
      <w:pPr>
        <w:rPr>
          <w:b/>
          <w:bCs/>
        </w:rPr>
      </w:pPr>
      <w:r w:rsidRPr="00E1731A">
        <w:rPr>
          <w:b/>
          <w:bCs/>
        </w:rPr>
        <w:t>b) Partnership working and communication in this case</w:t>
      </w:r>
    </w:p>
    <w:p w14:paraId="440E2E76" w14:textId="0D70BF3D" w:rsidR="00E1731A" w:rsidRPr="00E1731A" w:rsidRDefault="003219DB" w:rsidP="00E1731A">
      <w:r w:rsidRPr="003219DB">
        <w:t>In this case, a number of different agencies had regular involvement with F and his peers, but each tended to work with them separately rather than in a coordinated way.</w:t>
      </w:r>
      <w:r>
        <w:t xml:space="preserve"> </w:t>
      </w:r>
      <w:r w:rsidR="00E1731A" w:rsidRPr="00E1731A">
        <w:t xml:space="preserve">When I say </w:t>
      </w:r>
      <w:proofErr w:type="gramStart"/>
      <w:r w:rsidR="00E1731A" w:rsidRPr="00E1731A">
        <w:t>agencies</w:t>
      </w:r>
      <w:proofErr w:type="gramEnd"/>
      <w:r w:rsidR="00E1731A" w:rsidRPr="00E1731A">
        <w:t xml:space="preserve"> I mean the police (because of assaults, drug supply, weapons), Children’s Social Care and Family Help services (because of worries about harm), the Youth Justice Service (for arrests, community orders or diversion), health services including emergency departments and Child and Adolescent Mental Health Services (CAMHS) (for injuries, trauma, anxiety or low mood), and schools or alternative education providers. </w:t>
      </w:r>
      <w:r w:rsidRPr="003219DB">
        <w:t>In this case, education provision included a Pupil Referral Unit (PRU). A PRU is a type of school for children who cannot attend mainstream education, often after exclusion or when their needs cannot be met in a regular school. This is important in F’s story because placement in a PRU can sometimes reduce protective factors—such as peer stability and teacher continuity—while increasing exposure to other vulnerable young people, making coordinated support from all agencies even more crucial (Department for Education, 2025; GOV.UK, 2014/2025).</w:t>
      </w:r>
    </w:p>
    <w:p w14:paraId="6F1936FC" w14:textId="3D8C6077" w:rsidR="00E1731A" w:rsidRPr="00E1731A" w:rsidRDefault="00E1731A" w:rsidP="00E1731A">
      <w:r w:rsidRPr="00E1731A">
        <w:t xml:space="preserve">The law and guidance expect these agencies to share relevant information quickly and plan together. Working Together 2023 sets the standards for joint assessments, meetings and plans, including Section 17 “child in need” and Section 47 “child protection” work under the Children Act 1989 (HM Government, 2023). If risk is high, social workers must lead Section 47 enquiries with police and health to decide urgent action (legislation.gov.uk, s.47; NSPCC, 2024). Schools also have duties under Keeping Children Safe in Education (KCSIE) to identify concerns, talk to parents when safe, and work with other services (DfE, 2024). For local systems affected by violence between young people, the Serious Violence Duty (from January 2023) requires specified authorities, including police, local authorities and health bodies, to work together on prevention strategies (Home Office, 2022; GOV.UK overview, 2023). </w:t>
      </w:r>
    </w:p>
    <w:p w14:paraId="355F64BF" w14:textId="746184DC" w:rsidR="00E1731A" w:rsidRPr="00E1731A" w:rsidRDefault="00E1731A" w:rsidP="00E1731A">
      <w:r w:rsidRPr="00E1731A">
        <w:t>In the Child F review, there were many “contacts” across agencies</w:t>
      </w:r>
      <w:r w:rsidR="003219DB">
        <w:t xml:space="preserve"> </w:t>
      </w:r>
      <w:r w:rsidRPr="00E1731A">
        <w:t xml:space="preserve">for example, police incidents, school exclusions and PRU attendance issues, possible emergency department attendances for </w:t>
      </w:r>
      <w:r w:rsidRPr="00E1731A">
        <w:lastRenderedPageBreak/>
        <w:t>injuries, and social care involvement. The national panel’s thematic review “It was hard to escape” shows how, in cases like this across England, children at high risk of child criminal exploitation (CCE) often see many professionals but still don’t get timely, coordinated protection. Key gaps include late information-sharing, fragmented plans, and an over-focus on the child’s “choices” rather than on the exploiters who control them (Child Safeguarding Practice Review Panel, 2020; 2024). As a social worker, I link this directly to F’s case: every arrest, hospital contact, school exclusion and missing episode should have triggered a joined-up plan with clear disruption activity (targeting those harming him), safety planning with family, and education support that felt meaningful and safe.</w:t>
      </w:r>
    </w:p>
    <w:p w14:paraId="27A8CF53" w14:textId="77777777" w:rsidR="00E1731A" w:rsidRPr="00E1731A" w:rsidRDefault="00E1731A" w:rsidP="00E1731A">
      <w:pPr>
        <w:rPr>
          <w:b/>
          <w:bCs/>
        </w:rPr>
      </w:pPr>
      <w:r w:rsidRPr="00E1731A">
        <w:rPr>
          <w:b/>
          <w:bCs/>
        </w:rPr>
        <w:t>c) Critical analysis of the case and the assessment/intervention we should have used</w:t>
      </w:r>
    </w:p>
    <w:p w14:paraId="7F75373B" w14:textId="77777777" w:rsidR="00E1731A" w:rsidRPr="00E1731A" w:rsidRDefault="00E1731A" w:rsidP="00E1731A">
      <w:r w:rsidRPr="00E1731A">
        <w:t>Looking at F’s case through that lens, I see several critical issues.</w:t>
      </w:r>
    </w:p>
    <w:p w14:paraId="4ED4D303" w14:textId="0C946591" w:rsidR="00E1731A" w:rsidRPr="00E1731A" w:rsidRDefault="00E1731A" w:rsidP="00E1731A">
      <w:r w:rsidRPr="00E1731A">
        <w:t>First, on assessment: too often, assessment for adolescents focuses on parenting capacity alone and overlooks extra-familial risk. Contextual Safeguarding research shows that harm from peers and community settings demands that we assess schools, streets and networks, not just family dynamics (Firmin, 2017; 2020). In F’s case, risk flowed through peer relationships, local markets for drugs, and conflict over small debts. A robust assessment would have mapped F’s peer group—including G and H</w:t>
      </w:r>
      <w:r w:rsidR="003219DB">
        <w:t xml:space="preserve"> </w:t>
      </w:r>
      <w:r w:rsidRPr="00E1731A">
        <w:t>the locations of harm (PRU journey routes, parks, specific streets), the role of older exploiters, and key “pull” factors (money, status, belonging). That assessment should have been shared with the family in clear language so they could co-produce a safety plan.</w:t>
      </w:r>
    </w:p>
    <w:p w14:paraId="55AFE83D" w14:textId="5B959D01" w:rsidR="00E1731A" w:rsidRPr="00E1731A" w:rsidRDefault="00E1731A" w:rsidP="00E1731A">
      <w:r w:rsidRPr="00E1731A">
        <w:t>Second, on intervention: research on ACEs tells us that earlier adversity can weaken trust and reduce engagement with services (</w:t>
      </w:r>
      <w:proofErr w:type="spellStart"/>
      <w:r w:rsidRPr="00E1731A">
        <w:t>Felitti</w:t>
      </w:r>
      <w:proofErr w:type="spellEnd"/>
      <w:r w:rsidRPr="00E1731A">
        <w:t xml:space="preserve"> et al., 1998; Hughes et al., 2017). So, trauma-informed practice is not optional here—it means predictable appointments, one trusted lead professional, and support that feels practical: safe lifts to school, help with replacing stolen items, or rapid mental health support when panic or flashbacks appear. KCSIE expects education settings to provide early help and escalate concerns (DfE, 2024), and the Serious Violence Duty expects partnership prevention plans (Home Office, 2022). In simple terms: we needed one plan, one lead, and visible help the family could feel.</w:t>
      </w:r>
    </w:p>
    <w:p w14:paraId="586D574E" w14:textId="0F5FA5DF" w:rsidR="00E1731A" w:rsidRPr="00E1731A" w:rsidRDefault="00E1731A" w:rsidP="00E1731A">
      <w:r w:rsidRPr="00E1731A">
        <w:t xml:space="preserve">Third, on disruption: guidance on county lines explains that child criminal exploitation (CCE) often involves coercion, violence and weapons; disruption must target the perpetrators and the locations (Home Office, 2017/2023). The national panel’s report stresses that missed chances often include A&amp;E attendances, arrests and school exclusion points, where no joined-up disruption followed (Child Safeguarding Practice Review Panel, 2020). In F’s pattern, </w:t>
      </w:r>
      <w:proofErr w:type="gramStart"/>
      <w:r w:rsidRPr="00E1731A">
        <w:t>every</w:t>
      </w:r>
      <w:proofErr w:type="gramEnd"/>
      <w:r w:rsidRPr="00E1731A">
        <w:t xml:space="preserve"> police </w:t>
      </w:r>
      <w:r w:rsidRPr="00E1731A">
        <w:lastRenderedPageBreak/>
        <w:t>contact and exclusion should have triggered hotspot mapping, joint visits, and protective factors like safe travel routes.</w:t>
      </w:r>
    </w:p>
    <w:p w14:paraId="75BB41CB" w14:textId="5427EFBF" w:rsidR="00E1731A" w:rsidRPr="00E1731A" w:rsidRDefault="00E1731A" w:rsidP="00E1731A">
      <w:r w:rsidRPr="00E1731A">
        <w:t xml:space="preserve">Fourth, on protection: where a child faces significant harm from exploitation, Section 47 enquiries and a child protection conference can create a Child Protection Plan (CPP) that keeps multi-agency focus and accountability (Children Act 1989; Working Together 2023). That does not blame the family; instead, it </w:t>
      </w:r>
      <w:proofErr w:type="spellStart"/>
      <w:r w:rsidRPr="00E1731A">
        <w:t>recognises</w:t>
      </w:r>
      <w:proofErr w:type="spellEnd"/>
      <w:r w:rsidRPr="00E1731A">
        <w:t xml:space="preserve"> the child needs protection from criminal actors and risky contexts. Some areas now run multi-agency exploitation meetings that sit alongside child protection structures to keep attention on extra-familial risk; that approach would have fit F’s needs.</w:t>
      </w:r>
    </w:p>
    <w:p w14:paraId="2BD80F9E" w14:textId="1908A112" w:rsidR="00E1731A" w:rsidRPr="00E1731A" w:rsidRDefault="003219DB" w:rsidP="00E1731A">
      <w:r>
        <w:t>T</w:t>
      </w:r>
      <w:r w:rsidR="00E1731A" w:rsidRPr="00E1731A">
        <w:t>he system did have contact with F, G and H, but the work was fragmented and often late compared with the speed of exploitation. The national picture mirrors this: adolescents at high risk often remain “known to services” without receiving the right kind of protection (Child Safeguarding Practice Review Panel, 2020; 2024). To measure and enhance well-being, our interventions must be trauma-informed, coordinated, and targeted at the child’s social world—not only the family home. We should also judge success by meaningful outcomes: school attendance in a safe provision (including PRU where appropriate), reduced exposure to violent peers, fewer missing episodes, and the child’s own report that they feel safer.</w:t>
      </w:r>
    </w:p>
    <w:p w14:paraId="1ADBF871" w14:textId="77777777" w:rsidR="00E1731A" w:rsidRPr="00E1731A" w:rsidRDefault="00E1731A" w:rsidP="00E1731A">
      <w:pPr>
        <w:rPr>
          <w:b/>
          <w:bCs/>
        </w:rPr>
      </w:pPr>
      <w:r w:rsidRPr="00E1731A">
        <w:rPr>
          <w:b/>
          <w:bCs/>
        </w:rPr>
        <w:t>d) Conclusions on current policy, multi-disciplinary roles and their impact</w:t>
      </w:r>
    </w:p>
    <w:p w14:paraId="03D6CAF1" w14:textId="636B0D17" w:rsidR="00E1731A" w:rsidRPr="00E1731A" w:rsidRDefault="00E1731A" w:rsidP="00E1731A">
      <w:r w:rsidRPr="00E1731A">
        <w:t xml:space="preserve">Current policy gives us the tools we need if we use them together. Working Together 2023 clarifies multi-agency roles and insists on shared responsibility from early help through to child protection. It </w:t>
      </w:r>
      <w:proofErr w:type="spellStart"/>
      <w:r w:rsidRPr="00E1731A">
        <w:t>emphasises</w:t>
      </w:r>
      <w:proofErr w:type="spellEnd"/>
      <w:r w:rsidRPr="00E1731A">
        <w:t xml:space="preserve"> good information-sharing, critical challenge between professionals, and clear escalation routes when risks are disputed (HM Government, 2023). KCSIE places expectations on schools and colleges (including PRUs and alternative provision) to spot, record and share concerns, and to work with other services to protect pupils (DfE, 2024). The Serious Violence Duty requires local partnerships—including police, councils, health and (in practice) education—to plan prevention together (Home Office, 2022; GOV.UK, 2023). County lines and CCE guidance tells us to view exploited children as victims of abuse, not offenders (Home Office, 2017/2023). Contextual Safeguarding helps us focus on peers and places (Firmin, 2017; 2020). </w:t>
      </w:r>
    </w:p>
    <w:p w14:paraId="62342264" w14:textId="77777777" w:rsidR="00E1731A" w:rsidRPr="00E1731A" w:rsidRDefault="00E1731A" w:rsidP="00E1731A">
      <w:r w:rsidRPr="00E1731A">
        <w:t xml:space="preserve">In F’s case, these roles and duties were present in policy but not consistently felt by the family. The impact on F and his mother was that they experienced many professionals but not one strong protective plan. In my professional view, when multi-agency work is late or disjointed, children interpret that as “I am not really safe,” and families withdraw or feel blamed. When we apply the </w:t>
      </w:r>
      <w:r w:rsidRPr="00E1731A">
        <w:lastRenderedPageBreak/>
        <w:t>guidance well—one lead professional, one multi-agency plan, targeted disruption, and real education solutions—young people start to feel safer, families stay engaged, and peers who harm are disrupted sooner. That is the practical difference policy can make when it lives in day-to-day practice.</w:t>
      </w:r>
    </w:p>
    <w:p w14:paraId="051841EE" w14:textId="77777777" w:rsidR="00E1731A" w:rsidRPr="00E1731A" w:rsidRDefault="00E1731A" w:rsidP="00E1731A">
      <w:pPr>
        <w:rPr>
          <w:b/>
          <w:bCs/>
        </w:rPr>
      </w:pPr>
      <w:r w:rsidRPr="00E1731A">
        <w:rPr>
          <w:b/>
          <w:bCs/>
        </w:rPr>
        <w:t>e) Recommendations to improve multi- and inter-disciplinary practice</w:t>
      </w:r>
    </w:p>
    <w:p w14:paraId="0EA5F4A5" w14:textId="4BAF0CD0" w:rsidR="00E1731A" w:rsidRPr="00E1731A" w:rsidRDefault="00E1731A" w:rsidP="00E1731A">
      <w:r w:rsidRPr="00E1731A">
        <w:rPr>
          <w:b/>
          <w:bCs/>
        </w:rPr>
        <w:t>Speak one language, build one plan.</w:t>
      </w:r>
      <w:r w:rsidRPr="00E1731A">
        <w:t xml:space="preserve"> We should agree a shared exploitation plan with the child and family that all agencies contribute to, with a named lead who the family can contact. This aligns with Working </w:t>
      </w:r>
      <w:proofErr w:type="spellStart"/>
      <w:r w:rsidRPr="00E1731A">
        <w:t>Together’s</w:t>
      </w:r>
      <w:proofErr w:type="spellEnd"/>
      <w:r w:rsidRPr="00E1731A">
        <w:t xml:space="preserve"> expectations for coordinated multi-agency working and clear accountability (HM Government, 2023). </w:t>
      </w:r>
    </w:p>
    <w:p w14:paraId="0FA725BA" w14:textId="158B6287" w:rsidR="00E1731A" w:rsidRPr="00E1731A" w:rsidRDefault="00E1731A" w:rsidP="00E1731A">
      <w:r w:rsidRPr="00E1731A">
        <w:rPr>
          <w:b/>
          <w:bCs/>
        </w:rPr>
        <w:t>Assess the places and peers, not just the parenting.</w:t>
      </w:r>
      <w:r w:rsidRPr="00E1731A">
        <w:t xml:space="preserve"> Use Contextual Safeguarding tools to map peer networks, routes to and from the PRU, and community hotspots. Share the map across agencies so disruption and support are aimed at the same locations (Firmin, 2017; 2020). </w:t>
      </w:r>
    </w:p>
    <w:p w14:paraId="1A5F0480" w14:textId="1F4F9C27" w:rsidR="00E1731A" w:rsidRPr="00E1731A" w:rsidRDefault="00E1731A" w:rsidP="00E1731A">
      <w:r w:rsidRPr="00E1731A">
        <w:rPr>
          <w:b/>
          <w:bCs/>
        </w:rPr>
        <w:t>Treat exploitation as abuse, not “lifestyle.”</w:t>
      </w:r>
      <w:r w:rsidRPr="00E1731A">
        <w:t xml:space="preserve"> Make sure all staff—including in schools and emergency departments—use the county lines/CCE guidance language that frames children as victims of exploitation who need protection and disruption of perpetrators (Home Office, 2017/2023). </w:t>
      </w:r>
    </w:p>
    <w:p w14:paraId="4A3C5141" w14:textId="4C26461B" w:rsidR="00E1731A" w:rsidRPr="00E1731A" w:rsidRDefault="00E1731A" w:rsidP="00E1731A">
      <w:r w:rsidRPr="00E1731A">
        <w:rPr>
          <w:b/>
          <w:bCs/>
        </w:rPr>
        <w:t>Use statutory levers earlier and together.</w:t>
      </w:r>
      <w:r w:rsidRPr="00E1731A">
        <w:t xml:space="preserve"> Where risk is high, initiate Section 47 enquiries and, if needed, a Child Protection Conference, to create a Child Protection Plan that keeps multi-agency focus on safety from exploiters (Children Act 1989; NSPCC, 2024). </w:t>
      </w:r>
    </w:p>
    <w:p w14:paraId="070611A5" w14:textId="5339BFFD" w:rsidR="00E1731A" w:rsidRPr="00E1731A" w:rsidRDefault="00E1731A" w:rsidP="00E1731A">
      <w:r w:rsidRPr="00E1731A">
        <w:rPr>
          <w:b/>
          <w:bCs/>
        </w:rPr>
        <w:t>Make education feel safe and purposeful.</w:t>
      </w:r>
      <w:r w:rsidRPr="00E1731A">
        <w:t xml:space="preserve"> For pupils in PRUs or alternative provision, apply the updated AP guidance and KCSIE duties—focus on safe travel, mentoring, meaningful curriculum, and joint reviews with police and youth justice where risks spill into the journey to and from school (DfE, 2024; DfE AP guidance, 2025). </w:t>
      </w:r>
    </w:p>
    <w:p w14:paraId="0EDF910E" w14:textId="7FEF308A" w:rsidR="00E1731A" w:rsidRPr="00E1731A" w:rsidRDefault="00E1731A" w:rsidP="00E1731A">
      <w:r w:rsidRPr="00E1731A">
        <w:rPr>
          <w:b/>
          <w:bCs/>
        </w:rPr>
        <w:t>Disrupt perpetrators and risk locations.</w:t>
      </w:r>
      <w:r w:rsidRPr="00E1731A">
        <w:t xml:space="preserve"> Agree joint police-social care-education operations for identified hotspots, use civil orders where appropriate, and coordinate with community safety partnerships under the Serious Violence Duty (Home Office, 2022; GOV.UK, 2023). </w:t>
      </w:r>
    </w:p>
    <w:p w14:paraId="31CC7CB6" w14:textId="6987204E" w:rsidR="00E1731A" w:rsidRPr="00E1731A" w:rsidRDefault="00E1731A" w:rsidP="00E1731A">
      <w:r w:rsidRPr="00E1731A">
        <w:rPr>
          <w:b/>
          <w:bCs/>
        </w:rPr>
        <w:t>Be trauma-informed and family-affirming.</w:t>
      </w:r>
      <w:r w:rsidRPr="00E1731A">
        <w:t xml:space="preserve"> Build in predictable support, practical help that families can feel, and fast-track mental health input. The ACEs literature tells us that adversity undermines trust; our consistency and practical offers can rebuild it (</w:t>
      </w:r>
      <w:proofErr w:type="spellStart"/>
      <w:r w:rsidRPr="00E1731A">
        <w:t>Felitti</w:t>
      </w:r>
      <w:proofErr w:type="spellEnd"/>
      <w:r w:rsidRPr="00E1731A">
        <w:t xml:space="preserve"> et al., 1998; Hughes et al., 2017). </w:t>
      </w:r>
    </w:p>
    <w:p w14:paraId="0CD9158E" w14:textId="16262708" w:rsidR="00E1731A" w:rsidRPr="00E1731A" w:rsidRDefault="00E1731A" w:rsidP="00E1731A">
      <w:r w:rsidRPr="00E1731A">
        <w:rPr>
          <w:b/>
          <w:bCs/>
        </w:rPr>
        <w:lastRenderedPageBreak/>
        <w:t>Measure what matters to F and his mum.</w:t>
      </w:r>
      <w:r w:rsidRPr="00E1731A">
        <w:t xml:space="preserve"> Track the outcomes that show real safety: fewer threats, safer journeys, better attendance in a provision that feels safe, reduced contact with exploiters, and F’s own rating of how safe he feels. This aligns with the national panel’s call for practice that changes daily life, not just records activity (Child Safeguarding Practice Review Panel, 2020; 2024). </w:t>
      </w:r>
    </w:p>
    <w:p w14:paraId="7F1CAE57" w14:textId="1CE20439" w:rsidR="00E1731A" w:rsidRPr="00E1731A" w:rsidRDefault="00E1731A" w:rsidP="00E1731A"/>
    <w:p w14:paraId="5C3E1584" w14:textId="77777777" w:rsidR="00697822" w:rsidRDefault="00697822">
      <w:pPr>
        <w:spacing w:line="278" w:lineRule="auto"/>
        <w:jc w:val="left"/>
        <w:rPr>
          <w:b/>
          <w:bCs/>
        </w:rPr>
      </w:pPr>
      <w:r>
        <w:rPr>
          <w:b/>
          <w:bCs/>
        </w:rPr>
        <w:br w:type="page"/>
      </w:r>
    </w:p>
    <w:p w14:paraId="0A5943EF" w14:textId="46FFBE8E" w:rsidR="00E1731A" w:rsidRPr="00E1731A" w:rsidRDefault="00E1731A" w:rsidP="00E1731A">
      <w:pPr>
        <w:rPr>
          <w:b/>
          <w:bCs/>
        </w:rPr>
      </w:pPr>
      <w:r w:rsidRPr="00E1731A">
        <w:rPr>
          <w:b/>
          <w:bCs/>
        </w:rPr>
        <w:lastRenderedPageBreak/>
        <w:t xml:space="preserve">References </w:t>
      </w:r>
    </w:p>
    <w:p w14:paraId="6A22BD54" w14:textId="77777777" w:rsidR="00697822" w:rsidRPr="00E1731A" w:rsidRDefault="00697822" w:rsidP="00E1731A">
      <w:r w:rsidRPr="00E1731A">
        <w:t xml:space="preserve">Child Safeguarding Practice Review Panel. (2020). </w:t>
      </w:r>
      <w:r w:rsidRPr="00E1731A">
        <w:rPr>
          <w:i/>
          <w:iCs/>
        </w:rPr>
        <w:t>Safeguarding children at risk from criminal exploitation: It was hard to escape</w:t>
      </w:r>
      <w:r w:rsidRPr="00E1731A">
        <w:t xml:space="preserve"> (National review). </w:t>
      </w:r>
      <w:hyperlink r:id="rId7" w:tgtFrame="_new" w:history="1">
        <w:r w:rsidRPr="00E1731A">
          <w:rPr>
            <w:rStyle w:val="Hyperlink"/>
          </w:rPr>
          <w:t>https://assets.publishing.service.gov.uk/media/5e5e7f47e90e077e3385cb44/Safeguarding_children_at_risk_from_criminal_exploitation_review.pdf</w:t>
        </w:r>
      </w:hyperlink>
      <w:r w:rsidRPr="00E1731A">
        <w:t xml:space="preserve"> </w:t>
      </w:r>
    </w:p>
    <w:p w14:paraId="51C6365A" w14:textId="77777777" w:rsidR="00697822" w:rsidRPr="00E1731A" w:rsidRDefault="00697822" w:rsidP="00E1731A">
      <w:r w:rsidRPr="00E1731A">
        <w:t xml:space="preserve">Child Safeguarding Practice Review Panel. (2024). </w:t>
      </w:r>
      <w:r w:rsidRPr="00E1731A">
        <w:rPr>
          <w:i/>
          <w:iCs/>
        </w:rPr>
        <w:t>Annual report 2023 to 2024</w:t>
      </w:r>
      <w:r w:rsidRPr="00E1731A">
        <w:t xml:space="preserve">. Department for Education. </w:t>
      </w:r>
      <w:hyperlink r:id="rId8" w:tgtFrame="_new" w:history="1">
        <w:r w:rsidRPr="00E1731A">
          <w:rPr>
            <w:rStyle w:val="Hyperlink"/>
          </w:rPr>
          <w:t>https://assets.publishing.service.gov.uk/media/67c97b1dd0fba2f1334cf300/Child_Safeguarding_Practice_Review_Panel_annual_report_2023_to_2024.pdf</w:t>
        </w:r>
      </w:hyperlink>
      <w:r w:rsidRPr="00E1731A">
        <w:t xml:space="preserve"> </w:t>
      </w:r>
    </w:p>
    <w:p w14:paraId="3C1FF7AF" w14:textId="77777777" w:rsidR="00697822" w:rsidRPr="00E1731A" w:rsidRDefault="00697822" w:rsidP="00E1731A">
      <w:r w:rsidRPr="00E1731A">
        <w:t xml:space="preserve">Department for Education. (2024). </w:t>
      </w:r>
      <w:r w:rsidRPr="00E1731A">
        <w:rPr>
          <w:i/>
          <w:iCs/>
        </w:rPr>
        <w:t>Keeping children safe in education 2024</w:t>
      </w:r>
      <w:r w:rsidRPr="00E1731A">
        <w:t xml:space="preserve">. </w:t>
      </w:r>
      <w:hyperlink r:id="rId9" w:tgtFrame="_new" w:history="1">
        <w:r w:rsidRPr="00E1731A">
          <w:rPr>
            <w:rStyle w:val="Hyperlink"/>
          </w:rPr>
          <w:t>https://www.gov.uk/government/publications/keeping-children-safe-in-education--2</w:t>
        </w:r>
      </w:hyperlink>
      <w:r w:rsidRPr="00E1731A">
        <w:t xml:space="preserve"> </w:t>
      </w:r>
    </w:p>
    <w:p w14:paraId="316DB803" w14:textId="7FC85779" w:rsidR="00697822" w:rsidRPr="00E1731A" w:rsidRDefault="00697822" w:rsidP="00E1731A">
      <w:r w:rsidRPr="00E1731A">
        <w:t xml:space="preserve">Department for Education. (2025). </w:t>
      </w:r>
      <w:r w:rsidRPr="00E1731A">
        <w:rPr>
          <w:i/>
          <w:iCs/>
        </w:rPr>
        <w:t>Arranging alternative provision: A guide for local authorities and schools</w:t>
      </w:r>
      <w:r w:rsidRPr="00E1731A">
        <w:t xml:space="preserve"> (updated). </w:t>
      </w:r>
      <w:hyperlink r:id="rId10" w:tgtFrame="_new" w:history="1">
        <w:r w:rsidRPr="00E1731A">
          <w:rPr>
            <w:rStyle w:val="Hyperlink"/>
          </w:rPr>
          <w:t>https://assets.publishing.service.gov.uk/media/67a1ee367da1f1ac64e5fe2c/Arranging_Alternative_Provision_-_A_Guide_for_Local_Authorities_and_Schools.pdf</w:t>
        </w:r>
      </w:hyperlink>
    </w:p>
    <w:p w14:paraId="593910D9" w14:textId="2F9199DC" w:rsidR="00697822" w:rsidRPr="00E1731A" w:rsidRDefault="00697822" w:rsidP="00E1731A">
      <w:r w:rsidRPr="00E1731A">
        <w:t xml:space="preserve">Felitti, V. J., Anda, R. F., Nordenberg, D., Williamson, D. F., Spitz, A. M., Edwards, V., Koss, M. P., &amp; Marks, J. S. (1998). Relationship of childhood abuse and household dysfunction to many of the leading causes of death in adults: The Adverse Childhood Experiences (ACE) Study. </w:t>
      </w:r>
      <w:r w:rsidRPr="00E1731A">
        <w:rPr>
          <w:i/>
          <w:iCs/>
        </w:rPr>
        <w:t>American Journal of Preventive Medicine, 14</w:t>
      </w:r>
      <w:r w:rsidRPr="00E1731A">
        <w:t xml:space="preserve">(4), 245–258. https://doi.org/10.1016/S0749-3797(98)00017-8 </w:t>
      </w:r>
    </w:p>
    <w:p w14:paraId="7D4832CA" w14:textId="77777777" w:rsidR="00697822" w:rsidRPr="00E1731A" w:rsidRDefault="00697822" w:rsidP="00E1731A">
      <w:r w:rsidRPr="00E1731A">
        <w:t xml:space="preserve">Firmin, C. (2017). </w:t>
      </w:r>
      <w:r w:rsidRPr="00E1731A">
        <w:rPr>
          <w:i/>
          <w:iCs/>
        </w:rPr>
        <w:t>Contextual safeguarding: An overview of the operational, strategic and conceptual framework</w:t>
      </w:r>
      <w:r w:rsidRPr="00E1731A">
        <w:t xml:space="preserve">. University of Bedfordshire. </w:t>
      </w:r>
      <w:hyperlink r:id="rId11" w:tgtFrame="_new" w:history="1">
        <w:r w:rsidRPr="00E1731A">
          <w:rPr>
            <w:rStyle w:val="Hyperlink"/>
          </w:rPr>
          <w:t>https://uobrep.openrepository.com/handle/10547/624844</w:t>
        </w:r>
      </w:hyperlink>
      <w:r w:rsidRPr="00E1731A">
        <w:t xml:space="preserve"> </w:t>
      </w:r>
    </w:p>
    <w:p w14:paraId="55D1670B" w14:textId="77777777" w:rsidR="00697822" w:rsidRPr="00E1731A" w:rsidRDefault="00697822" w:rsidP="00E1731A">
      <w:r w:rsidRPr="00E1731A">
        <w:t xml:space="preserve">Firmin, C. (2020). </w:t>
      </w:r>
      <w:r w:rsidRPr="00E1731A">
        <w:rPr>
          <w:i/>
          <w:iCs/>
        </w:rPr>
        <w:t>Contextual safeguarding</w:t>
      </w:r>
      <w:r w:rsidRPr="00E1731A">
        <w:t xml:space="preserve"> (Academic insights briefing). What Works Centre for Children’s Social Care. </w:t>
      </w:r>
      <w:hyperlink r:id="rId12" w:tgtFrame="_new" w:history="1">
        <w:r w:rsidRPr="00E1731A">
          <w:rPr>
            <w:rStyle w:val="Hyperlink"/>
          </w:rPr>
          <w:t>https://cloud-platform-e218f50a4812967ba1215eaecede923f.s3.amazonaws.com/uploads/sites/32/2025/01/Academic-Insights-Contextual-Safeguarding-CF-Nov-20-for-design.pdf</w:t>
        </w:r>
      </w:hyperlink>
      <w:r w:rsidRPr="00E1731A">
        <w:t xml:space="preserve"> </w:t>
      </w:r>
    </w:p>
    <w:p w14:paraId="5D6AEDFB" w14:textId="77777777" w:rsidR="00697822" w:rsidRPr="00E1731A" w:rsidRDefault="00697822" w:rsidP="00E1731A">
      <w:r w:rsidRPr="00E1731A">
        <w:t xml:space="preserve">GOV.UK. (2014/2025). </w:t>
      </w:r>
      <w:r w:rsidRPr="00E1731A">
        <w:rPr>
          <w:i/>
          <w:iCs/>
        </w:rPr>
        <w:t>Pupil referral units (PRUs) and alternative provision</w:t>
      </w:r>
      <w:r w:rsidRPr="00E1731A">
        <w:t xml:space="preserve"> (What PRUs are and who they serve). </w:t>
      </w:r>
      <w:hyperlink r:id="rId13" w:tgtFrame="_new" w:history="1">
        <w:r w:rsidRPr="00E1731A">
          <w:rPr>
            <w:rStyle w:val="Hyperlink"/>
          </w:rPr>
          <w:t>https://www.gov.uk/guidance/pupil-referral-units-converting-to-alternative-provision-academies</w:t>
        </w:r>
      </w:hyperlink>
      <w:r w:rsidRPr="00E1731A">
        <w:t xml:space="preserve"> and </w:t>
      </w:r>
      <w:hyperlink r:id="rId14" w:tgtFrame="_new" w:history="1">
        <w:r w:rsidRPr="00E1731A">
          <w:rPr>
            <w:rStyle w:val="Hyperlink"/>
          </w:rPr>
          <w:t>https://www.gov.uk/government/publications/alternative-provision</w:t>
        </w:r>
      </w:hyperlink>
      <w:r w:rsidRPr="00E1731A">
        <w:t xml:space="preserve"> </w:t>
      </w:r>
    </w:p>
    <w:p w14:paraId="6A389FFB" w14:textId="77777777" w:rsidR="00697822" w:rsidRPr="00E1731A" w:rsidRDefault="00697822" w:rsidP="00E1731A">
      <w:r w:rsidRPr="00E1731A">
        <w:lastRenderedPageBreak/>
        <w:t xml:space="preserve">GOV.UK. (2023). </w:t>
      </w:r>
      <w:r w:rsidRPr="00E1731A">
        <w:rPr>
          <w:i/>
          <w:iCs/>
        </w:rPr>
        <w:t>Serious Violence Duty</w:t>
      </w:r>
      <w:r w:rsidRPr="00E1731A">
        <w:t xml:space="preserve"> (Overview page). </w:t>
      </w:r>
      <w:hyperlink r:id="rId15" w:tgtFrame="_new" w:history="1">
        <w:r w:rsidRPr="00E1731A">
          <w:rPr>
            <w:rStyle w:val="Hyperlink"/>
          </w:rPr>
          <w:t>https://www.gov.uk/government/publications/serious-violence-duty</w:t>
        </w:r>
      </w:hyperlink>
    </w:p>
    <w:p w14:paraId="195E4C4F" w14:textId="77777777" w:rsidR="00697822" w:rsidRPr="00E1731A" w:rsidRDefault="00697822" w:rsidP="00E1731A">
      <w:r w:rsidRPr="00E1731A">
        <w:t xml:space="preserve">HM Government. (2023). </w:t>
      </w:r>
      <w:r w:rsidRPr="00E1731A">
        <w:rPr>
          <w:i/>
          <w:iCs/>
        </w:rPr>
        <w:t>Working together to safeguard children 2023</w:t>
      </w:r>
      <w:r w:rsidRPr="00E1731A">
        <w:t xml:space="preserve"> (Statutory guidance). Department for Education. </w:t>
      </w:r>
      <w:hyperlink r:id="rId16" w:tgtFrame="_new" w:history="1">
        <w:r w:rsidRPr="00E1731A">
          <w:rPr>
            <w:rStyle w:val="Hyperlink"/>
          </w:rPr>
          <w:t>https://assets.publishing.service.gov.uk/media/669e7501ab418ab055592a7b/Working_together_to_safeguard_children_2023.pdf</w:t>
        </w:r>
      </w:hyperlink>
      <w:r w:rsidRPr="00E1731A">
        <w:t xml:space="preserve"> </w:t>
      </w:r>
    </w:p>
    <w:p w14:paraId="51A22A4C" w14:textId="77777777" w:rsidR="00697822" w:rsidRPr="00E1731A" w:rsidRDefault="00697822" w:rsidP="00E1731A">
      <w:r w:rsidRPr="00E1731A">
        <w:t xml:space="preserve">Home Office. (2017, updated 2023). </w:t>
      </w:r>
      <w:r w:rsidRPr="00E1731A">
        <w:rPr>
          <w:i/>
          <w:iCs/>
        </w:rPr>
        <w:t>Criminal exploitation of children and vulnerable adults: County lines</w:t>
      </w:r>
      <w:r w:rsidRPr="00E1731A">
        <w:t xml:space="preserve"> (Guidance). </w:t>
      </w:r>
      <w:hyperlink r:id="rId17" w:tgtFrame="_new" w:history="1">
        <w:r w:rsidRPr="00E1731A">
          <w:rPr>
            <w:rStyle w:val="Hyperlink"/>
          </w:rPr>
          <w:t>https://www.gov.uk/government/publications/criminal-exploitation-of-children-and-vulnerable-adults-county-lines</w:t>
        </w:r>
      </w:hyperlink>
      <w:r w:rsidRPr="00E1731A">
        <w:t xml:space="preserve"> </w:t>
      </w:r>
    </w:p>
    <w:p w14:paraId="553D76E8" w14:textId="77777777" w:rsidR="00697822" w:rsidRPr="00E1731A" w:rsidRDefault="00697822" w:rsidP="00E1731A">
      <w:r w:rsidRPr="00E1731A">
        <w:t xml:space="preserve">Home Office. (2022). </w:t>
      </w:r>
      <w:r w:rsidRPr="00E1731A">
        <w:rPr>
          <w:i/>
          <w:iCs/>
        </w:rPr>
        <w:t>Serious Violence Duty: Statutory guidance</w:t>
      </w:r>
      <w:r w:rsidRPr="00E1731A">
        <w:t xml:space="preserve"> (under the Police, Crime, Sentencing and Courts Act 2022). </w:t>
      </w:r>
      <w:hyperlink r:id="rId18" w:tgtFrame="_new" w:history="1">
        <w:r w:rsidRPr="00E1731A">
          <w:rPr>
            <w:rStyle w:val="Hyperlink"/>
          </w:rPr>
          <w:t>https://assets.publishing.service.gov.uk/media/639b2ec3e90e072186e1803c/Final_Serious_Violence_Duty_Statutory_Guidance_-_December_2022.pdf</w:t>
        </w:r>
      </w:hyperlink>
      <w:r w:rsidRPr="00E1731A">
        <w:t xml:space="preserve"> </w:t>
      </w:r>
    </w:p>
    <w:p w14:paraId="32077F32" w14:textId="77777777" w:rsidR="00697822" w:rsidRPr="00E1731A" w:rsidRDefault="00697822" w:rsidP="00E1731A">
      <w:r w:rsidRPr="00E1731A">
        <w:t xml:space="preserve">Hughes, K., Bellis, M. A., Hardcastle, K., Sethi, D., Butchart, A., </w:t>
      </w:r>
      <w:proofErr w:type="spellStart"/>
      <w:r w:rsidRPr="00E1731A">
        <w:t>Mikton</w:t>
      </w:r>
      <w:proofErr w:type="spellEnd"/>
      <w:r w:rsidRPr="00E1731A">
        <w:t xml:space="preserve">, C., Jones, L., &amp; Dunne, M. P. (2017). The effect of multiple adverse childhood experiences on health: A systematic review and meta-analysis. </w:t>
      </w:r>
      <w:r w:rsidRPr="00E1731A">
        <w:rPr>
          <w:i/>
          <w:iCs/>
        </w:rPr>
        <w:t>The Lancet Public Health, 2</w:t>
      </w:r>
      <w:r w:rsidRPr="00E1731A">
        <w:t xml:space="preserve">(8), e356–e366. https://doi.org/10.1016/S2468-2667(17)30118-4 </w:t>
      </w:r>
    </w:p>
    <w:p w14:paraId="64A75DA1" w14:textId="77777777" w:rsidR="00697822" w:rsidRPr="00E1731A" w:rsidRDefault="00697822" w:rsidP="00E1731A">
      <w:r w:rsidRPr="00E1731A">
        <w:t xml:space="preserve">Legislation.gov.uk. (1989). </w:t>
      </w:r>
      <w:r w:rsidRPr="00E1731A">
        <w:rPr>
          <w:i/>
          <w:iCs/>
        </w:rPr>
        <w:t>Children Act 1989, Section 47</w:t>
      </w:r>
      <w:r w:rsidRPr="00E1731A">
        <w:t xml:space="preserve"> (Enquiries into cases of child abuse). </w:t>
      </w:r>
      <w:hyperlink r:id="rId19" w:tgtFrame="_new" w:history="1">
        <w:r w:rsidRPr="00E1731A">
          <w:rPr>
            <w:rStyle w:val="Hyperlink"/>
          </w:rPr>
          <w:t>https://www.legislation.gov.uk/ukpga/1989/41/section/47</w:t>
        </w:r>
      </w:hyperlink>
      <w:r w:rsidRPr="00E1731A">
        <w:t xml:space="preserve"> </w:t>
      </w:r>
    </w:p>
    <w:p w14:paraId="03BFD9BC" w14:textId="77777777" w:rsidR="00697822" w:rsidRPr="00E1731A" w:rsidRDefault="00697822" w:rsidP="00E1731A">
      <w:r w:rsidRPr="00E1731A">
        <w:t xml:space="preserve">NSPCC Learning. (2024). </w:t>
      </w:r>
      <w:r w:rsidRPr="00E1731A">
        <w:rPr>
          <w:i/>
          <w:iCs/>
        </w:rPr>
        <w:t>Child protection system in England</w:t>
      </w:r>
      <w:r w:rsidRPr="00E1731A">
        <w:t xml:space="preserve"> (explains Section 47 enquiries and timelines). </w:t>
      </w:r>
      <w:hyperlink r:id="rId20" w:tgtFrame="_new" w:history="1">
        <w:r w:rsidRPr="00E1731A">
          <w:rPr>
            <w:rStyle w:val="Hyperlink"/>
          </w:rPr>
          <w:t>https://learning.nspcc.org.uk/child-protection-system/england</w:t>
        </w:r>
      </w:hyperlink>
      <w:r w:rsidRPr="00E1731A">
        <w:t xml:space="preserve"> </w:t>
      </w:r>
    </w:p>
    <w:p w14:paraId="7210B884" w14:textId="77777777" w:rsidR="00697822" w:rsidRPr="00E1731A" w:rsidRDefault="00697822" w:rsidP="00E1731A">
      <w:r w:rsidRPr="00E1731A">
        <w:t xml:space="preserve">NSPCC Learning. (2025). </w:t>
      </w:r>
      <w:r w:rsidRPr="00E1731A">
        <w:rPr>
          <w:i/>
          <w:iCs/>
        </w:rPr>
        <w:t>Working Together 2023: Summary of changes</w:t>
      </w:r>
      <w:r w:rsidRPr="00E1731A">
        <w:t xml:space="preserve"> (briefing). </w:t>
      </w:r>
      <w:hyperlink r:id="rId21" w:tgtFrame="_new" w:history="1">
        <w:r w:rsidRPr="00E1731A">
          <w:rPr>
            <w:rStyle w:val="Hyperlink"/>
          </w:rPr>
          <w:t>https://learning.nspcc.org.uk/research-resources/2023/working-together-to-safeguard-children-2023-summary-of-changes</w:t>
        </w:r>
      </w:hyperlink>
      <w:r w:rsidRPr="00E1731A">
        <w:t xml:space="preserve"> </w:t>
      </w:r>
    </w:p>
    <w:p w14:paraId="2959D7A3" w14:textId="77777777" w:rsidR="00E1731A" w:rsidRPr="00E1731A" w:rsidRDefault="00E1731A"/>
    <w:sectPr w:rsidR="00E1731A" w:rsidRPr="00E1731A">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372FE" w14:textId="77777777" w:rsidR="00945BF6" w:rsidRDefault="00945BF6" w:rsidP="00B970FA">
      <w:pPr>
        <w:spacing w:after="0" w:line="240" w:lineRule="auto"/>
      </w:pPr>
      <w:r>
        <w:separator/>
      </w:r>
    </w:p>
  </w:endnote>
  <w:endnote w:type="continuationSeparator" w:id="0">
    <w:p w14:paraId="4B820872" w14:textId="77777777" w:rsidR="00945BF6" w:rsidRDefault="00945BF6" w:rsidP="00B970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3C2D6" w14:textId="77777777" w:rsidR="00945BF6" w:rsidRDefault="00945BF6" w:rsidP="00B970FA">
      <w:pPr>
        <w:spacing w:after="0" w:line="240" w:lineRule="auto"/>
      </w:pPr>
      <w:r>
        <w:separator/>
      </w:r>
    </w:p>
  </w:footnote>
  <w:footnote w:type="continuationSeparator" w:id="0">
    <w:p w14:paraId="3EDAE02B" w14:textId="77777777" w:rsidR="00945BF6" w:rsidRDefault="00945BF6" w:rsidP="00B970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9308981"/>
      <w:docPartObj>
        <w:docPartGallery w:val="Page Numbers (Top of Page)"/>
        <w:docPartUnique/>
      </w:docPartObj>
    </w:sdtPr>
    <w:sdtEndPr>
      <w:rPr>
        <w:noProof/>
      </w:rPr>
    </w:sdtEndPr>
    <w:sdtContent>
      <w:p w14:paraId="23523E56" w14:textId="19716E26" w:rsidR="00B970FA" w:rsidRDefault="00B970F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CD045B4" w14:textId="77777777" w:rsidR="00B970FA" w:rsidRDefault="00B97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D26368"/>
    <w:multiLevelType w:val="multilevel"/>
    <w:tmpl w:val="9EBAF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5109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31A"/>
    <w:rsid w:val="003219DB"/>
    <w:rsid w:val="00343EE7"/>
    <w:rsid w:val="003863E3"/>
    <w:rsid w:val="005433DB"/>
    <w:rsid w:val="0058095A"/>
    <w:rsid w:val="00697822"/>
    <w:rsid w:val="00716F52"/>
    <w:rsid w:val="00761104"/>
    <w:rsid w:val="00945BF6"/>
    <w:rsid w:val="009C3E83"/>
    <w:rsid w:val="00A96F22"/>
    <w:rsid w:val="00B970FA"/>
    <w:rsid w:val="00C62D42"/>
    <w:rsid w:val="00E1731A"/>
    <w:rsid w:val="00FB2A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EE863"/>
  <w15:chartTrackingRefBased/>
  <w15:docId w15:val="{972BE810-61E3-4784-B9D5-E400DBDAD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31A"/>
    <w:pPr>
      <w:spacing w:line="360" w:lineRule="auto"/>
      <w:jc w:val="both"/>
    </w:pPr>
    <w:rPr>
      <w:rFonts w:ascii="Arial" w:hAnsi="Arial"/>
      <w:sz w:val="22"/>
    </w:rPr>
  </w:style>
  <w:style w:type="paragraph" w:styleId="Heading1">
    <w:name w:val="heading 1"/>
    <w:basedOn w:val="Normal"/>
    <w:next w:val="Normal"/>
    <w:link w:val="Heading1Char"/>
    <w:uiPriority w:val="9"/>
    <w:qFormat/>
    <w:rsid w:val="00E1731A"/>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uiPriority w:val="9"/>
    <w:semiHidden/>
    <w:unhideWhenUsed/>
    <w:qFormat/>
    <w:rsid w:val="00E1731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1731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1731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1731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1731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1731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1731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1731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31A"/>
    <w:rPr>
      <w:rFonts w:ascii="Arial" w:eastAsiaTheme="majorEastAsia" w:hAnsi="Arial" w:cstheme="majorBidi"/>
      <w:b/>
      <w:szCs w:val="40"/>
    </w:rPr>
  </w:style>
  <w:style w:type="character" w:customStyle="1" w:styleId="Heading2Char">
    <w:name w:val="Heading 2 Char"/>
    <w:basedOn w:val="DefaultParagraphFont"/>
    <w:link w:val="Heading2"/>
    <w:uiPriority w:val="9"/>
    <w:semiHidden/>
    <w:rsid w:val="00E173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1731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173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73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73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73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73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731A"/>
    <w:rPr>
      <w:rFonts w:eastAsiaTheme="majorEastAsia" w:cstheme="majorBidi"/>
      <w:color w:val="272727" w:themeColor="text1" w:themeTint="D8"/>
    </w:rPr>
  </w:style>
  <w:style w:type="paragraph" w:styleId="Title">
    <w:name w:val="Title"/>
    <w:basedOn w:val="Normal"/>
    <w:next w:val="Normal"/>
    <w:link w:val="TitleChar"/>
    <w:uiPriority w:val="10"/>
    <w:qFormat/>
    <w:rsid w:val="00E173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73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731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73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731A"/>
    <w:pPr>
      <w:spacing w:before="160"/>
      <w:jc w:val="center"/>
    </w:pPr>
    <w:rPr>
      <w:i/>
      <w:iCs/>
      <w:color w:val="404040" w:themeColor="text1" w:themeTint="BF"/>
    </w:rPr>
  </w:style>
  <w:style w:type="character" w:customStyle="1" w:styleId="QuoteChar">
    <w:name w:val="Quote Char"/>
    <w:basedOn w:val="DefaultParagraphFont"/>
    <w:link w:val="Quote"/>
    <w:uiPriority w:val="29"/>
    <w:rsid w:val="00E1731A"/>
    <w:rPr>
      <w:rFonts w:ascii="Arial" w:hAnsi="Arial"/>
      <w:i/>
      <w:iCs/>
      <w:color w:val="404040" w:themeColor="text1" w:themeTint="BF"/>
    </w:rPr>
  </w:style>
  <w:style w:type="paragraph" w:styleId="ListParagraph">
    <w:name w:val="List Paragraph"/>
    <w:basedOn w:val="Normal"/>
    <w:uiPriority w:val="34"/>
    <w:qFormat/>
    <w:rsid w:val="00E1731A"/>
    <w:pPr>
      <w:ind w:left="720"/>
      <w:contextualSpacing/>
    </w:pPr>
  </w:style>
  <w:style w:type="character" w:styleId="IntenseEmphasis">
    <w:name w:val="Intense Emphasis"/>
    <w:basedOn w:val="DefaultParagraphFont"/>
    <w:uiPriority w:val="21"/>
    <w:qFormat/>
    <w:rsid w:val="00E1731A"/>
    <w:rPr>
      <w:i/>
      <w:iCs/>
      <w:color w:val="2F5496" w:themeColor="accent1" w:themeShade="BF"/>
    </w:rPr>
  </w:style>
  <w:style w:type="paragraph" w:styleId="IntenseQuote">
    <w:name w:val="Intense Quote"/>
    <w:basedOn w:val="Normal"/>
    <w:next w:val="Normal"/>
    <w:link w:val="IntenseQuoteChar"/>
    <w:uiPriority w:val="30"/>
    <w:qFormat/>
    <w:rsid w:val="00E173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731A"/>
    <w:rPr>
      <w:rFonts w:ascii="Arial" w:hAnsi="Arial"/>
      <w:i/>
      <w:iCs/>
      <w:color w:val="2F5496" w:themeColor="accent1" w:themeShade="BF"/>
    </w:rPr>
  </w:style>
  <w:style w:type="character" w:styleId="IntenseReference">
    <w:name w:val="Intense Reference"/>
    <w:basedOn w:val="DefaultParagraphFont"/>
    <w:uiPriority w:val="32"/>
    <w:qFormat/>
    <w:rsid w:val="00E1731A"/>
    <w:rPr>
      <w:b/>
      <w:bCs/>
      <w:smallCaps/>
      <w:color w:val="2F5496" w:themeColor="accent1" w:themeShade="BF"/>
      <w:spacing w:val="5"/>
    </w:rPr>
  </w:style>
  <w:style w:type="character" w:styleId="Hyperlink">
    <w:name w:val="Hyperlink"/>
    <w:basedOn w:val="DefaultParagraphFont"/>
    <w:uiPriority w:val="99"/>
    <w:unhideWhenUsed/>
    <w:rsid w:val="00E1731A"/>
    <w:rPr>
      <w:color w:val="0563C1" w:themeColor="hyperlink"/>
      <w:u w:val="single"/>
    </w:rPr>
  </w:style>
  <w:style w:type="character" w:styleId="UnresolvedMention">
    <w:name w:val="Unresolved Mention"/>
    <w:basedOn w:val="DefaultParagraphFont"/>
    <w:uiPriority w:val="99"/>
    <w:semiHidden/>
    <w:unhideWhenUsed/>
    <w:rsid w:val="00E1731A"/>
    <w:rPr>
      <w:color w:val="605E5C"/>
      <w:shd w:val="clear" w:color="auto" w:fill="E1DFDD"/>
    </w:rPr>
  </w:style>
  <w:style w:type="table" w:styleId="TableGrid">
    <w:name w:val="Table Grid"/>
    <w:basedOn w:val="TableNormal"/>
    <w:uiPriority w:val="39"/>
    <w:rsid w:val="00B970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970F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B970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70FA"/>
    <w:rPr>
      <w:rFonts w:ascii="Arial" w:hAnsi="Arial"/>
      <w:sz w:val="22"/>
    </w:rPr>
  </w:style>
  <w:style w:type="paragraph" w:styleId="Footer">
    <w:name w:val="footer"/>
    <w:basedOn w:val="Normal"/>
    <w:link w:val="FooterChar"/>
    <w:uiPriority w:val="99"/>
    <w:unhideWhenUsed/>
    <w:rsid w:val="00B970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70FA"/>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7c97b1dd0fba2f1334cf300/Child_Safeguarding_Practice_Review_Panel_annual_report_2023_to_2024.pdf?utm_source=chatgpt.com" TargetMode="External"/><Relationship Id="rId13" Type="http://schemas.openxmlformats.org/officeDocument/2006/relationships/hyperlink" Target="https://www.gov.uk/guidance/pupil-referral-units-converting-to-alternative-provision-academies?utm_source=chatgpt.com" TargetMode="External"/><Relationship Id="rId18" Type="http://schemas.openxmlformats.org/officeDocument/2006/relationships/hyperlink" Target="https://assets.publishing.service.gov.uk/media/639b2ec3e90e072186e1803c/Final_Serious_Violence_Duty_Statutory_Guidance_-_December_2022.pdf?utm_source=chatgpt.com" TargetMode="External"/><Relationship Id="rId3" Type="http://schemas.openxmlformats.org/officeDocument/2006/relationships/settings" Target="settings.xml"/><Relationship Id="rId21" Type="http://schemas.openxmlformats.org/officeDocument/2006/relationships/hyperlink" Target="https://learning.nspcc.org.uk/research-resources/2023/working-together-to-safeguard-children-2023-summary-of-changes?utm_source=chatgpt.com" TargetMode="External"/><Relationship Id="rId7" Type="http://schemas.openxmlformats.org/officeDocument/2006/relationships/hyperlink" Target="https://assets.publishing.service.gov.uk/media/5e5e7f47e90e077e3385cb44/Safeguarding_children_at_risk_from_criminal_exploitation_review.pdf?utm_source=chatgpt.com" TargetMode="External"/><Relationship Id="rId12" Type="http://schemas.openxmlformats.org/officeDocument/2006/relationships/hyperlink" Target="https://cloud-platform-e218f50a4812967ba1215eaecede923f.s3.amazonaws.com/uploads/sites/32/2025/01/Academic-Insights-Contextual-Safeguarding-CF-Nov-20-for-design.pdf?utm_source=chatgpt.com" TargetMode="External"/><Relationship Id="rId17" Type="http://schemas.openxmlformats.org/officeDocument/2006/relationships/hyperlink" Target="https://www.gov.uk/government/publications/criminal-exploitation-of-children-and-vulnerable-adults-county-lines?utm_source=chatgpt.com" TargetMode="External"/><Relationship Id="rId2" Type="http://schemas.openxmlformats.org/officeDocument/2006/relationships/styles" Target="styles.xml"/><Relationship Id="rId16" Type="http://schemas.openxmlformats.org/officeDocument/2006/relationships/hyperlink" Target="https://assets.publishing.service.gov.uk/media/669e7501ab418ab055592a7b/Working_together_to_safeguard_children_2023.pdf?utm_source=chatgpt.com" TargetMode="External"/><Relationship Id="rId20" Type="http://schemas.openxmlformats.org/officeDocument/2006/relationships/hyperlink" Target="https://learning.nspcc.org.uk/child-protection-system/england?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obrep.openrepository.com/handle/10547/624844?utm_source=chatgpt.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publications/serious-violence-duty?utm_source=chatgpt.com" TargetMode="External"/><Relationship Id="rId23" Type="http://schemas.openxmlformats.org/officeDocument/2006/relationships/fontTable" Target="fontTable.xml"/><Relationship Id="rId10" Type="http://schemas.openxmlformats.org/officeDocument/2006/relationships/hyperlink" Target="https://assets.publishing.service.gov.uk/media/67a1ee367da1f1ac64e5fe2c/Arranging_Alternative_Provision_-_A_Guide_for_Local_Authorities_and_Schools.pdf?utm_source=chatgpt.com" TargetMode="External"/><Relationship Id="rId19" Type="http://schemas.openxmlformats.org/officeDocument/2006/relationships/hyperlink" Target="https://www.legislation.gov.uk/ukpga/1989/41/section/47?utm_source=chatgpt.com" TargetMode="External"/><Relationship Id="rId4" Type="http://schemas.openxmlformats.org/officeDocument/2006/relationships/webSettings" Target="webSettings.xml"/><Relationship Id="rId9" Type="http://schemas.openxmlformats.org/officeDocument/2006/relationships/hyperlink" Target="https://www.gov.uk/government/publications/keeping-children-safe-in-education--2?utm_source=chatgpt.com" TargetMode="External"/><Relationship Id="rId14" Type="http://schemas.openxmlformats.org/officeDocument/2006/relationships/hyperlink" Target="https://www.gov.uk/government/publications/alternative-provision?utm_source=chatgpt.co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3053</Words>
  <Characters>17407</Characters>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2025-10-02T16:24:00Z</dcterms:created>
  <dcterms:modified xsi:type="dcterms:W3CDTF">2025-10-21T13:05:00Z</dcterms:modified>
</cp:coreProperties>
</file>