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9857442" w14:textId="77777777" w:rsidR="009D44C3" w:rsidRDefault="009D44C3" w:rsidP="009D44C3">
      <w:pPr>
        <w:pStyle w:val="NormalWeb"/>
        <w:spacing w:after="0"/>
        <w:ind w:left="-180" w:right="-334"/>
      </w:pPr>
      <w:r>
        <w:rPr>
          <w:noProof/>
        </w:rPr>
        <w:drawing>
          <wp:inline distT="0" distB="0" distL="0" distR="0" wp14:anchorId="4E17EE59" wp14:editId="56E749EA">
            <wp:extent cx="1907540" cy="635635"/>
            <wp:effectExtent l="25400" t="25400" r="10160" b="12065"/>
            <wp:docPr id="1" name="Picture 1" descr="A black and white logo&#10;&#10;Description automatically generated"/>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Picture 1" descr="A black and white logo&#10;&#10;Description automatically generated"/>
                    <pic:cNvPicPr>
                      <a:picLocks/>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907540" cy="635635"/>
                    </a:xfrm>
                    <a:prstGeom prst="rect">
                      <a:avLst/>
                    </a:prstGeom>
                    <a:noFill/>
                    <a:ln w="19050" cmpd="sng">
                      <a:solidFill>
                        <a:srgbClr val="F6F6F6"/>
                      </a:solidFill>
                      <a:miter lim="800000"/>
                      <a:headEnd/>
                      <a:tailEnd/>
                    </a:ln>
                    <a:effectLst/>
                  </pic:spPr>
                </pic:pic>
              </a:graphicData>
            </a:graphic>
          </wp:inline>
        </w:drawing>
      </w:r>
    </w:p>
    <w:p w14:paraId="6FC9F06D" w14:textId="77777777" w:rsidR="009D44C3" w:rsidRDefault="009D44C3" w:rsidP="009D44C3">
      <w:pPr>
        <w:pStyle w:val="NormalWeb"/>
        <w:spacing w:after="0"/>
        <w:ind w:left="-180" w:right="-334"/>
      </w:pPr>
    </w:p>
    <w:p w14:paraId="31196761" w14:textId="77777777" w:rsidR="009D44C3" w:rsidRDefault="009D44C3" w:rsidP="009D44C3">
      <w:pPr>
        <w:pStyle w:val="NormalWeb"/>
        <w:spacing w:after="0"/>
        <w:ind w:left="-180" w:right="-334"/>
      </w:pPr>
    </w:p>
    <w:p w14:paraId="369FCFBA" w14:textId="77777777" w:rsidR="009D44C3" w:rsidRDefault="009D44C3" w:rsidP="009D44C3">
      <w:pPr>
        <w:pStyle w:val="NormalWeb"/>
        <w:spacing w:after="0"/>
        <w:ind w:left="-180" w:right="-334"/>
        <w:jc w:val="center"/>
        <w:rPr>
          <w:rFonts w:ascii="Arial" w:hAnsi="Arial" w:cs="Arial"/>
          <w:b/>
          <w:sz w:val="28"/>
          <w:szCs w:val="28"/>
          <w:lang w:val="cy-GB"/>
        </w:rPr>
      </w:pPr>
      <w:r w:rsidRPr="00230F35">
        <w:rPr>
          <w:rFonts w:ascii="Arial" w:hAnsi="Arial" w:cs="Arial"/>
          <w:b/>
          <w:sz w:val="28"/>
          <w:szCs w:val="28"/>
          <w:lang w:val="cy-GB"/>
        </w:rPr>
        <w:t>Postgraduate</w:t>
      </w:r>
      <w:r>
        <w:rPr>
          <w:rFonts w:ascii="Arial" w:hAnsi="Arial" w:cs="Arial"/>
          <w:b/>
          <w:sz w:val="28"/>
          <w:szCs w:val="28"/>
          <w:lang w:val="cy-GB"/>
        </w:rPr>
        <w:t xml:space="preserve">/Distance Learning </w:t>
      </w:r>
    </w:p>
    <w:p w14:paraId="2BF0E418" w14:textId="77777777" w:rsidR="009D44C3" w:rsidRPr="00230F35" w:rsidRDefault="009D44C3" w:rsidP="009D44C3">
      <w:pPr>
        <w:pStyle w:val="NormalWeb"/>
        <w:spacing w:after="0"/>
        <w:ind w:left="-180" w:right="-334"/>
        <w:jc w:val="center"/>
        <w:rPr>
          <w:rFonts w:ascii="Arial" w:hAnsi="Arial" w:cs="Arial"/>
          <w:b/>
          <w:sz w:val="28"/>
          <w:szCs w:val="28"/>
        </w:rPr>
      </w:pPr>
      <w:r>
        <w:rPr>
          <w:rFonts w:ascii="Arial" w:hAnsi="Arial" w:cs="Arial"/>
          <w:b/>
          <w:sz w:val="28"/>
          <w:szCs w:val="28"/>
          <w:lang w:val="cy-GB"/>
        </w:rPr>
        <w:t>A</w:t>
      </w:r>
      <w:r w:rsidRPr="00230F35">
        <w:rPr>
          <w:rFonts w:ascii="Arial" w:hAnsi="Arial" w:cs="Arial"/>
          <w:b/>
          <w:sz w:val="28"/>
          <w:szCs w:val="28"/>
          <w:lang w:val="cy-GB"/>
        </w:rPr>
        <w:t>ssignment coversheet &amp; feedback form</w:t>
      </w:r>
    </w:p>
    <w:p w14:paraId="536B382C" w14:textId="77777777" w:rsidR="009D44C3" w:rsidRPr="00230F35" w:rsidRDefault="009D44C3" w:rsidP="009D44C3">
      <w:pPr>
        <w:rPr>
          <w:rFonts w:ascii="Arial" w:hAnsi="Arial" w:cs="Arial"/>
          <w:sz w:val="28"/>
          <w:szCs w:val="28"/>
          <w:lang w:val="cy-GB"/>
        </w:rPr>
      </w:pPr>
    </w:p>
    <w:p w14:paraId="5356C673" w14:textId="77777777" w:rsidR="009D44C3" w:rsidRDefault="009D44C3" w:rsidP="009D44C3">
      <w:pPr>
        <w:pStyle w:val="Heading3"/>
        <w:jc w:val="center"/>
        <w:rPr>
          <w:lang w:val="cy-GB"/>
        </w:rPr>
      </w:pPr>
      <w:r>
        <w:rPr>
          <w:lang w:val="cy-GB"/>
        </w:rPr>
        <w:t>THIS SHEET MUST BE THE FIRST PAGE OF THE ASSIGNMENT YOU ARE SUBMITTING  (DO NOT SEND AS A SEPARATE FILE)</w:t>
      </w:r>
    </w:p>
    <w:p w14:paraId="43081B25" w14:textId="77777777" w:rsidR="009D44C3" w:rsidRDefault="009D44C3" w:rsidP="009D44C3">
      <w:pPr>
        <w:pStyle w:val="Heading3"/>
        <w:jc w:val="center"/>
        <w:rPr>
          <w:rFonts w:ascii="Trebuchet MS" w:hAnsi="Trebuchet MS"/>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788"/>
        <w:gridCol w:w="2266"/>
        <w:gridCol w:w="1802"/>
      </w:tblGrid>
      <w:tr w:rsidR="009D44C3" w:rsidRPr="00230F35" w14:paraId="6D0AEB98" w14:textId="77777777" w:rsidTr="005C75B4">
        <w:trPr>
          <w:trHeight w:val="614"/>
        </w:trPr>
        <w:tc>
          <w:tcPr>
            <w:tcW w:w="8856" w:type="dxa"/>
            <w:gridSpan w:val="3"/>
          </w:tcPr>
          <w:p w14:paraId="29062D77" w14:textId="77777777" w:rsidR="009D44C3" w:rsidRPr="00230F35" w:rsidRDefault="009D44C3" w:rsidP="005C75B4">
            <w:pPr>
              <w:pStyle w:val="NormalWeb"/>
              <w:spacing w:after="0"/>
              <w:ind w:right="34"/>
              <w:rPr>
                <w:rFonts w:ascii="Arial" w:hAnsi="Arial" w:cs="Arial"/>
                <w:sz w:val="22"/>
                <w:szCs w:val="22"/>
              </w:rPr>
            </w:pPr>
            <w:r w:rsidRPr="00230F35">
              <w:rPr>
                <w:rFonts w:ascii="Arial" w:hAnsi="Arial" w:cs="Arial"/>
                <w:b/>
                <w:sz w:val="22"/>
                <w:szCs w:val="22"/>
              </w:rPr>
              <w:t xml:space="preserve">For completion by </w:t>
            </w:r>
            <w:r>
              <w:rPr>
                <w:rFonts w:ascii="Arial" w:hAnsi="Arial" w:cs="Arial"/>
                <w:b/>
                <w:sz w:val="22"/>
                <w:szCs w:val="22"/>
              </w:rPr>
              <w:t xml:space="preserve">the </w:t>
            </w:r>
            <w:r w:rsidRPr="00230F35">
              <w:rPr>
                <w:rFonts w:ascii="Arial" w:hAnsi="Arial" w:cs="Arial"/>
                <w:b/>
                <w:sz w:val="22"/>
                <w:szCs w:val="22"/>
              </w:rPr>
              <w:t>student</w:t>
            </w:r>
            <w:r>
              <w:rPr>
                <w:rFonts w:ascii="Arial" w:hAnsi="Arial" w:cs="Arial"/>
                <w:sz w:val="22"/>
                <w:szCs w:val="22"/>
              </w:rPr>
              <w:t>:</w:t>
            </w:r>
          </w:p>
        </w:tc>
      </w:tr>
      <w:tr w:rsidR="009D44C3" w:rsidRPr="00230F35" w14:paraId="57A246F4" w14:textId="77777777" w:rsidTr="005C75B4">
        <w:trPr>
          <w:trHeight w:val="718"/>
        </w:trPr>
        <w:tc>
          <w:tcPr>
            <w:tcW w:w="8856" w:type="dxa"/>
            <w:gridSpan w:val="3"/>
          </w:tcPr>
          <w:p w14:paraId="56FD1D5B" w14:textId="77777777" w:rsidR="009D44C3" w:rsidRDefault="009D44C3" w:rsidP="005C75B4">
            <w:pPr>
              <w:pStyle w:val="NormalWeb"/>
              <w:spacing w:after="0"/>
              <w:ind w:right="34"/>
              <w:rPr>
                <w:rFonts w:ascii="Arial" w:hAnsi="Arial" w:cs="Arial"/>
                <w:sz w:val="22"/>
                <w:szCs w:val="22"/>
              </w:rPr>
            </w:pPr>
            <w:r w:rsidRPr="00230F35">
              <w:rPr>
                <w:rFonts w:ascii="Arial" w:hAnsi="Arial" w:cs="Arial"/>
                <w:sz w:val="22"/>
                <w:szCs w:val="22"/>
              </w:rPr>
              <w:t>Student Name:</w:t>
            </w:r>
            <w:r>
              <w:rPr>
                <w:rFonts w:ascii="Arial" w:hAnsi="Arial" w:cs="Arial"/>
                <w:sz w:val="22"/>
                <w:szCs w:val="22"/>
              </w:rPr>
              <w:t xml:space="preserve"> Rhian Herbert</w:t>
            </w:r>
          </w:p>
          <w:p w14:paraId="475BFEB4" w14:textId="77777777" w:rsidR="009D44C3" w:rsidRPr="00230F35" w:rsidRDefault="009D44C3" w:rsidP="005C75B4">
            <w:pPr>
              <w:pStyle w:val="NormalWeb"/>
              <w:spacing w:after="0"/>
              <w:ind w:right="34"/>
              <w:rPr>
                <w:rFonts w:ascii="Arial" w:hAnsi="Arial" w:cs="Arial"/>
                <w:sz w:val="22"/>
                <w:szCs w:val="22"/>
              </w:rPr>
            </w:pPr>
          </w:p>
          <w:p w14:paraId="2F4726A5" w14:textId="144D1F80" w:rsidR="009D44C3" w:rsidRPr="00230F35" w:rsidRDefault="009D44C3" w:rsidP="005C75B4">
            <w:pPr>
              <w:pStyle w:val="NormalWeb"/>
              <w:spacing w:after="0"/>
              <w:ind w:right="34"/>
              <w:rPr>
                <w:rFonts w:ascii="Arial" w:hAnsi="Arial" w:cs="Arial"/>
                <w:sz w:val="22"/>
                <w:szCs w:val="22"/>
              </w:rPr>
            </w:pPr>
            <w:r w:rsidRPr="00230F35">
              <w:rPr>
                <w:rFonts w:ascii="Arial" w:hAnsi="Arial" w:cs="Arial"/>
                <w:sz w:val="22"/>
                <w:szCs w:val="22"/>
              </w:rPr>
              <w:t xml:space="preserve">Student </w:t>
            </w:r>
            <w:r w:rsidRPr="00230F35">
              <w:rPr>
                <w:rFonts w:ascii="Arial" w:hAnsi="Arial" w:cs="Arial"/>
                <w:b/>
                <w:bCs/>
                <w:sz w:val="22"/>
                <w:szCs w:val="22"/>
                <w:u w:val="single"/>
              </w:rPr>
              <w:t>University</w:t>
            </w:r>
            <w:r w:rsidRPr="00230F35">
              <w:rPr>
                <w:rFonts w:ascii="Arial" w:hAnsi="Arial" w:cs="Arial"/>
                <w:sz w:val="22"/>
                <w:szCs w:val="22"/>
                <w:u w:val="single"/>
              </w:rPr>
              <w:t xml:space="preserve"> </w:t>
            </w:r>
            <w:r w:rsidRPr="00230F35">
              <w:rPr>
                <w:rFonts w:ascii="Arial" w:hAnsi="Arial" w:cs="Arial"/>
                <w:sz w:val="22"/>
                <w:szCs w:val="22"/>
              </w:rPr>
              <w:t xml:space="preserve">Email: </w:t>
            </w:r>
            <w:r w:rsidR="00E26A61">
              <w:rPr>
                <w:rFonts w:ascii="Arial" w:hAnsi="Arial" w:cs="Arial"/>
                <w:sz w:val="22"/>
                <w:szCs w:val="22"/>
              </w:rPr>
              <w:t>1402931@student.uwtsd.ac.uk</w:t>
            </w:r>
          </w:p>
        </w:tc>
      </w:tr>
      <w:tr w:rsidR="009D44C3" w:rsidRPr="00230F35" w14:paraId="4EAEE122" w14:textId="77777777" w:rsidTr="005C75B4">
        <w:trPr>
          <w:trHeight w:val="849"/>
        </w:trPr>
        <w:tc>
          <w:tcPr>
            <w:tcW w:w="4788" w:type="dxa"/>
          </w:tcPr>
          <w:p w14:paraId="0788F5A1" w14:textId="31222180" w:rsidR="009D44C3" w:rsidRPr="00230F35" w:rsidRDefault="009D44C3" w:rsidP="005C75B4">
            <w:pPr>
              <w:pStyle w:val="NormalWeb"/>
              <w:spacing w:after="0"/>
              <w:ind w:right="34"/>
              <w:rPr>
                <w:rFonts w:ascii="Arial" w:hAnsi="Arial" w:cs="Arial"/>
                <w:sz w:val="22"/>
                <w:szCs w:val="22"/>
              </w:rPr>
            </w:pPr>
            <w:r w:rsidRPr="00230F35">
              <w:rPr>
                <w:rFonts w:ascii="Arial" w:hAnsi="Arial" w:cs="Arial"/>
                <w:sz w:val="22"/>
                <w:szCs w:val="22"/>
              </w:rPr>
              <w:t>Module code:</w:t>
            </w:r>
            <w:r w:rsidR="00E26A61">
              <w:rPr>
                <w:rFonts w:ascii="Arial" w:hAnsi="Arial" w:cs="Arial"/>
                <w:sz w:val="22"/>
                <w:szCs w:val="22"/>
              </w:rPr>
              <w:t xml:space="preserve"> HPCA701</w:t>
            </w:r>
            <w:r w:rsidR="00FC3D0F">
              <w:rPr>
                <w:rFonts w:ascii="Arial" w:hAnsi="Arial" w:cs="Arial"/>
                <w:sz w:val="22"/>
                <w:szCs w:val="22"/>
              </w:rPr>
              <w:t>6</w:t>
            </w:r>
          </w:p>
          <w:p w14:paraId="2C43E60D" w14:textId="77777777" w:rsidR="009D44C3" w:rsidRPr="00230F35" w:rsidRDefault="009D44C3" w:rsidP="005C75B4">
            <w:pPr>
              <w:pStyle w:val="NormalWeb"/>
              <w:spacing w:after="0"/>
              <w:ind w:right="34"/>
              <w:rPr>
                <w:rFonts w:ascii="Arial" w:hAnsi="Arial" w:cs="Arial"/>
                <w:sz w:val="22"/>
                <w:szCs w:val="22"/>
              </w:rPr>
            </w:pPr>
          </w:p>
          <w:p w14:paraId="3A3F2DEA" w14:textId="5176841A" w:rsidR="00E26A61" w:rsidRDefault="009D44C3" w:rsidP="005C75B4">
            <w:pPr>
              <w:pStyle w:val="NormalWeb"/>
              <w:spacing w:after="0"/>
              <w:ind w:right="34"/>
              <w:rPr>
                <w:rFonts w:ascii="Arial" w:hAnsi="Arial" w:cs="Arial"/>
                <w:sz w:val="22"/>
                <w:szCs w:val="22"/>
              </w:rPr>
            </w:pPr>
            <w:r w:rsidRPr="00230F35">
              <w:rPr>
                <w:rFonts w:ascii="Arial" w:hAnsi="Arial" w:cs="Arial"/>
                <w:sz w:val="22"/>
                <w:szCs w:val="22"/>
              </w:rPr>
              <w:t>Module title:</w:t>
            </w:r>
            <w:r w:rsidR="00A25B09">
              <w:rPr>
                <w:rFonts w:ascii="Arial" w:hAnsi="Arial" w:cs="Arial"/>
                <w:sz w:val="22"/>
                <w:szCs w:val="22"/>
              </w:rPr>
              <w:t xml:space="preserve"> Researching Contemporary Cosmologies</w:t>
            </w:r>
          </w:p>
          <w:p w14:paraId="3D6DCAA8" w14:textId="578A803D" w:rsidR="009D44C3" w:rsidRPr="00230F35" w:rsidRDefault="009D44C3" w:rsidP="005C75B4">
            <w:pPr>
              <w:pStyle w:val="NormalWeb"/>
              <w:spacing w:after="0"/>
              <w:ind w:right="34"/>
              <w:rPr>
                <w:rFonts w:ascii="Arial" w:hAnsi="Arial" w:cs="Arial"/>
                <w:sz w:val="22"/>
                <w:szCs w:val="22"/>
              </w:rPr>
            </w:pPr>
          </w:p>
        </w:tc>
        <w:tc>
          <w:tcPr>
            <w:tcW w:w="2266" w:type="dxa"/>
          </w:tcPr>
          <w:p w14:paraId="496DBC55" w14:textId="77777777" w:rsidR="009D44C3" w:rsidRDefault="009D44C3" w:rsidP="005C75B4">
            <w:pPr>
              <w:pStyle w:val="NormalWeb"/>
              <w:spacing w:after="0"/>
              <w:ind w:right="34"/>
              <w:rPr>
                <w:rFonts w:ascii="Arial" w:hAnsi="Arial" w:cs="Arial"/>
                <w:sz w:val="22"/>
                <w:szCs w:val="22"/>
              </w:rPr>
            </w:pPr>
            <w:r w:rsidRPr="00230F35">
              <w:rPr>
                <w:rFonts w:ascii="Arial" w:hAnsi="Arial" w:cs="Arial"/>
                <w:sz w:val="22"/>
                <w:szCs w:val="22"/>
              </w:rPr>
              <w:t>Student ID number:</w:t>
            </w:r>
          </w:p>
          <w:p w14:paraId="38045D7B" w14:textId="2B964E19" w:rsidR="00E26A61" w:rsidRPr="00230F35" w:rsidRDefault="00E26A61" w:rsidP="005C75B4">
            <w:pPr>
              <w:pStyle w:val="NormalWeb"/>
              <w:spacing w:after="0"/>
              <w:ind w:right="34"/>
              <w:rPr>
                <w:rFonts w:ascii="Arial" w:hAnsi="Arial" w:cs="Arial"/>
                <w:sz w:val="22"/>
                <w:szCs w:val="22"/>
              </w:rPr>
            </w:pPr>
            <w:r>
              <w:rPr>
                <w:rFonts w:ascii="Arial" w:hAnsi="Arial" w:cs="Arial"/>
                <w:sz w:val="22"/>
                <w:szCs w:val="22"/>
              </w:rPr>
              <w:t>1402931</w:t>
            </w:r>
          </w:p>
        </w:tc>
        <w:tc>
          <w:tcPr>
            <w:tcW w:w="1802" w:type="dxa"/>
          </w:tcPr>
          <w:p w14:paraId="1A831858" w14:textId="77777777" w:rsidR="009D44C3" w:rsidRPr="00230F35" w:rsidRDefault="009D44C3" w:rsidP="005C75B4">
            <w:pPr>
              <w:pStyle w:val="NormalWeb"/>
              <w:spacing w:after="0"/>
              <w:ind w:right="34"/>
              <w:rPr>
                <w:rFonts w:ascii="Arial" w:hAnsi="Arial" w:cs="Arial"/>
                <w:sz w:val="22"/>
                <w:szCs w:val="22"/>
              </w:rPr>
            </w:pPr>
            <w:r w:rsidRPr="00230F35">
              <w:rPr>
                <w:rFonts w:ascii="Arial" w:hAnsi="Arial" w:cs="Arial"/>
                <w:sz w:val="22"/>
                <w:szCs w:val="22"/>
              </w:rPr>
              <w:t>Educational support needs:</w:t>
            </w:r>
          </w:p>
          <w:p w14:paraId="3249A796" w14:textId="0B66241C" w:rsidR="009D44C3" w:rsidRPr="00230F35" w:rsidRDefault="009D44C3" w:rsidP="005C75B4">
            <w:pPr>
              <w:pStyle w:val="NormalWeb"/>
              <w:spacing w:after="0"/>
              <w:ind w:right="34"/>
              <w:rPr>
                <w:rFonts w:ascii="Arial" w:hAnsi="Arial" w:cs="Arial"/>
                <w:sz w:val="22"/>
                <w:szCs w:val="22"/>
              </w:rPr>
            </w:pPr>
            <w:r w:rsidRPr="00230F35">
              <w:rPr>
                <w:rFonts w:ascii="Arial" w:hAnsi="Arial" w:cs="Arial"/>
                <w:sz w:val="22"/>
                <w:szCs w:val="22"/>
              </w:rPr>
              <w:t>No</w:t>
            </w:r>
          </w:p>
        </w:tc>
      </w:tr>
      <w:tr w:rsidR="009D44C3" w:rsidRPr="00230F35" w14:paraId="60AB6F66" w14:textId="77777777" w:rsidTr="005C75B4">
        <w:trPr>
          <w:trHeight w:val="1139"/>
        </w:trPr>
        <w:tc>
          <w:tcPr>
            <w:tcW w:w="8856" w:type="dxa"/>
            <w:gridSpan w:val="3"/>
          </w:tcPr>
          <w:p w14:paraId="6E801589" w14:textId="2E1DF8E6" w:rsidR="00E528F8" w:rsidRPr="00360E35" w:rsidRDefault="009D44C3" w:rsidP="00E528F8">
            <w:pPr>
              <w:pStyle w:val="NormalWeb"/>
              <w:spacing w:after="0"/>
              <w:ind w:right="34"/>
              <w:rPr>
                <w:rFonts w:ascii="Arial" w:hAnsi="Arial" w:cs="Arial"/>
                <w:sz w:val="22"/>
                <w:szCs w:val="22"/>
              </w:rPr>
            </w:pPr>
            <w:r w:rsidRPr="00230F35">
              <w:rPr>
                <w:rFonts w:ascii="Arial" w:hAnsi="Arial" w:cs="Arial"/>
                <w:sz w:val="22"/>
                <w:szCs w:val="22"/>
              </w:rPr>
              <w:t>Assignment title:</w:t>
            </w:r>
            <w:r w:rsidR="00E26A61">
              <w:rPr>
                <w:rFonts w:ascii="Arial" w:hAnsi="Arial" w:cs="Arial"/>
                <w:sz w:val="22"/>
                <w:szCs w:val="22"/>
              </w:rPr>
              <w:t xml:space="preserve"> </w:t>
            </w:r>
            <w:r w:rsidR="00E528F8" w:rsidRPr="00E528F8">
              <w:rPr>
                <w:rFonts w:ascii="Arial" w:hAnsi="Arial" w:cs="Arial"/>
                <w:sz w:val="22"/>
                <w:szCs w:val="22"/>
              </w:rPr>
              <w:t xml:space="preserve"> </w:t>
            </w:r>
            <w:r w:rsidR="0043648D">
              <w:rPr>
                <w:rFonts w:ascii="Arial" w:hAnsi="Arial" w:cs="Arial"/>
                <w:sz w:val="22"/>
                <w:szCs w:val="22"/>
              </w:rPr>
              <w:t>Compare and contrast two research papers</w:t>
            </w:r>
          </w:p>
          <w:p w14:paraId="604F15AC" w14:textId="77777777" w:rsidR="009D44C3" w:rsidRPr="00360E35" w:rsidRDefault="009D44C3" w:rsidP="005C75B4">
            <w:pPr>
              <w:pStyle w:val="NormalWeb"/>
              <w:spacing w:after="0"/>
              <w:ind w:right="34"/>
              <w:rPr>
                <w:rFonts w:ascii="Arial" w:hAnsi="Arial" w:cs="Arial"/>
                <w:sz w:val="22"/>
                <w:szCs w:val="22"/>
              </w:rPr>
            </w:pPr>
          </w:p>
          <w:p w14:paraId="54FF5E8B" w14:textId="77777777" w:rsidR="009D44C3" w:rsidRDefault="009D44C3" w:rsidP="005C75B4">
            <w:pPr>
              <w:pStyle w:val="NormalWeb"/>
              <w:spacing w:after="0"/>
              <w:ind w:right="34"/>
              <w:rPr>
                <w:rFonts w:ascii="Arial" w:hAnsi="Arial" w:cs="Arial"/>
                <w:sz w:val="22"/>
                <w:szCs w:val="22"/>
              </w:rPr>
            </w:pPr>
          </w:p>
          <w:p w14:paraId="63DAEC63" w14:textId="520BC149" w:rsidR="009D44C3" w:rsidRPr="00230F35" w:rsidRDefault="009D44C3" w:rsidP="005C75B4">
            <w:pPr>
              <w:pStyle w:val="NormalWeb"/>
              <w:spacing w:after="0"/>
              <w:ind w:right="34"/>
              <w:rPr>
                <w:rFonts w:ascii="Arial" w:hAnsi="Arial" w:cs="Arial"/>
                <w:sz w:val="22"/>
                <w:szCs w:val="22"/>
              </w:rPr>
            </w:pPr>
            <w:r w:rsidRPr="00230F35">
              <w:rPr>
                <w:rFonts w:ascii="Arial" w:hAnsi="Arial" w:cs="Arial"/>
                <w:sz w:val="22"/>
                <w:szCs w:val="22"/>
              </w:rPr>
              <w:t>Assignment due date:</w:t>
            </w:r>
            <w:r w:rsidR="00E26A61">
              <w:rPr>
                <w:rFonts w:ascii="Arial" w:hAnsi="Arial" w:cs="Arial"/>
                <w:sz w:val="22"/>
                <w:szCs w:val="22"/>
              </w:rPr>
              <w:t xml:space="preserve"> </w:t>
            </w:r>
            <w:r w:rsidR="00FC3D0F">
              <w:rPr>
                <w:rFonts w:ascii="Arial" w:hAnsi="Arial" w:cs="Arial"/>
                <w:sz w:val="22"/>
                <w:szCs w:val="22"/>
              </w:rPr>
              <w:t>17 March</w:t>
            </w:r>
            <w:r w:rsidR="00CF5C1C">
              <w:rPr>
                <w:rFonts w:ascii="Arial" w:hAnsi="Arial" w:cs="Arial"/>
                <w:sz w:val="22"/>
                <w:szCs w:val="22"/>
              </w:rPr>
              <w:t xml:space="preserve"> 2025</w:t>
            </w:r>
          </w:p>
        </w:tc>
      </w:tr>
      <w:tr w:rsidR="009D44C3" w:rsidRPr="00230F35" w14:paraId="6CE9225E" w14:textId="77777777" w:rsidTr="005C75B4">
        <w:trPr>
          <w:trHeight w:val="978"/>
        </w:trPr>
        <w:tc>
          <w:tcPr>
            <w:tcW w:w="8856" w:type="dxa"/>
            <w:gridSpan w:val="3"/>
            <w:tcBorders>
              <w:bottom w:val="single" w:sz="4" w:space="0" w:color="000000"/>
            </w:tcBorders>
          </w:tcPr>
          <w:p w14:paraId="2BDD894D" w14:textId="1C7FD91F" w:rsidR="009D44C3" w:rsidRPr="00230F35" w:rsidRDefault="009D44C3" w:rsidP="005C75B4">
            <w:pPr>
              <w:rPr>
                <w:rFonts w:ascii="Arial" w:hAnsi="Arial" w:cs="Arial"/>
                <w:sz w:val="22"/>
                <w:szCs w:val="22"/>
              </w:rPr>
            </w:pPr>
            <w:r w:rsidRPr="00230F35">
              <w:rPr>
                <w:rFonts w:ascii="Arial" w:hAnsi="Arial" w:cs="Arial"/>
                <w:sz w:val="22"/>
                <w:szCs w:val="22"/>
              </w:rPr>
              <w:t>This assignment is for the       1</w:t>
            </w:r>
            <w:r w:rsidRPr="00230F35">
              <w:rPr>
                <w:rFonts w:ascii="Arial" w:hAnsi="Arial" w:cs="Arial"/>
                <w:sz w:val="22"/>
                <w:szCs w:val="22"/>
                <w:vertAlign w:val="superscript"/>
              </w:rPr>
              <w:t>st</w:t>
            </w:r>
            <w:r w:rsidR="00A47FD5" w:rsidRPr="00230F35">
              <w:rPr>
                <w:rFonts w:ascii="Arial" w:hAnsi="Arial" w:cs="Arial"/>
                <w:sz w:val="22"/>
                <w:szCs w:val="22"/>
              </w:rPr>
              <w:t xml:space="preserve"> </w:t>
            </w:r>
            <w:r w:rsidR="00FC3D0F" w:rsidRPr="00230F35">
              <w:rPr>
                <w:rFonts w:ascii="Arial" w:hAnsi="Arial" w:cs="Arial"/>
                <w:sz w:val="22"/>
                <w:szCs w:val="22"/>
              </w:rPr>
              <w:t xml:space="preserve"> </w:t>
            </w:r>
            <w:r w:rsidR="00FC3D0F" w:rsidRPr="00230F35">
              <w:rPr>
                <w:rFonts w:ascii="Arial" w:hAnsi="Arial" w:cs="Arial"/>
                <w:sz w:val="22"/>
                <w:szCs w:val="22"/>
              </w:rPr>
              <w:fldChar w:fldCharType="begin">
                <w:ffData>
                  <w:name w:val="Check15"/>
                  <w:enabled/>
                  <w:calcOnExit w:val="0"/>
                  <w:checkBox>
                    <w:sizeAuto/>
                    <w:default w:val="0"/>
                  </w:checkBox>
                </w:ffData>
              </w:fldChar>
            </w:r>
            <w:bookmarkStart w:id="0" w:name="Check15"/>
            <w:r w:rsidR="00FC3D0F" w:rsidRPr="00230F35">
              <w:rPr>
                <w:rFonts w:ascii="Arial" w:hAnsi="Arial" w:cs="Arial"/>
                <w:sz w:val="22"/>
                <w:szCs w:val="22"/>
              </w:rPr>
              <w:instrText xml:space="preserve"> FORMCHECKBOX </w:instrText>
            </w:r>
            <w:r w:rsidR="00FC3D0F" w:rsidRPr="00230F35">
              <w:rPr>
                <w:rFonts w:ascii="Arial" w:hAnsi="Arial" w:cs="Arial"/>
                <w:sz w:val="22"/>
                <w:szCs w:val="22"/>
              </w:rPr>
            </w:r>
            <w:r w:rsidR="00FC3D0F" w:rsidRPr="00230F35">
              <w:rPr>
                <w:rFonts w:ascii="Arial" w:hAnsi="Arial" w:cs="Arial"/>
                <w:sz w:val="22"/>
                <w:szCs w:val="22"/>
              </w:rPr>
              <w:fldChar w:fldCharType="separate"/>
            </w:r>
            <w:r w:rsidR="00FC3D0F" w:rsidRPr="00230F35">
              <w:rPr>
                <w:rFonts w:ascii="Arial" w:hAnsi="Arial" w:cs="Arial"/>
                <w:sz w:val="22"/>
                <w:szCs w:val="22"/>
              </w:rPr>
              <w:fldChar w:fldCharType="end"/>
            </w:r>
            <w:bookmarkEnd w:id="0"/>
            <w:r w:rsidR="00FC3D0F">
              <w:rPr>
                <w:rFonts w:ascii="Arial" w:hAnsi="Arial" w:cs="Arial"/>
                <w:sz w:val="22"/>
                <w:szCs w:val="22"/>
              </w:rPr>
              <w:t xml:space="preserve"> </w:t>
            </w:r>
            <w:r w:rsidRPr="00230F35">
              <w:rPr>
                <w:rFonts w:ascii="Arial" w:hAnsi="Arial" w:cs="Arial"/>
                <w:sz w:val="22"/>
                <w:szCs w:val="22"/>
              </w:rPr>
              <w:t xml:space="preserve">   2</w:t>
            </w:r>
            <w:r w:rsidRPr="00230F35">
              <w:rPr>
                <w:rFonts w:ascii="Arial" w:hAnsi="Arial" w:cs="Arial"/>
                <w:sz w:val="22"/>
                <w:szCs w:val="22"/>
                <w:vertAlign w:val="superscript"/>
              </w:rPr>
              <w:t>nd</w:t>
            </w:r>
            <w:r w:rsidRPr="00230F35">
              <w:rPr>
                <w:rFonts w:ascii="Arial" w:hAnsi="Arial" w:cs="Arial"/>
                <w:sz w:val="22"/>
                <w:szCs w:val="22"/>
              </w:rPr>
              <w:t xml:space="preserve"> </w:t>
            </w:r>
            <w:r w:rsidR="00FC3D0F">
              <w:rPr>
                <w:rFonts w:ascii="Arial" w:hAnsi="Arial" w:cs="Arial"/>
                <w:sz w:val="22"/>
                <w:szCs w:val="22"/>
              </w:rPr>
              <w:t>x</w:t>
            </w:r>
            <w:r w:rsidRPr="00230F35">
              <w:rPr>
                <w:rFonts w:ascii="Arial" w:hAnsi="Arial" w:cs="Arial"/>
                <w:sz w:val="22"/>
                <w:szCs w:val="22"/>
              </w:rPr>
              <w:t xml:space="preserve">   3</w:t>
            </w:r>
            <w:r w:rsidRPr="00230F35">
              <w:rPr>
                <w:rFonts w:ascii="Arial" w:hAnsi="Arial" w:cs="Arial"/>
                <w:sz w:val="22"/>
                <w:szCs w:val="22"/>
                <w:vertAlign w:val="superscript"/>
              </w:rPr>
              <w:t>rd</w:t>
            </w:r>
            <w:r w:rsidR="00A47FD5">
              <w:rPr>
                <w:rFonts w:ascii="Arial" w:hAnsi="Arial" w:cs="Arial"/>
                <w:sz w:val="22"/>
                <w:szCs w:val="22"/>
                <w:vertAlign w:val="superscript"/>
              </w:rPr>
              <w:t xml:space="preserve"> </w:t>
            </w:r>
            <w:r w:rsidR="00A47FD5" w:rsidRPr="00230F35">
              <w:rPr>
                <w:rFonts w:ascii="Arial" w:hAnsi="Arial" w:cs="Arial"/>
                <w:sz w:val="22"/>
                <w:szCs w:val="22"/>
              </w:rPr>
              <w:fldChar w:fldCharType="begin">
                <w:ffData>
                  <w:name w:val="Check14"/>
                  <w:enabled/>
                  <w:calcOnExit w:val="0"/>
                  <w:checkBox>
                    <w:sizeAuto/>
                    <w:default w:val="0"/>
                  </w:checkBox>
                </w:ffData>
              </w:fldChar>
            </w:r>
            <w:bookmarkStart w:id="1" w:name="Check14"/>
            <w:r w:rsidR="00A47FD5" w:rsidRPr="00230F35">
              <w:rPr>
                <w:rFonts w:ascii="Arial" w:hAnsi="Arial" w:cs="Arial"/>
                <w:sz w:val="22"/>
                <w:szCs w:val="22"/>
              </w:rPr>
              <w:instrText xml:space="preserve"> FORMCHECKBOX </w:instrText>
            </w:r>
            <w:r w:rsidR="00A47FD5" w:rsidRPr="00230F35">
              <w:rPr>
                <w:rFonts w:ascii="Arial" w:hAnsi="Arial" w:cs="Arial"/>
                <w:sz w:val="22"/>
                <w:szCs w:val="22"/>
              </w:rPr>
            </w:r>
            <w:r w:rsidR="00A47FD5" w:rsidRPr="00230F35">
              <w:rPr>
                <w:rFonts w:ascii="Arial" w:hAnsi="Arial" w:cs="Arial"/>
                <w:sz w:val="22"/>
                <w:szCs w:val="22"/>
              </w:rPr>
              <w:fldChar w:fldCharType="separate"/>
            </w:r>
            <w:r w:rsidR="00A47FD5" w:rsidRPr="00230F35">
              <w:rPr>
                <w:rFonts w:ascii="Arial" w:hAnsi="Arial" w:cs="Arial"/>
                <w:sz w:val="22"/>
                <w:szCs w:val="22"/>
              </w:rPr>
              <w:fldChar w:fldCharType="end"/>
            </w:r>
            <w:bookmarkEnd w:id="1"/>
            <w:r w:rsidRPr="00230F35">
              <w:rPr>
                <w:rFonts w:ascii="Arial" w:hAnsi="Arial" w:cs="Arial"/>
                <w:sz w:val="22"/>
                <w:szCs w:val="22"/>
              </w:rPr>
              <w:t xml:space="preserve">   4</w:t>
            </w:r>
            <w:r w:rsidRPr="00230F35">
              <w:rPr>
                <w:rFonts w:ascii="Arial" w:hAnsi="Arial" w:cs="Arial"/>
                <w:sz w:val="22"/>
                <w:szCs w:val="22"/>
                <w:vertAlign w:val="superscript"/>
              </w:rPr>
              <w:t>th</w:t>
            </w:r>
            <w:r w:rsidRPr="00230F35">
              <w:rPr>
                <w:rFonts w:ascii="Arial" w:hAnsi="Arial" w:cs="Arial"/>
                <w:sz w:val="22"/>
                <w:szCs w:val="22"/>
              </w:rPr>
              <w:t xml:space="preserve"> </w:t>
            </w:r>
            <w:r w:rsidRPr="00230F35">
              <w:rPr>
                <w:rFonts w:ascii="Arial" w:hAnsi="Arial" w:cs="Arial"/>
                <w:sz w:val="22"/>
                <w:szCs w:val="22"/>
              </w:rPr>
              <w:fldChar w:fldCharType="begin">
                <w:ffData>
                  <w:name w:val="Check16"/>
                  <w:enabled/>
                  <w:calcOnExit w:val="0"/>
                  <w:checkBox>
                    <w:sizeAuto/>
                    <w:default w:val="0"/>
                  </w:checkBox>
                </w:ffData>
              </w:fldChar>
            </w:r>
            <w:bookmarkStart w:id="2" w:name="Check16"/>
            <w:r w:rsidRPr="00230F35">
              <w:rPr>
                <w:rFonts w:ascii="Arial" w:hAnsi="Arial" w:cs="Arial"/>
                <w:sz w:val="22"/>
                <w:szCs w:val="22"/>
              </w:rPr>
              <w:instrText xml:space="preserve"> FORMCHECKBOX </w:instrText>
            </w:r>
            <w:r w:rsidRPr="00230F35">
              <w:rPr>
                <w:rFonts w:ascii="Arial" w:hAnsi="Arial" w:cs="Arial"/>
                <w:sz w:val="22"/>
                <w:szCs w:val="22"/>
              </w:rPr>
            </w:r>
            <w:r w:rsidRPr="00230F35">
              <w:rPr>
                <w:rFonts w:ascii="Arial" w:hAnsi="Arial" w:cs="Arial"/>
                <w:sz w:val="22"/>
                <w:szCs w:val="22"/>
              </w:rPr>
              <w:fldChar w:fldCharType="separate"/>
            </w:r>
            <w:r w:rsidRPr="00230F35">
              <w:rPr>
                <w:rFonts w:ascii="Arial" w:hAnsi="Arial" w:cs="Arial"/>
                <w:sz w:val="22"/>
                <w:szCs w:val="22"/>
              </w:rPr>
              <w:fldChar w:fldCharType="end"/>
            </w:r>
            <w:bookmarkEnd w:id="2"/>
            <w:r w:rsidRPr="00230F35">
              <w:rPr>
                <w:rFonts w:ascii="Arial" w:hAnsi="Arial" w:cs="Arial"/>
                <w:sz w:val="22"/>
                <w:szCs w:val="22"/>
              </w:rPr>
              <w:t xml:space="preserve">      5</w:t>
            </w:r>
            <w:r w:rsidRPr="00230F35">
              <w:rPr>
                <w:rFonts w:ascii="Arial" w:hAnsi="Arial" w:cs="Arial"/>
                <w:sz w:val="22"/>
                <w:szCs w:val="22"/>
                <w:vertAlign w:val="superscript"/>
              </w:rPr>
              <w:t>th</w:t>
            </w:r>
            <w:r w:rsidRPr="00230F35">
              <w:rPr>
                <w:rFonts w:ascii="Arial" w:hAnsi="Arial" w:cs="Arial"/>
                <w:sz w:val="22"/>
                <w:szCs w:val="22"/>
              </w:rPr>
              <w:t xml:space="preserve"> </w:t>
            </w:r>
            <w:r w:rsidRPr="00230F35">
              <w:rPr>
                <w:rFonts w:ascii="Arial" w:hAnsi="Arial" w:cs="Arial"/>
                <w:sz w:val="22"/>
                <w:szCs w:val="22"/>
              </w:rPr>
              <w:fldChar w:fldCharType="begin">
                <w:ffData>
                  <w:name w:val="Check17"/>
                  <w:enabled/>
                  <w:calcOnExit w:val="0"/>
                  <w:checkBox>
                    <w:sizeAuto/>
                    <w:default w:val="0"/>
                  </w:checkBox>
                </w:ffData>
              </w:fldChar>
            </w:r>
            <w:bookmarkStart w:id="3" w:name="Check17"/>
            <w:r w:rsidRPr="00230F35">
              <w:rPr>
                <w:rFonts w:ascii="Arial" w:hAnsi="Arial" w:cs="Arial"/>
                <w:sz w:val="22"/>
                <w:szCs w:val="22"/>
              </w:rPr>
              <w:instrText xml:space="preserve"> FORMCHECKBOX </w:instrText>
            </w:r>
            <w:r w:rsidRPr="00230F35">
              <w:rPr>
                <w:rFonts w:ascii="Arial" w:hAnsi="Arial" w:cs="Arial"/>
                <w:sz w:val="22"/>
                <w:szCs w:val="22"/>
              </w:rPr>
            </w:r>
            <w:r w:rsidRPr="00230F35">
              <w:rPr>
                <w:rFonts w:ascii="Arial" w:hAnsi="Arial" w:cs="Arial"/>
                <w:sz w:val="22"/>
                <w:szCs w:val="22"/>
              </w:rPr>
              <w:fldChar w:fldCharType="separate"/>
            </w:r>
            <w:r w:rsidRPr="00230F35">
              <w:rPr>
                <w:rFonts w:ascii="Arial" w:hAnsi="Arial" w:cs="Arial"/>
                <w:sz w:val="22"/>
                <w:szCs w:val="22"/>
              </w:rPr>
              <w:fldChar w:fldCharType="end"/>
            </w:r>
            <w:bookmarkEnd w:id="3"/>
            <w:r w:rsidRPr="00230F35">
              <w:rPr>
                <w:rFonts w:ascii="Arial" w:hAnsi="Arial" w:cs="Arial"/>
                <w:sz w:val="22"/>
                <w:szCs w:val="22"/>
              </w:rPr>
              <w:t xml:space="preserve">      6</w:t>
            </w:r>
            <w:r w:rsidRPr="00230F35">
              <w:rPr>
                <w:rFonts w:ascii="Arial" w:hAnsi="Arial" w:cs="Arial"/>
                <w:sz w:val="22"/>
                <w:szCs w:val="22"/>
                <w:vertAlign w:val="superscript"/>
              </w:rPr>
              <w:t>th</w:t>
            </w:r>
            <w:r w:rsidRPr="00230F35">
              <w:rPr>
                <w:rFonts w:ascii="Arial" w:hAnsi="Arial" w:cs="Arial"/>
                <w:sz w:val="22"/>
                <w:szCs w:val="22"/>
              </w:rPr>
              <w:t xml:space="preserve"> </w:t>
            </w:r>
            <w:r w:rsidRPr="00230F35">
              <w:rPr>
                <w:rFonts w:ascii="Arial" w:hAnsi="Arial" w:cs="Arial"/>
                <w:sz w:val="22"/>
                <w:szCs w:val="22"/>
              </w:rPr>
              <w:fldChar w:fldCharType="begin">
                <w:ffData>
                  <w:name w:val="Check18"/>
                  <w:enabled/>
                  <w:calcOnExit w:val="0"/>
                  <w:checkBox>
                    <w:sizeAuto/>
                    <w:default w:val="0"/>
                  </w:checkBox>
                </w:ffData>
              </w:fldChar>
            </w:r>
            <w:bookmarkStart w:id="4" w:name="Check18"/>
            <w:r w:rsidRPr="00230F35">
              <w:rPr>
                <w:rFonts w:ascii="Arial" w:hAnsi="Arial" w:cs="Arial"/>
                <w:sz w:val="22"/>
                <w:szCs w:val="22"/>
              </w:rPr>
              <w:instrText xml:space="preserve"> FORMCHECKBOX </w:instrText>
            </w:r>
            <w:r w:rsidRPr="00230F35">
              <w:rPr>
                <w:rFonts w:ascii="Arial" w:hAnsi="Arial" w:cs="Arial"/>
                <w:sz w:val="22"/>
                <w:szCs w:val="22"/>
              </w:rPr>
            </w:r>
            <w:r w:rsidRPr="00230F35">
              <w:rPr>
                <w:rFonts w:ascii="Arial" w:hAnsi="Arial" w:cs="Arial"/>
                <w:sz w:val="22"/>
                <w:szCs w:val="22"/>
              </w:rPr>
              <w:fldChar w:fldCharType="separate"/>
            </w:r>
            <w:r w:rsidRPr="00230F35">
              <w:rPr>
                <w:rFonts w:ascii="Arial" w:hAnsi="Arial" w:cs="Arial"/>
                <w:sz w:val="22"/>
                <w:szCs w:val="22"/>
              </w:rPr>
              <w:fldChar w:fldCharType="end"/>
            </w:r>
            <w:bookmarkEnd w:id="4"/>
            <w:r w:rsidRPr="00230F35">
              <w:rPr>
                <w:rFonts w:ascii="Arial" w:hAnsi="Arial" w:cs="Arial"/>
                <w:b/>
                <w:sz w:val="22"/>
                <w:szCs w:val="22"/>
              </w:rPr>
              <w:t xml:space="preserve">   </w:t>
            </w:r>
            <w:r w:rsidRPr="00230F35">
              <w:rPr>
                <w:rFonts w:ascii="Arial" w:hAnsi="Arial" w:cs="Arial"/>
                <w:sz w:val="22"/>
                <w:szCs w:val="22"/>
              </w:rPr>
              <w:t>module of the degre</w:t>
            </w:r>
            <w:r>
              <w:rPr>
                <w:rFonts w:ascii="Arial" w:hAnsi="Arial" w:cs="Arial"/>
                <w:sz w:val="22"/>
                <w:szCs w:val="22"/>
              </w:rPr>
              <w:t>e</w:t>
            </w:r>
          </w:p>
        </w:tc>
      </w:tr>
      <w:tr w:rsidR="009D44C3" w:rsidRPr="00230F35" w14:paraId="263AC35B" w14:textId="77777777" w:rsidTr="005C75B4">
        <w:trPr>
          <w:trHeight w:val="978"/>
        </w:trPr>
        <w:tc>
          <w:tcPr>
            <w:tcW w:w="8856" w:type="dxa"/>
            <w:gridSpan w:val="3"/>
            <w:shd w:val="clear" w:color="auto" w:fill="D9D9D9"/>
          </w:tcPr>
          <w:p w14:paraId="46D8505B" w14:textId="77777777" w:rsidR="009D44C3" w:rsidRPr="00230F35" w:rsidRDefault="009D44C3" w:rsidP="005C75B4">
            <w:pPr>
              <w:pStyle w:val="NormalWeb"/>
              <w:spacing w:after="0"/>
              <w:ind w:right="34"/>
              <w:rPr>
                <w:rFonts w:ascii="Arial" w:hAnsi="Arial" w:cs="Arial"/>
                <w:sz w:val="22"/>
                <w:szCs w:val="22"/>
              </w:rPr>
            </w:pPr>
            <w:r w:rsidRPr="00230F35">
              <w:rPr>
                <w:rFonts w:ascii="Arial" w:hAnsi="Arial" w:cs="Arial"/>
                <w:sz w:val="22"/>
                <w:szCs w:val="22"/>
              </w:rPr>
              <w:t>I confirm that this is my original work and that I have adhered to the University policy on plagiarism.</w:t>
            </w:r>
          </w:p>
          <w:p w14:paraId="738F9596" w14:textId="77777777" w:rsidR="009D44C3" w:rsidRDefault="009D44C3" w:rsidP="005C75B4">
            <w:pPr>
              <w:pStyle w:val="NormalWeb"/>
              <w:spacing w:after="0"/>
              <w:ind w:right="34"/>
              <w:rPr>
                <w:rFonts w:ascii="Arial" w:hAnsi="Arial" w:cs="Arial"/>
                <w:sz w:val="22"/>
                <w:szCs w:val="22"/>
              </w:rPr>
            </w:pPr>
            <w:r w:rsidRPr="00230F35">
              <w:rPr>
                <w:rFonts w:ascii="Arial" w:hAnsi="Arial" w:cs="Arial"/>
                <w:sz w:val="22"/>
                <w:szCs w:val="22"/>
              </w:rPr>
              <w:t>Signed ……………………………………………………………</w:t>
            </w:r>
          </w:p>
          <w:p w14:paraId="666A9639" w14:textId="484F0B92" w:rsidR="009D44C3" w:rsidRDefault="009D44C3" w:rsidP="005C75B4">
            <w:pPr>
              <w:pStyle w:val="NormalWeb"/>
              <w:spacing w:after="0"/>
              <w:ind w:right="34"/>
              <w:rPr>
                <w:rFonts w:ascii="Calibri" w:hAnsi="Calibri" w:cs="Calibri"/>
                <w:b/>
                <w:sz w:val="44"/>
                <w:szCs w:val="44"/>
              </w:rPr>
            </w:pPr>
            <w:r w:rsidRPr="005979EE">
              <w:rPr>
                <w:rFonts w:ascii="Calibri" w:hAnsi="Calibri" w:cs="Tahoma"/>
                <w:b/>
              </w:rPr>
              <w:t xml:space="preserve">Email </w:t>
            </w:r>
            <w:proofErr w:type="spellStart"/>
            <w:r w:rsidRPr="005979EE">
              <w:rPr>
                <w:rFonts w:ascii="Calibri" w:hAnsi="Calibri" w:cs="Tahoma"/>
                <w:b/>
              </w:rPr>
              <w:t>submission:</w:t>
            </w:r>
            <w:r>
              <w:rPr>
                <w:rFonts w:ascii="Calibri" w:hAnsi="Calibri" w:cs="Tahoma"/>
                <w:b/>
              </w:rPr>
              <w:t>if</w:t>
            </w:r>
            <w:proofErr w:type="spellEnd"/>
            <w:r>
              <w:rPr>
                <w:rFonts w:ascii="Calibri" w:hAnsi="Calibri" w:cs="Tahoma"/>
                <w:b/>
              </w:rPr>
              <w:t xml:space="preserve"> you are submitting this form via email, please tick this box </w:t>
            </w:r>
            <w:r w:rsidR="00E26A61">
              <w:rPr>
                <w:rFonts w:ascii="Apple Color Emoji" w:hAnsi="Apple Color Emoji" w:cs="Tahoma"/>
                <w:b/>
              </w:rPr>
              <w:t>☑︎</w:t>
            </w:r>
          </w:p>
          <w:p w14:paraId="2211F6EE" w14:textId="77777777" w:rsidR="009D44C3" w:rsidRPr="00230F35" w:rsidRDefault="009D44C3" w:rsidP="005C75B4">
            <w:pPr>
              <w:pStyle w:val="NormalWeb"/>
              <w:spacing w:after="0"/>
              <w:ind w:right="34"/>
              <w:rPr>
                <w:rFonts w:ascii="Arial" w:hAnsi="Arial" w:cs="Arial"/>
                <w:sz w:val="22"/>
                <w:szCs w:val="22"/>
              </w:rPr>
            </w:pPr>
            <w:r>
              <w:rPr>
                <w:rFonts w:ascii="Calibri" w:hAnsi="Calibri" w:cs="Tahoma"/>
                <w:b/>
              </w:rPr>
              <w:t>(as a substitute for your signature) to confirm that you agree to the above declaration.</w:t>
            </w:r>
          </w:p>
        </w:tc>
      </w:tr>
    </w:tbl>
    <w:p w14:paraId="746BA059" w14:textId="77777777" w:rsidR="00E26A61" w:rsidRDefault="00E26A61">
      <w:r>
        <w:br w:type="page"/>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211"/>
        <w:gridCol w:w="1557"/>
        <w:gridCol w:w="2088"/>
      </w:tblGrid>
      <w:tr w:rsidR="009D44C3" w:rsidRPr="00230F35" w14:paraId="2B043473" w14:textId="77777777" w:rsidTr="005C75B4">
        <w:trPr>
          <w:trHeight w:val="3972"/>
        </w:trPr>
        <w:tc>
          <w:tcPr>
            <w:tcW w:w="8856" w:type="dxa"/>
            <w:gridSpan w:val="3"/>
          </w:tcPr>
          <w:p w14:paraId="37654B0F" w14:textId="1B7BB8C2" w:rsidR="009D44C3" w:rsidRDefault="009D44C3" w:rsidP="005C75B4">
            <w:pPr>
              <w:rPr>
                <w:rFonts w:ascii="Arial" w:hAnsi="Arial"/>
                <w:b/>
              </w:rPr>
            </w:pPr>
          </w:p>
          <w:p w14:paraId="43FD3F7D" w14:textId="77777777" w:rsidR="009D44C3" w:rsidRPr="00116CE6" w:rsidRDefault="009D44C3" w:rsidP="005C75B4">
            <w:pPr>
              <w:rPr>
                <w:rFonts w:ascii="Arial" w:hAnsi="Arial"/>
              </w:rPr>
            </w:pPr>
            <w:r w:rsidRPr="00116CE6">
              <w:rPr>
                <w:rFonts w:ascii="Arial" w:hAnsi="Arial"/>
                <w:b/>
              </w:rPr>
              <w:t>Assignment Mark</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970"/>
              <w:gridCol w:w="1660"/>
            </w:tblGrid>
            <w:tr w:rsidR="009D44C3" w:rsidRPr="00116CE6" w14:paraId="1CF8B20D" w14:textId="77777777" w:rsidTr="005C75B4">
              <w:tc>
                <w:tcPr>
                  <w:tcW w:w="6970" w:type="dxa"/>
                </w:tcPr>
                <w:p w14:paraId="65796B5C" w14:textId="77777777" w:rsidR="009D44C3" w:rsidRPr="00116CE6" w:rsidRDefault="009D44C3" w:rsidP="005C75B4">
                  <w:pPr>
                    <w:rPr>
                      <w:rFonts w:ascii="Arial" w:hAnsi="Arial"/>
                      <w:sz w:val="20"/>
                      <w:szCs w:val="20"/>
                    </w:rPr>
                  </w:pPr>
                </w:p>
                <w:p w14:paraId="7E18972A" w14:textId="77777777" w:rsidR="009D44C3" w:rsidRPr="00116CE6" w:rsidRDefault="009D44C3" w:rsidP="005C75B4">
                  <w:pPr>
                    <w:rPr>
                      <w:rFonts w:ascii="Arial" w:hAnsi="Arial"/>
                      <w:sz w:val="20"/>
                      <w:szCs w:val="20"/>
                    </w:rPr>
                  </w:pPr>
                  <w:r w:rsidRPr="00116CE6">
                    <w:rPr>
                      <w:rFonts w:ascii="Arial" w:hAnsi="Arial"/>
                      <w:sz w:val="20"/>
                      <w:szCs w:val="20"/>
                    </w:rPr>
                    <w:t>1</w:t>
                  </w:r>
                  <w:r w:rsidRPr="00116CE6">
                    <w:rPr>
                      <w:rFonts w:ascii="Arial" w:hAnsi="Arial"/>
                      <w:sz w:val="20"/>
                      <w:szCs w:val="20"/>
                      <w:vertAlign w:val="superscript"/>
                    </w:rPr>
                    <w:t>st</w:t>
                  </w:r>
                  <w:r w:rsidRPr="00116CE6">
                    <w:rPr>
                      <w:rFonts w:ascii="Arial" w:hAnsi="Arial"/>
                      <w:sz w:val="20"/>
                      <w:szCs w:val="20"/>
                    </w:rPr>
                    <w:t xml:space="preserve"> Marker’s Provisional mark</w:t>
                  </w:r>
                </w:p>
              </w:tc>
              <w:tc>
                <w:tcPr>
                  <w:tcW w:w="1660" w:type="dxa"/>
                </w:tcPr>
                <w:p w14:paraId="106C11EF" w14:textId="77777777" w:rsidR="009D44C3" w:rsidRPr="00116CE6" w:rsidRDefault="009D44C3" w:rsidP="005C75B4">
                  <w:pPr>
                    <w:rPr>
                      <w:rFonts w:ascii="Arial" w:hAnsi="Arial"/>
                      <w:sz w:val="20"/>
                      <w:szCs w:val="20"/>
                    </w:rPr>
                  </w:pPr>
                </w:p>
              </w:tc>
            </w:tr>
            <w:tr w:rsidR="009D44C3" w:rsidRPr="00116CE6" w14:paraId="211B7341" w14:textId="77777777" w:rsidTr="005C75B4">
              <w:tc>
                <w:tcPr>
                  <w:tcW w:w="6970" w:type="dxa"/>
                </w:tcPr>
                <w:p w14:paraId="0BD3675B" w14:textId="77777777" w:rsidR="009D44C3" w:rsidRPr="00116CE6" w:rsidRDefault="009D44C3" w:rsidP="005C75B4">
                  <w:pPr>
                    <w:rPr>
                      <w:rFonts w:ascii="Arial" w:hAnsi="Arial"/>
                      <w:sz w:val="20"/>
                      <w:szCs w:val="20"/>
                    </w:rPr>
                  </w:pPr>
                </w:p>
                <w:p w14:paraId="4830BE3D" w14:textId="77777777" w:rsidR="009D44C3" w:rsidRPr="00116CE6" w:rsidRDefault="009D44C3" w:rsidP="005C75B4">
                  <w:pPr>
                    <w:rPr>
                      <w:rFonts w:ascii="Arial" w:hAnsi="Arial"/>
                      <w:sz w:val="20"/>
                      <w:szCs w:val="20"/>
                    </w:rPr>
                  </w:pPr>
                  <w:r w:rsidRPr="00116CE6">
                    <w:rPr>
                      <w:rFonts w:ascii="Arial" w:hAnsi="Arial"/>
                      <w:sz w:val="20"/>
                      <w:szCs w:val="20"/>
                    </w:rPr>
                    <w:t>2</w:t>
                  </w:r>
                  <w:r w:rsidRPr="00116CE6">
                    <w:rPr>
                      <w:rFonts w:ascii="Arial" w:hAnsi="Arial"/>
                      <w:sz w:val="20"/>
                      <w:szCs w:val="20"/>
                      <w:vertAlign w:val="superscript"/>
                    </w:rPr>
                    <w:t>nd</w:t>
                  </w:r>
                  <w:r w:rsidRPr="00116CE6">
                    <w:rPr>
                      <w:rFonts w:ascii="Arial" w:hAnsi="Arial"/>
                      <w:sz w:val="20"/>
                      <w:szCs w:val="20"/>
                    </w:rPr>
                    <w:t xml:space="preserve"> Marker</w:t>
                  </w:r>
                  <w:r>
                    <w:rPr>
                      <w:rFonts w:ascii="Arial" w:hAnsi="Arial"/>
                      <w:sz w:val="20"/>
                      <w:szCs w:val="20"/>
                    </w:rPr>
                    <w:t>’s/Moderator’s</w:t>
                  </w:r>
                  <w:r w:rsidRPr="00116CE6">
                    <w:rPr>
                      <w:rFonts w:ascii="Arial" w:hAnsi="Arial"/>
                      <w:sz w:val="20"/>
                      <w:szCs w:val="20"/>
                    </w:rPr>
                    <w:t xml:space="preserve"> provisional mark</w:t>
                  </w:r>
                </w:p>
              </w:tc>
              <w:tc>
                <w:tcPr>
                  <w:tcW w:w="1660" w:type="dxa"/>
                </w:tcPr>
                <w:p w14:paraId="10FEFC23" w14:textId="77777777" w:rsidR="009D44C3" w:rsidRPr="00116CE6" w:rsidRDefault="009D44C3" w:rsidP="005C75B4">
                  <w:pPr>
                    <w:rPr>
                      <w:rFonts w:ascii="Arial" w:hAnsi="Arial"/>
                      <w:sz w:val="20"/>
                      <w:szCs w:val="20"/>
                    </w:rPr>
                  </w:pPr>
                </w:p>
              </w:tc>
            </w:tr>
            <w:tr w:rsidR="009D44C3" w:rsidRPr="00116CE6" w14:paraId="667137D4" w14:textId="77777777" w:rsidTr="005C75B4">
              <w:tc>
                <w:tcPr>
                  <w:tcW w:w="6970" w:type="dxa"/>
                </w:tcPr>
                <w:p w14:paraId="3521425B" w14:textId="77777777" w:rsidR="009D44C3" w:rsidRPr="00116CE6" w:rsidRDefault="009D44C3" w:rsidP="005C75B4">
                  <w:pPr>
                    <w:rPr>
                      <w:rFonts w:ascii="Arial" w:hAnsi="Arial"/>
                      <w:sz w:val="20"/>
                      <w:szCs w:val="20"/>
                    </w:rPr>
                  </w:pPr>
                </w:p>
                <w:p w14:paraId="57FB6A4F" w14:textId="77777777" w:rsidR="009D44C3" w:rsidRPr="00116CE6" w:rsidRDefault="009D44C3" w:rsidP="005C75B4">
                  <w:pPr>
                    <w:rPr>
                      <w:rFonts w:ascii="Arial" w:hAnsi="Arial"/>
                      <w:sz w:val="20"/>
                      <w:szCs w:val="20"/>
                    </w:rPr>
                  </w:pPr>
                  <w:r w:rsidRPr="00116CE6">
                    <w:rPr>
                      <w:rFonts w:ascii="Arial" w:hAnsi="Arial"/>
                      <w:sz w:val="20"/>
                      <w:szCs w:val="20"/>
                    </w:rPr>
                    <w:t>External Examiner’s mark</w:t>
                  </w:r>
                  <w:r>
                    <w:rPr>
                      <w:rFonts w:ascii="Arial" w:hAnsi="Arial"/>
                      <w:sz w:val="20"/>
                      <w:szCs w:val="20"/>
                    </w:rPr>
                    <w:t xml:space="preserve"> (if relevant)</w:t>
                  </w:r>
                </w:p>
              </w:tc>
              <w:tc>
                <w:tcPr>
                  <w:tcW w:w="1660" w:type="dxa"/>
                </w:tcPr>
                <w:p w14:paraId="632A3CF4" w14:textId="77777777" w:rsidR="009D44C3" w:rsidRPr="00116CE6" w:rsidRDefault="009D44C3" w:rsidP="005C75B4">
                  <w:pPr>
                    <w:rPr>
                      <w:rFonts w:ascii="Arial" w:hAnsi="Arial"/>
                      <w:sz w:val="20"/>
                      <w:szCs w:val="20"/>
                    </w:rPr>
                  </w:pPr>
                </w:p>
              </w:tc>
            </w:tr>
            <w:tr w:rsidR="009D44C3" w:rsidRPr="00116CE6" w14:paraId="31F86D31" w14:textId="77777777" w:rsidTr="005C75B4">
              <w:tc>
                <w:tcPr>
                  <w:tcW w:w="6970" w:type="dxa"/>
                </w:tcPr>
                <w:p w14:paraId="20779C08" w14:textId="77777777" w:rsidR="009D44C3" w:rsidRDefault="009D44C3" w:rsidP="005C75B4">
                  <w:pPr>
                    <w:rPr>
                      <w:rFonts w:ascii="Arial" w:hAnsi="Arial"/>
                      <w:sz w:val="20"/>
                      <w:szCs w:val="20"/>
                    </w:rPr>
                  </w:pPr>
                </w:p>
                <w:p w14:paraId="27A9947B" w14:textId="77777777" w:rsidR="009D44C3" w:rsidRPr="00022345" w:rsidRDefault="009D44C3" w:rsidP="005C75B4">
                  <w:pPr>
                    <w:rPr>
                      <w:rFonts w:ascii="Arial" w:hAnsi="Arial"/>
                      <w:b/>
                      <w:sz w:val="20"/>
                      <w:szCs w:val="20"/>
                    </w:rPr>
                  </w:pPr>
                  <w:r w:rsidRPr="00022345">
                    <w:rPr>
                      <w:rFonts w:ascii="Arial" w:hAnsi="Arial"/>
                      <w:b/>
                      <w:sz w:val="20"/>
                      <w:szCs w:val="20"/>
                    </w:rPr>
                    <w:t>Final Mark</w:t>
                  </w:r>
                </w:p>
                <w:p w14:paraId="2FB207A7" w14:textId="77777777" w:rsidR="009D44C3" w:rsidRPr="00116CE6" w:rsidRDefault="009D44C3" w:rsidP="005C75B4">
                  <w:pPr>
                    <w:rPr>
                      <w:rFonts w:ascii="Arial" w:hAnsi="Arial"/>
                      <w:sz w:val="20"/>
                      <w:szCs w:val="20"/>
                    </w:rPr>
                  </w:pPr>
                </w:p>
              </w:tc>
              <w:tc>
                <w:tcPr>
                  <w:tcW w:w="1660" w:type="dxa"/>
                </w:tcPr>
                <w:p w14:paraId="5BDC6AC2" w14:textId="77777777" w:rsidR="009D44C3" w:rsidRPr="00116CE6" w:rsidRDefault="009D44C3" w:rsidP="005C75B4">
                  <w:pPr>
                    <w:rPr>
                      <w:rFonts w:ascii="Arial" w:hAnsi="Arial"/>
                      <w:sz w:val="20"/>
                      <w:szCs w:val="20"/>
                    </w:rPr>
                  </w:pPr>
                </w:p>
              </w:tc>
            </w:tr>
          </w:tbl>
          <w:p w14:paraId="2281CD0A" w14:textId="77777777" w:rsidR="009D44C3" w:rsidRDefault="009D44C3" w:rsidP="005C75B4">
            <w:pPr>
              <w:pStyle w:val="NormalWeb"/>
              <w:spacing w:after="0"/>
              <w:ind w:left="142" w:right="34"/>
              <w:rPr>
                <w:rFonts w:ascii="Arial" w:hAnsi="Arial" w:cs="Arial"/>
                <w:b/>
                <w:sz w:val="22"/>
                <w:szCs w:val="22"/>
              </w:rPr>
            </w:pPr>
          </w:p>
          <w:p w14:paraId="68A3C31C" w14:textId="77777777" w:rsidR="009D44C3" w:rsidRPr="00230F35" w:rsidRDefault="009D44C3" w:rsidP="005C75B4">
            <w:pPr>
              <w:pStyle w:val="NormalWeb"/>
              <w:spacing w:after="0"/>
              <w:ind w:left="142" w:right="34"/>
              <w:rPr>
                <w:rFonts w:ascii="Arial" w:hAnsi="Arial" w:cs="Arial"/>
                <w:sz w:val="22"/>
                <w:szCs w:val="22"/>
              </w:rPr>
            </w:pPr>
            <w:r w:rsidRPr="00230F35">
              <w:rPr>
                <w:rFonts w:ascii="Arial" w:hAnsi="Arial" w:cs="Arial"/>
                <w:b/>
                <w:sz w:val="22"/>
                <w:szCs w:val="22"/>
              </w:rPr>
              <w:t>NB.</w:t>
            </w:r>
            <w:r w:rsidRPr="00230F35">
              <w:rPr>
                <w:rFonts w:ascii="Arial" w:hAnsi="Arial" w:cs="Arial"/>
                <w:sz w:val="22"/>
                <w:szCs w:val="22"/>
              </w:rPr>
              <w:t xml:space="preserve">  All marks are provisional until confirmed by the </w:t>
            </w:r>
            <w:r>
              <w:rPr>
                <w:rFonts w:ascii="Arial" w:hAnsi="Arial" w:cs="Arial"/>
                <w:sz w:val="22"/>
                <w:szCs w:val="22"/>
              </w:rPr>
              <w:t>F</w:t>
            </w:r>
            <w:r w:rsidRPr="00230F35">
              <w:rPr>
                <w:rFonts w:ascii="Arial" w:hAnsi="Arial" w:cs="Arial"/>
                <w:sz w:val="22"/>
                <w:szCs w:val="22"/>
              </w:rPr>
              <w:t xml:space="preserve">inal </w:t>
            </w:r>
            <w:r>
              <w:rPr>
                <w:rFonts w:ascii="Arial" w:hAnsi="Arial" w:cs="Arial"/>
                <w:sz w:val="22"/>
                <w:szCs w:val="22"/>
              </w:rPr>
              <w:t>E</w:t>
            </w:r>
            <w:r w:rsidRPr="00230F35">
              <w:rPr>
                <w:rFonts w:ascii="Arial" w:hAnsi="Arial" w:cs="Arial"/>
                <w:sz w:val="22"/>
                <w:szCs w:val="22"/>
              </w:rPr>
              <w:t>xamination</w:t>
            </w:r>
            <w:r>
              <w:rPr>
                <w:rFonts w:ascii="Arial" w:hAnsi="Arial" w:cs="Arial"/>
                <w:sz w:val="22"/>
                <w:szCs w:val="22"/>
              </w:rPr>
              <w:t xml:space="preserve"> Board.</w:t>
            </w:r>
          </w:p>
          <w:p w14:paraId="6D80F823" w14:textId="77777777" w:rsidR="009D44C3" w:rsidRDefault="009D44C3" w:rsidP="005C75B4">
            <w:pPr>
              <w:pStyle w:val="NormalWeb"/>
              <w:spacing w:after="0"/>
              <w:rPr>
                <w:rFonts w:ascii="Arial" w:hAnsi="Arial" w:cs="Arial"/>
                <w:b/>
                <w:sz w:val="22"/>
                <w:szCs w:val="22"/>
              </w:rPr>
            </w:pPr>
          </w:p>
          <w:p w14:paraId="07BC574C" w14:textId="77777777" w:rsidR="009D44C3" w:rsidRDefault="009D44C3" w:rsidP="005C75B4">
            <w:pPr>
              <w:pStyle w:val="NormalWeb"/>
              <w:spacing w:after="0"/>
              <w:rPr>
                <w:rFonts w:ascii="Arial" w:hAnsi="Arial" w:cs="Arial"/>
                <w:b/>
                <w:sz w:val="22"/>
                <w:szCs w:val="22"/>
              </w:rPr>
            </w:pPr>
          </w:p>
          <w:p w14:paraId="0C955BD8" w14:textId="77777777" w:rsidR="009D44C3" w:rsidRDefault="009D44C3" w:rsidP="005C75B4">
            <w:pPr>
              <w:pStyle w:val="NormalWeb"/>
              <w:spacing w:after="0"/>
              <w:rPr>
                <w:rFonts w:ascii="Arial" w:hAnsi="Arial" w:cs="Arial"/>
                <w:b/>
                <w:sz w:val="22"/>
                <w:szCs w:val="22"/>
              </w:rPr>
            </w:pPr>
          </w:p>
          <w:p w14:paraId="58F11734" w14:textId="77777777" w:rsidR="009D44C3" w:rsidRDefault="009D44C3" w:rsidP="005C75B4">
            <w:pPr>
              <w:pStyle w:val="NormalWeb"/>
              <w:spacing w:after="0"/>
              <w:rPr>
                <w:rFonts w:ascii="Arial" w:hAnsi="Arial" w:cs="Arial"/>
                <w:b/>
                <w:sz w:val="22"/>
                <w:szCs w:val="22"/>
              </w:rPr>
            </w:pPr>
          </w:p>
          <w:p w14:paraId="34140666" w14:textId="77777777" w:rsidR="009D44C3" w:rsidRPr="00230F35" w:rsidRDefault="009D44C3" w:rsidP="005C75B4">
            <w:pPr>
              <w:pStyle w:val="NormalWeb"/>
              <w:spacing w:after="0"/>
              <w:rPr>
                <w:rFonts w:ascii="Arial" w:hAnsi="Arial" w:cs="Arial"/>
                <w:b/>
                <w:sz w:val="22"/>
                <w:szCs w:val="22"/>
              </w:rPr>
            </w:pPr>
            <w:r>
              <w:rPr>
                <w:rFonts w:ascii="Arial" w:hAnsi="Arial" w:cs="Arial"/>
                <w:b/>
                <w:sz w:val="22"/>
                <w:szCs w:val="22"/>
              </w:rPr>
              <w:t>For completion by M</w:t>
            </w:r>
            <w:r w:rsidRPr="00230F35">
              <w:rPr>
                <w:rFonts w:ascii="Arial" w:hAnsi="Arial" w:cs="Arial"/>
                <w:b/>
                <w:sz w:val="22"/>
                <w:szCs w:val="22"/>
              </w:rPr>
              <w:t>arker 1 :</w:t>
            </w:r>
          </w:p>
          <w:p w14:paraId="7F464F18" w14:textId="77777777" w:rsidR="009D44C3" w:rsidRDefault="009D44C3" w:rsidP="005C75B4">
            <w:pPr>
              <w:pStyle w:val="NormalWeb"/>
              <w:rPr>
                <w:rFonts w:ascii="Arial" w:hAnsi="Arial" w:cs="Arial"/>
                <w:sz w:val="22"/>
                <w:szCs w:val="22"/>
              </w:rPr>
            </w:pPr>
            <w:r w:rsidRPr="00230F35">
              <w:rPr>
                <w:rFonts w:ascii="Arial" w:hAnsi="Arial" w:cs="Arial"/>
                <w:sz w:val="22"/>
                <w:szCs w:val="22"/>
              </w:rPr>
              <w:t>Comments</w:t>
            </w:r>
            <w:r>
              <w:rPr>
                <w:rFonts w:ascii="Arial" w:hAnsi="Arial" w:cs="Arial"/>
                <w:sz w:val="22"/>
                <w:szCs w:val="22"/>
              </w:rPr>
              <w:t>:</w:t>
            </w:r>
          </w:p>
          <w:p w14:paraId="475535F8" w14:textId="77777777" w:rsidR="009D44C3" w:rsidRPr="00001C3B" w:rsidRDefault="009D44C3" w:rsidP="005C75B4">
            <w:pPr>
              <w:pStyle w:val="NormalWeb"/>
              <w:rPr>
                <w:rFonts w:ascii="Arial" w:hAnsi="Arial" w:cs="Arial"/>
                <w:sz w:val="22"/>
                <w:szCs w:val="22"/>
              </w:rPr>
            </w:pPr>
          </w:p>
        </w:tc>
      </w:tr>
      <w:tr w:rsidR="009D44C3" w:rsidRPr="00230F35" w14:paraId="32855FA9" w14:textId="77777777" w:rsidTr="005C75B4">
        <w:trPr>
          <w:trHeight w:val="492"/>
        </w:trPr>
        <w:tc>
          <w:tcPr>
            <w:tcW w:w="6768" w:type="dxa"/>
            <w:gridSpan w:val="2"/>
          </w:tcPr>
          <w:p w14:paraId="5B5CF2F2" w14:textId="77777777" w:rsidR="009D44C3" w:rsidRPr="00230F35" w:rsidRDefault="009D44C3" w:rsidP="005C75B4">
            <w:pPr>
              <w:pStyle w:val="NormalWeb"/>
              <w:ind w:left="142" w:right="34"/>
              <w:rPr>
                <w:rFonts w:ascii="Arial" w:hAnsi="Arial" w:cs="Arial"/>
                <w:sz w:val="22"/>
                <w:szCs w:val="22"/>
              </w:rPr>
            </w:pPr>
            <w:r w:rsidRPr="00230F35">
              <w:rPr>
                <w:rFonts w:ascii="Arial" w:hAnsi="Arial" w:cs="Arial"/>
                <w:sz w:val="22"/>
                <w:szCs w:val="22"/>
              </w:rPr>
              <w:t>Marker’s signatur</w:t>
            </w:r>
            <w:r>
              <w:rPr>
                <w:rFonts w:ascii="Arial" w:hAnsi="Arial" w:cs="Arial"/>
                <w:sz w:val="22"/>
                <w:szCs w:val="22"/>
              </w:rPr>
              <w:t>e:</w:t>
            </w:r>
          </w:p>
        </w:tc>
        <w:tc>
          <w:tcPr>
            <w:tcW w:w="2088" w:type="dxa"/>
          </w:tcPr>
          <w:p w14:paraId="17E11F95" w14:textId="77777777" w:rsidR="009D44C3" w:rsidRPr="00230F35" w:rsidRDefault="009D44C3" w:rsidP="005C75B4">
            <w:pPr>
              <w:pStyle w:val="NormalWeb"/>
              <w:spacing w:after="0"/>
              <w:ind w:left="142" w:right="34"/>
              <w:rPr>
                <w:rFonts w:ascii="Arial" w:hAnsi="Arial" w:cs="Arial"/>
                <w:sz w:val="22"/>
                <w:szCs w:val="22"/>
              </w:rPr>
            </w:pPr>
            <w:r w:rsidRPr="00230F35">
              <w:rPr>
                <w:rFonts w:ascii="Arial" w:hAnsi="Arial" w:cs="Arial"/>
                <w:sz w:val="22"/>
                <w:szCs w:val="22"/>
              </w:rPr>
              <w:t>Date:</w:t>
            </w:r>
          </w:p>
        </w:tc>
      </w:tr>
      <w:tr w:rsidR="009D44C3" w:rsidRPr="002F467C" w14:paraId="0E10F409" w14:textId="77777777" w:rsidTr="005C75B4">
        <w:tc>
          <w:tcPr>
            <w:tcW w:w="8856" w:type="dxa"/>
            <w:gridSpan w:val="3"/>
          </w:tcPr>
          <w:p w14:paraId="41B3A9A4" w14:textId="77777777" w:rsidR="009D44C3" w:rsidRPr="00230F35" w:rsidRDefault="009D44C3" w:rsidP="005C75B4">
            <w:pPr>
              <w:pStyle w:val="NormalWeb"/>
              <w:spacing w:after="0"/>
              <w:ind w:right="-334"/>
              <w:rPr>
                <w:rFonts w:ascii="Arial" w:hAnsi="Arial" w:cs="Arial"/>
                <w:bCs/>
                <w:i/>
                <w:sz w:val="22"/>
                <w:szCs w:val="22"/>
              </w:rPr>
            </w:pPr>
          </w:p>
          <w:p w14:paraId="247FCADA" w14:textId="77777777" w:rsidR="009D44C3" w:rsidRPr="00230F35" w:rsidRDefault="009D44C3" w:rsidP="005C75B4">
            <w:pPr>
              <w:pStyle w:val="NormalWeb"/>
              <w:spacing w:after="0"/>
              <w:ind w:right="-334"/>
              <w:rPr>
                <w:rFonts w:ascii="Arial" w:hAnsi="Arial" w:cs="Arial"/>
                <w:b/>
                <w:bCs/>
                <w:sz w:val="22"/>
                <w:szCs w:val="22"/>
              </w:rPr>
            </w:pPr>
            <w:r>
              <w:rPr>
                <w:rFonts w:ascii="Arial" w:hAnsi="Arial" w:cs="Arial"/>
                <w:b/>
                <w:bCs/>
                <w:sz w:val="22"/>
                <w:szCs w:val="22"/>
              </w:rPr>
              <w:t>For completion by M</w:t>
            </w:r>
            <w:r w:rsidRPr="00230F35">
              <w:rPr>
                <w:rFonts w:ascii="Arial" w:hAnsi="Arial" w:cs="Arial"/>
                <w:b/>
                <w:bCs/>
                <w:sz w:val="22"/>
                <w:szCs w:val="22"/>
              </w:rPr>
              <w:t>arker 2</w:t>
            </w:r>
            <w:r>
              <w:rPr>
                <w:rFonts w:ascii="Arial" w:hAnsi="Arial" w:cs="Arial"/>
                <w:b/>
                <w:bCs/>
                <w:sz w:val="22"/>
                <w:szCs w:val="22"/>
              </w:rPr>
              <w:t>/M</w:t>
            </w:r>
            <w:r w:rsidRPr="00230F35">
              <w:rPr>
                <w:rFonts w:ascii="Arial" w:hAnsi="Arial" w:cs="Arial"/>
                <w:b/>
                <w:bCs/>
                <w:sz w:val="22"/>
                <w:szCs w:val="22"/>
              </w:rPr>
              <w:t>oderator:</w:t>
            </w:r>
          </w:p>
          <w:p w14:paraId="5595D19B" w14:textId="77777777" w:rsidR="009D44C3" w:rsidRPr="00230F35" w:rsidRDefault="009D44C3" w:rsidP="005C75B4">
            <w:pPr>
              <w:pStyle w:val="NormalWeb"/>
              <w:spacing w:after="0"/>
              <w:ind w:right="-334"/>
              <w:rPr>
                <w:rFonts w:ascii="Arial" w:hAnsi="Arial" w:cs="Arial"/>
                <w:b/>
                <w:bCs/>
                <w:sz w:val="22"/>
                <w:szCs w:val="22"/>
              </w:rPr>
            </w:pPr>
          </w:p>
          <w:p w14:paraId="6F96FAED" w14:textId="77777777" w:rsidR="009D44C3" w:rsidRPr="00230F35" w:rsidRDefault="009D44C3" w:rsidP="005C75B4">
            <w:pPr>
              <w:pStyle w:val="NormalWeb"/>
              <w:spacing w:after="0"/>
              <w:ind w:right="-334"/>
              <w:rPr>
                <w:rFonts w:ascii="Arial" w:hAnsi="Arial" w:cs="Arial"/>
                <w:bCs/>
                <w:sz w:val="22"/>
                <w:szCs w:val="22"/>
              </w:rPr>
            </w:pPr>
            <w:r w:rsidRPr="00230F35">
              <w:rPr>
                <w:rFonts w:ascii="Arial" w:hAnsi="Arial" w:cs="Arial"/>
                <w:bCs/>
                <w:sz w:val="22"/>
                <w:szCs w:val="22"/>
              </w:rPr>
              <w:t>Comments:</w:t>
            </w:r>
          </w:p>
          <w:p w14:paraId="0E254B37" w14:textId="77777777" w:rsidR="009D44C3" w:rsidRPr="00230F35" w:rsidRDefault="009D44C3" w:rsidP="005C75B4">
            <w:pPr>
              <w:pStyle w:val="NormalWeb"/>
              <w:spacing w:after="0"/>
              <w:ind w:right="-334"/>
              <w:rPr>
                <w:rFonts w:ascii="Arial" w:hAnsi="Arial" w:cs="Arial"/>
                <w:bCs/>
                <w:sz w:val="22"/>
                <w:szCs w:val="22"/>
              </w:rPr>
            </w:pPr>
          </w:p>
          <w:p w14:paraId="08F88C28" w14:textId="77777777" w:rsidR="009D44C3" w:rsidRPr="00230F35" w:rsidRDefault="009D44C3" w:rsidP="005C75B4">
            <w:pPr>
              <w:pStyle w:val="NormalWeb"/>
              <w:spacing w:after="0"/>
              <w:ind w:right="-334"/>
              <w:rPr>
                <w:rFonts w:ascii="Arial" w:hAnsi="Arial" w:cs="Arial"/>
                <w:bCs/>
                <w:sz w:val="22"/>
                <w:szCs w:val="22"/>
              </w:rPr>
            </w:pPr>
          </w:p>
          <w:p w14:paraId="42258F81" w14:textId="77777777" w:rsidR="009D44C3" w:rsidRPr="00230F35" w:rsidRDefault="009D44C3" w:rsidP="005C75B4">
            <w:pPr>
              <w:pStyle w:val="NormalWeb"/>
              <w:spacing w:after="0"/>
              <w:ind w:right="-334"/>
              <w:rPr>
                <w:rFonts w:ascii="Arial" w:hAnsi="Arial" w:cs="Arial"/>
                <w:bCs/>
                <w:sz w:val="22"/>
                <w:szCs w:val="22"/>
              </w:rPr>
            </w:pPr>
          </w:p>
          <w:p w14:paraId="32F0DFB6" w14:textId="77777777" w:rsidR="009D44C3" w:rsidRPr="00230F35" w:rsidRDefault="009D44C3" w:rsidP="005C75B4">
            <w:pPr>
              <w:pStyle w:val="NormalWeb"/>
              <w:spacing w:after="0"/>
              <w:ind w:right="-334"/>
              <w:rPr>
                <w:rFonts w:ascii="Arial" w:hAnsi="Arial" w:cs="Arial"/>
                <w:bCs/>
                <w:sz w:val="22"/>
                <w:szCs w:val="22"/>
              </w:rPr>
            </w:pPr>
          </w:p>
          <w:p w14:paraId="21888988" w14:textId="77777777" w:rsidR="009D44C3" w:rsidRPr="00230F35" w:rsidRDefault="009D44C3" w:rsidP="005C75B4">
            <w:pPr>
              <w:pStyle w:val="NormalWeb"/>
              <w:spacing w:after="0"/>
              <w:ind w:right="-334"/>
              <w:rPr>
                <w:rFonts w:ascii="Arial" w:hAnsi="Arial" w:cs="Arial"/>
                <w:bCs/>
                <w:sz w:val="22"/>
                <w:szCs w:val="22"/>
              </w:rPr>
            </w:pPr>
          </w:p>
        </w:tc>
      </w:tr>
      <w:tr w:rsidR="009D44C3" w:rsidRPr="002F467C" w14:paraId="730963C7" w14:textId="77777777" w:rsidTr="005C75B4">
        <w:trPr>
          <w:trHeight w:val="720"/>
        </w:trPr>
        <w:tc>
          <w:tcPr>
            <w:tcW w:w="5211" w:type="dxa"/>
          </w:tcPr>
          <w:p w14:paraId="3B6EB7A4" w14:textId="77777777" w:rsidR="009D44C3" w:rsidRPr="00230F35" w:rsidRDefault="009D44C3" w:rsidP="005C75B4">
            <w:pPr>
              <w:pStyle w:val="NormalWeb"/>
              <w:spacing w:after="0"/>
              <w:ind w:right="-334"/>
              <w:rPr>
                <w:rFonts w:ascii="Arial" w:hAnsi="Arial" w:cs="Arial"/>
                <w:bCs/>
                <w:sz w:val="22"/>
                <w:szCs w:val="22"/>
              </w:rPr>
            </w:pPr>
            <w:r w:rsidRPr="00230F35">
              <w:rPr>
                <w:rFonts w:ascii="Arial" w:hAnsi="Arial" w:cs="Arial"/>
                <w:bCs/>
                <w:sz w:val="22"/>
                <w:szCs w:val="22"/>
              </w:rPr>
              <w:t>Marker’s Signature</w:t>
            </w:r>
            <w:r>
              <w:rPr>
                <w:rFonts w:ascii="Arial" w:hAnsi="Arial" w:cs="Arial"/>
                <w:bCs/>
                <w:sz w:val="22"/>
                <w:szCs w:val="22"/>
              </w:rPr>
              <w:t>:</w:t>
            </w:r>
          </w:p>
        </w:tc>
        <w:tc>
          <w:tcPr>
            <w:tcW w:w="3645" w:type="dxa"/>
            <w:gridSpan w:val="2"/>
          </w:tcPr>
          <w:p w14:paraId="2187D52A" w14:textId="77777777" w:rsidR="009D44C3" w:rsidRPr="00230F35" w:rsidRDefault="009D44C3" w:rsidP="005C75B4">
            <w:pPr>
              <w:pStyle w:val="NormalWeb"/>
              <w:spacing w:after="0"/>
              <w:ind w:right="-334"/>
              <w:rPr>
                <w:rFonts w:ascii="Arial" w:hAnsi="Arial" w:cs="Arial"/>
                <w:bCs/>
                <w:sz w:val="22"/>
                <w:szCs w:val="22"/>
              </w:rPr>
            </w:pPr>
            <w:r w:rsidRPr="00230F35">
              <w:rPr>
                <w:rFonts w:ascii="Arial" w:hAnsi="Arial" w:cs="Arial"/>
                <w:bCs/>
                <w:sz w:val="22"/>
                <w:szCs w:val="22"/>
              </w:rPr>
              <w:t>Date:</w:t>
            </w:r>
          </w:p>
        </w:tc>
      </w:tr>
      <w:tr w:rsidR="009D44C3" w:rsidRPr="002F467C" w14:paraId="01B91C7A" w14:textId="77777777" w:rsidTr="005C75B4">
        <w:trPr>
          <w:trHeight w:val="720"/>
        </w:trPr>
        <w:tc>
          <w:tcPr>
            <w:tcW w:w="8856" w:type="dxa"/>
            <w:gridSpan w:val="3"/>
          </w:tcPr>
          <w:p w14:paraId="4A45B9FC" w14:textId="77777777" w:rsidR="009D44C3" w:rsidRPr="00B34964" w:rsidRDefault="009D44C3" w:rsidP="005C75B4">
            <w:pPr>
              <w:rPr>
                <w:rFonts w:ascii="Arial" w:hAnsi="Arial" w:cs="Arial"/>
                <w:b/>
                <w:sz w:val="22"/>
                <w:szCs w:val="22"/>
              </w:rPr>
            </w:pPr>
            <w:r w:rsidRPr="00B34964">
              <w:rPr>
                <w:rFonts w:ascii="Arial" w:hAnsi="Arial" w:cs="Arial"/>
                <w:b/>
                <w:sz w:val="22"/>
                <w:szCs w:val="22"/>
              </w:rPr>
              <w:t>External Examiner’s comments (if relevant)</w:t>
            </w:r>
          </w:p>
          <w:p w14:paraId="04272616" w14:textId="77777777" w:rsidR="009D44C3" w:rsidRPr="00230F35" w:rsidRDefault="009D44C3" w:rsidP="005C75B4">
            <w:pPr>
              <w:pStyle w:val="NormalWeb"/>
              <w:spacing w:after="0"/>
              <w:ind w:right="-334"/>
              <w:rPr>
                <w:rFonts w:ascii="Arial" w:hAnsi="Arial" w:cs="Arial"/>
                <w:bCs/>
                <w:sz w:val="22"/>
                <w:szCs w:val="22"/>
              </w:rPr>
            </w:pPr>
          </w:p>
          <w:p w14:paraId="6CECC17A" w14:textId="77777777" w:rsidR="009D44C3" w:rsidRPr="00230F35" w:rsidRDefault="009D44C3" w:rsidP="005C75B4">
            <w:pPr>
              <w:pStyle w:val="NormalWeb"/>
              <w:spacing w:after="0"/>
              <w:ind w:right="-334"/>
              <w:rPr>
                <w:rFonts w:ascii="Arial" w:hAnsi="Arial" w:cs="Arial"/>
                <w:bCs/>
                <w:sz w:val="22"/>
                <w:szCs w:val="22"/>
              </w:rPr>
            </w:pPr>
          </w:p>
          <w:p w14:paraId="51C75AF5" w14:textId="77777777" w:rsidR="009D44C3" w:rsidRPr="00230F35" w:rsidRDefault="009D44C3" w:rsidP="005C75B4">
            <w:pPr>
              <w:pStyle w:val="NormalWeb"/>
              <w:spacing w:after="0"/>
              <w:ind w:right="-334"/>
              <w:rPr>
                <w:rFonts w:ascii="Arial" w:hAnsi="Arial" w:cs="Arial"/>
                <w:bCs/>
                <w:sz w:val="22"/>
                <w:szCs w:val="22"/>
              </w:rPr>
            </w:pPr>
          </w:p>
          <w:p w14:paraId="618E9E3E" w14:textId="77777777" w:rsidR="009D44C3" w:rsidRPr="00230F35" w:rsidRDefault="009D44C3" w:rsidP="005C75B4">
            <w:pPr>
              <w:pStyle w:val="NormalWeb"/>
              <w:spacing w:after="0"/>
              <w:ind w:right="-334"/>
              <w:rPr>
                <w:rFonts w:ascii="Arial" w:hAnsi="Arial" w:cs="Arial"/>
                <w:bCs/>
                <w:sz w:val="22"/>
                <w:szCs w:val="22"/>
              </w:rPr>
            </w:pPr>
          </w:p>
          <w:p w14:paraId="37598E69" w14:textId="77777777" w:rsidR="009D44C3" w:rsidRPr="00230F35" w:rsidRDefault="009D44C3" w:rsidP="005C75B4">
            <w:pPr>
              <w:pStyle w:val="NormalWeb"/>
              <w:spacing w:after="0"/>
              <w:ind w:right="-334"/>
              <w:rPr>
                <w:rFonts w:ascii="Arial" w:hAnsi="Arial" w:cs="Arial"/>
                <w:bCs/>
                <w:sz w:val="22"/>
                <w:szCs w:val="22"/>
              </w:rPr>
            </w:pPr>
          </w:p>
        </w:tc>
      </w:tr>
      <w:tr w:rsidR="009D44C3" w:rsidRPr="002F467C" w14:paraId="6F27348D" w14:textId="77777777" w:rsidTr="005C75B4">
        <w:trPr>
          <w:trHeight w:val="720"/>
        </w:trPr>
        <w:tc>
          <w:tcPr>
            <w:tcW w:w="5211" w:type="dxa"/>
          </w:tcPr>
          <w:p w14:paraId="35862EFD" w14:textId="77777777" w:rsidR="009D44C3" w:rsidRPr="00230F35" w:rsidRDefault="009D44C3" w:rsidP="005C75B4">
            <w:pPr>
              <w:rPr>
                <w:rFonts w:ascii="Arial" w:hAnsi="Arial" w:cs="Arial"/>
                <w:sz w:val="22"/>
                <w:szCs w:val="22"/>
              </w:rPr>
            </w:pPr>
            <w:r w:rsidRPr="00230F35">
              <w:rPr>
                <w:rFonts w:ascii="Arial" w:hAnsi="Arial" w:cs="Arial"/>
                <w:sz w:val="22"/>
                <w:szCs w:val="22"/>
              </w:rPr>
              <w:lastRenderedPageBreak/>
              <w:t>External Examiner’s Signature:</w:t>
            </w:r>
          </w:p>
        </w:tc>
        <w:tc>
          <w:tcPr>
            <w:tcW w:w="3645" w:type="dxa"/>
            <w:gridSpan w:val="2"/>
          </w:tcPr>
          <w:p w14:paraId="77C5825D" w14:textId="77777777" w:rsidR="009D44C3" w:rsidRPr="00230F35" w:rsidRDefault="009D44C3" w:rsidP="005C75B4">
            <w:pPr>
              <w:rPr>
                <w:rFonts w:ascii="Arial" w:hAnsi="Arial" w:cs="Arial"/>
                <w:sz w:val="22"/>
                <w:szCs w:val="22"/>
              </w:rPr>
            </w:pPr>
            <w:r w:rsidRPr="00230F35">
              <w:rPr>
                <w:rFonts w:ascii="Arial" w:hAnsi="Arial" w:cs="Arial"/>
                <w:sz w:val="22"/>
                <w:szCs w:val="22"/>
              </w:rPr>
              <w:t>Date:</w:t>
            </w:r>
          </w:p>
        </w:tc>
      </w:tr>
    </w:tbl>
    <w:p w14:paraId="01C5EF80" w14:textId="77777777" w:rsidR="003D145B" w:rsidRDefault="003D145B" w:rsidP="00E6230C">
      <w:pPr>
        <w:rPr>
          <w:rFonts w:ascii="Arial" w:hAnsi="Arial" w:cs="Arial"/>
          <w:sz w:val="28"/>
          <w:szCs w:val="28"/>
        </w:rPr>
      </w:pPr>
    </w:p>
    <w:p w14:paraId="73C29462" w14:textId="77777777" w:rsidR="00360E35" w:rsidRPr="0071646D" w:rsidRDefault="00443887" w:rsidP="00517CD7">
      <w:pPr>
        <w:pStyle w:val="p1"/>
        <w:spacing w:before="100" w:beforeAutospacing="1" w:after="100" w:afterAutospacing="1"/>
        <w:jc w:val="center"/>
        <w:rPr>
          <w:color w:val="000000" w:themeColor="text1"/>
          <w:sz w:val="24"/>
          <w:szCs w:val="24"/>
        </w:rPr>
      </w:pPr>
      <w:r w:rsidRPr="0071646D">
        <w:rPr>
          <w:color w:val="000000" w:themeColor="text1"/>
          <w:sz w:val="24"/>
          <w:szCs w:val="24"/>
        </w:rPr>
        <w:t>Assignment :</w:t>
      </w:r>
    </w:p>
    <w:p w14:paraId="6559B9DB" w14:textId="77777777" w:rsidR="0043648D" w:rsidRPr="000B5377" w:rsidRDefault="0043648D" w:rsidP="0043648D">
      <w:pPr>
        <w:spacing w:before="100" w:beforeAutospacing="1" w:after="100" w:afterAutospacing="1" w:line="240" w:lineRule="auto"/>
        <w:rPr>
          <w:rFonts w:ascii="Arial" w:hAnsi="Arial" w:cs="Arial"/>
          <w:color w:val="000000" w:themeColor="text1"/>
        </w:rPr>
      </w:pPr>
      <w:r>
        <w:rPr>
          <w:rFonts w:ascii="Arial" w:hAnsi="Arial" w:cs="Arial"/>
          <w:color w:val="000000" w:themeColor="text1"/>
        </w:rPr>
        <w:t>C</w:t>
      </w:r>
      <w:r w:rsidRPr="000B5377">
        <w:rPr>
          <w:rFonts w:ascii="Arial" w:hAnsi="Arial" w:cs="Arial"/>
          <w:color w:val="000000" w:themeColor="text1"/>
        </w:rPr>
        <w:t>ompare and contrast TWO research papers:</w:t>
      </w:r>
    </w:p>
    <w:p w14:paraId="3F262E54" w14:textId="36CC1D37" w:rsidR="001831E4" w:rsidRDefault="001831E4" w:rsidP="0043648D">
      <w:pPr>
        <w:spacing w:before="100" w:beforeAutospacing="1" w:after="100" w:afterAutospacing="1" w:line="240" w:lineRule="auto"/>
        <w:rPr>
          <w:rFonts w:ascii="Arial" w:hAnsi="Arial" w:cs="Arial"/>
          <w:color w:val="000000" w:themeColor="text1"/>
        </w:rPr>
      </w:pPr>
      <w:r>
        <w:rPr>
          <w:rFonts w:ascii="Arial" w:hAnsi="Arial" w:cs="Arial"/>
          <w:color w:val="000000" w:themeColor="text1"/>
        </w:rPr>
        <w:t xml:space="preserve">Gillian </w:t>
      </w:r>
      <w:r w:rsidRPr="008A21AC">
        <w:rPr>
          <w:rFonts w:ascii="Arial" w:hAnsi="Arial" w:cs="Arial"/>
          <w:color w:val="000000" w:themeColor="text1"/>
        </w:rPr>
        <w:t xml:space="preserve">Bennett, ‘If I Knew You Were Coming, I’d Have Baked a Cake: The Folklore of Foreknowledge in a Neighborhood Group’, in </w:t>
      </w:r>
      <w:r w:rsidRPr="008A21AC">
        <w:rPr>
          <w:rFonts w:ascii="Arial" w:hAnsi="Arial" w:cs="Arial"/>
          <w:i/>
          <w:iCs/>
          <w:color w:val="000000" w:themeColor="text1"/>
        </w:rPr>
        <w:t xml:space="preserve">Out </w:t>
      </w:r>
      <w:proofErr w:type="gramStart"/>
      <w:r w:rsidRPr="008A21AC">
        <w:rPr>
          <w:rFonts w:ascii="Arial" w:hAnsi="Arial" w:cs="Arial"/>
          <w:i/>
          <w:iCs/>
          <w:color w:val="000000" w:themeColor="text1"/>
        </w:rPr>
        <w:t>Of</w:t>
      </w:r>
      <w:proofErr w:type="gramEnd"/>
      <w:r w:rsidRPr="008A21AC">
        <w:rPr>
          <w:rFonts w:ascii="Arial" w:hAnsi="Arial" w:cs="Arial"/>
          <w:i/>
          <w:iCs/>
          <w:color w:val="000000" w:themeColor="text1"/>
        </w:rPr>
        <w:t xml:space="preserve"> The Ordinary</w:t>
      </w:r>
      <w:r w:rsidRPr="008A21AC">
        <w:rPr>
          <w:rFonts w:ascii="Arial" w:hAnsi="Arial" w:cs="Arial"/>
          <w:color w:val="000000" w:themeColor="text1"/>
        </w:rPr>
        <w:t>, (Utah State University Press, 1995)</w:t>
      </w:r>
    </w:p>
    <w:p w14:paraId="1A503867" w14:textId="69E9887E" w:rsidR="0043648D" w:rsidRPr="000B5377" w:rsidRDefault="0043648D" w:rsidP="0043648D">
      <w:pPr>
        <w:spacing w:before="100" w:beforeAutospacing="1" w:after="100" w:afterAutospacing="1" w:line="240" w:lineRule="auto"/>
        <w:rPr>
          <w:rFonts w:ascii="Arial" w:hAnsi="Arial" w:cs="Arial"/>
          <w:color w:val="000000" w:themeColor="text1"/>
        </w:rPr>
      </w:pPr>
      <w:r w:rsidRPr="000B5377">
        <w:rPr>
          <w:rFonts w:ascii="Arial" w:hAnsi="Arial" w:cs="Arial"/>
          <w:color w:val="000000" w:themeColor="text1"/>
        </w:rPr>
        <w:t xml:space="preserve">and </w:t>
      </w:r>
    </w:p>
    <w:p w14:paraId="12907CFF" w14:textId="28FE98EF" w:rsidR="0043648D" w:rsidRPr="000B5377" w:rsidRDefault="0043648D" w:rsidP="0043648D">
      <w:pPr>
        <w:spacing w:before="100" w:beforeAutospacing="1" w:after="100" w:afterAutospacing="1" w:line="240" w:lineRule="auto"/>
        <w:rPr>
          <w:rFonts w:ascii="Arial" w:hAnsi="Arial" w:cs="Arial"/>
          <w:color w:val="000000" w:themeColor="text1"/>
        </w:rPr>
      </w:pPr>
      <w:r w:rsidRPr="000B5377">
        <w:rPr>
          <w:rFonts w:ascii="Arial" w:hAnsi="Arial" w:cs="Arial"/>
          <w:color w:val="000000" w:themeColor="text1"/>
        </w:rPr>
        <w:t>Tony Walter and Helen  Waterhouse, ‘A Very Private Belief: Reincarnation in Contemporary  England’</w:t>
      </w:r>
      <w:r w:rsidRPr="000B5377">
        <w:rPr>
          <w:rFonts w:ascii="Arial" w:hAnsi="Arial" w:cs="Arial"/>
          <w:i/>
          <w:iCs/>
          <w:color w:val="000000" w:themeColor="text1"/>
        </w:rPr>
        <w:t>. Sociology of Religion</w:t>
      </w:r>
      <w:r w:rsidRPr="000B5377">
        <w:rPr>
          <w:rFonts w:ascii="Arial" w:hAnsi="Arial" w:cs="Arial"/>
          <w:color w:val="000000" w:themeColor="text1"/>
        </w:rPr>
        <w:t>, 60, 187-197</w:t>
      </w:r>
      <w:r w:rsidR="00C95D01">
        <w:rPr>
          <w:rFonts w:ascii="Arial" w:hAnsi="Arial" w:cs="Arial"/>
          <w:color w:val="000000" w:themeColor="text1"/>
        </w:rPr>
        <w:t xml:space="preserve">, </w:t>
      </w:r>
      <w:r w:rsidRPr="000B5377">
        <w:rPr>
          <w:rFonts w:ascii="Arial" w:hAnsi="Arial" w:cs="Arial"/>
          <w:color w:val="000000" w:themeColor="text1"/>
        </w:rPr>
        <w:t>(1999)</w:t>
      </w:r>
    </w:p>
    <w:p w14:paraId="0ECD80AC" w14:textId="24EFDB70" w:rsidR="004E0911" w:rsidRPr="0071646D" w:rsidRDefault="003D145B" w:rsidP="00517CD7">
      <w:pPr>
        <w:spacing w:before="100" w:beforeAutospacing="1" w:after="100" w:afterAutospacing="1" w:line="240" w:lineRule="auto"/>
        <w:jc w:val="center"/>
        <w:rPr>
          <w:rFonts w:ascii="Arial" w:hAnsi="Arial" w:cs="Arial"/>
          <w:color w:val="000000" w:themeColor="text1"/>
        </w:rPr>
      </w:pPr>
      <w:r w:rsidRPr="0071646D">
        <w:rPr>
          <w:rFonts w:ascii="Arial" w:hAnsi="Arial" w:cs="Arial"/>
          <w:color w:val="000000" w:themeColor="text1"/>
        </w:rPr>
        <w:t>Rhian Herbert: Word Count</w:t>
      </w:r>
      <w:r w:rsidR="00F70D53" w:rsidRPr="0071646D">
        <w:rPr>
          <w:rFonts w:ascii="Arial" w:hAnsi="Arial" w:cs="Arial"/>
          <w:color w:val="000000" w:themeColor="text1"/>
        </w:rPr>
        <w:t>:</w:t>
      </w:r>
      <w:r w:rsidRPr="0071646D">
        <w:rPr>
          <w:rFonts w:ascii="Arial" w:hAnsi="Arial" w:cs="Arial"/>
          <w:color w:val="000000" w:themeColor="text1"/>
        </w:rPr>
        <w:t xml:space="preserve"> </w:t>
      </w:r>
      <w:r w:rsidR="004A0C1B">
        <w:rPr>
          <w:rFonts w:ascii="Arial" w:hAnsi="Arial" w:cs="Arial"/>
          <w:color w:val="000000" w:themeColor="text1"/>
        </w:rPr>
        <w:t>2</w:t>
      </w:r>
      <w:r w:rsidR="00FA4DE5">
        <w:rPr>
          <w:rFonts w:ascii="Arial" w:hAnsi="Arial" w:cs="Arial"/>
          <w:color w:val="000000" w:themeColor="text1"/>
        </w:rPr>
        <w:t>424</w:t>
      </w:r>
    </w:p>
    <w:p w14:paraId="47AF6CBF" w14:textId="77777777" w:rsidR="00360E35" w:rsidRPr="0071646D" w:rsidRDefault="00360E35" w:rsidP="00517CD7">
      <w:pPr>
        <w:spacing w:before="100" w:beforeAutospacing="1" w:after="100" w:afterAutospacing="1" w:line="240" w:lineRule="auto"/>
        <w:jc w:val="both"/>
        <w:rPr>
          <w:rFonts w:ascii="Arial" w:hAnsi="Arial" w:cs="Arial"/>
          <w:color w:val="000000" w:themeColor="text1"/>
        </w:rPr>
      </w:pPr>
    </w:p>
    <w:p w14:paraId="4ABC14B8" w14:textId="77777777" w:rsidR="00FC3D0F" w:rsidRPr="000B5377" w:rsidRDefault="00FC3D0F" w:rsidP="00FC3D0F">
      <w:pPr>
        <w:spacing w:before="100" w:beforeAutospacing="1" w:after="100" w:afterAutospacing="1" w:line="240" w:lineRule="auto"/>
        <w:rPr>
          <w:rFonts w:ascii="Arial" w:hAnsi="Arial" w:cs="Arial"/>
          <w:color w:val="000000" w:themeColor="text1"/>
          <w:u w:val="single"/>
        </w:rPr>
      </w:pPr>
      <w:r w:rsidRPr="000B5377">
        <w:rPr>
          <w:rFonts w:ascii="Arial" w:hAnsi="Arial" w:cs="Arial"/>
          <w:color w:val="000000" w:themeColor="text1"/>
          <w:u w:val="single"/>
        </w:rPr>
        <w:br w:type="page"/>
      </w:r>
    </w:p>
    <w:p w14:paraId="2C73C3A4" w14:textId="77777777" w:rsidR="00FC3D0F" w:rsidRPr="000B5377" w:rsidRDefault="00FC3D0F" w:rsidP="00FC3D0F">
      <w:pPr>
        <w:spacing w:before="100" w:beforeAutospacing="1" w:after="100" w:afterAutospacing="1" w:line="240" w:lineRule="auto"/>
        <w:rPr>
          <w:rFonts w:ascii="Arial" w:hAnsi="Arial" w:cs="Arial"/>
          <w:color w:val="000000" w:themeColor="text1"/>
          <w:u w:val="single"/>
        </w:rPr>
      </w:pPr>
      <w:r w:rsidRPr="000B5377">
        <w:rPr>
          <w:rFonts w:ascii="Arial" w:hAnsi="Arial" w:cs="Arial"/>
          <w:color w:val="000000" w:themeColor="text1"/>
          <w:u w:val="single"/>
        </w:rPr>
        <w:lastRenderedPageBreak/>
        <w:t>Introduction</w:t>
      </w:r>
    </w:p>
    <w:p w14:paraId="70253A86" w14:textId="5AD822C8" w:rsidR="00FC3D0F" w:rsidRPr="000B5377" w:rsidRDefault="00FC3D0F" w:rsidP="00FC3D0F">
      <w:pPr>
        <w:spacing w:before="100" w:beforeAutospacing="1" w:after="100" w:afterAutospacing="1" w:line="240" w:lineRule="auto"/>
        <w:jc w:val="both"/>
        <w:rPr>
          <w:rFonts w:ascii="Arial" w:hAnsi="Arial" w:cs="Arial"/>
          <w:color w:val="000000" w:themeColor="text1"/>
        </w:rPr>
      </w:pPr>
      <w:r w:rsidRPr="000B5377">
        <w:rPr>
          <w:rFonts w:ascii="Arial" w:hAnsi="Arial" w:cs="Arial"/>
          <w:color w:val="000000" w:themeColor="text1"/>
        </w:rPr>
        <w:t>This essay critically compares and contrasts two papers, Gillian Bennett’s work,  ‘‘If I Knew You were Coming I'd Have Baked a Cake’: The Folklore of Foreknowledge in a Neighborhood Group’</w:t>
      </w:r>
      <w:r>
        <w:rPr>
          <w:rFonts w:ascii="Arial" w:hAnsi="Arial" w:cs="Arial"/>
          <w:color w:val="000000" w:themeColor="text1"/>
        </w:rPr>
        <w:t>,</w:t>
      </w:r>
      <w:r>
        <w:rPr>
          <w:rStyle w:val="FootnoteReference"/>
          <w:rFonts w:ascii="Arial" w:hAnsi="Arial" w:cs="Arial"/>
          <w:color w:val="000000" w:themeColor="text1"/>
        </w:rPr>
        <w:footnoteReference w:id="1"/>
      </w:r>
      <w:r w:rsidRPr="000B5377">
        <w:rPr>
          <w:rFonts w:ascii="Arial" w:hAnsi="Arial" w:cs="Arial"/>
          <w:color w:val="000000" w:themeColor="text1"/>
        </w:rPr>
        <w:t xml:space="preserve"> published in </w:t>
      </w:r>
      <w:r w:rsidRPr="00032291">
        <w:rPr>
          <w:rFonts w:ascii="Arial" w:hAnsi="Arial" w:cs="Arial"/>
          <w:i/>
          <w:iCs/>
          <w:color w:val="000000" w:themeColor="text1"/>
        </w:rPr>
        <w:t>Out of the Ordinary: Folklore and the Supernatura</w:t>
      </w:r>
      <w:r w:rsidR="00032291">
        <w:rPr>
          <w:rFonts w:ascii="Arial" w:hAnsi="Arial" w:cs="Arial"/>
          <w:i/>
          <w:iCs/>
          <w:color w:val="000000" w:themeColor="text1"/>
        </w:rPr>
        <w:t>l</w:t>
      </w:r>
      <w:r w:rsidRPr="000B5377">
        <w:rPr>
          <w:rFonts w:ascii="Arial" w:hAnsi="Arial" w:cs="Arial"/>
          <w:color w:val="000000" w:themeColor="text1"/>
        </w:rPr>
        <w:t xml:space="preserve"> and Tony Walter and Helen Waterhouse’s work, ‘A Very Private Belief: Reincarnation in Contemporary England’</w:t>
      </w:r>
      <w:r>
        <w:rPr>
          <w:rFonts w:ascii="Arial" w:hAnsi="Arial" w:cs="Arial"/>
          <w:color w:val="000000" w:themeColor="text1"/>
        </w:rPr>
        <w:t>,</w:t>
      </w:r>
      <w:r w:rsidRPr="000B5377">
        <w:rPr>
          <w:rFonts w:ascii="Arial" w:hAnsi="Arial" w:cs="Arial"/>
          <w:color w:val="000000" w:themeColor="text1"/>
        </w:rPr>
        <w:t xml:space="preserve"> published in </w:t>
      </w:r>
      <w:r w:rsidRPr="00032291">
        <w:rPr>
          <w:rFonts w:ascii="Arial" w:hAnsi="Arial" w:cs="Arial"/>
          <w:i/>
          <w:iCs/>
          <w:color w:val="000000" w:themeColor="text1"/>
        </w:rPr>
        <w:t>Sociology of Religion</w:t>
      </w:r>
      <w:r w:rsidRPr="000B5377">
        <w:rPr>
          <w:rFonts w:ascii="Arial" w:hAnsi="Arial" w:cs="Arial"/>
          <w:color w:val="000000" w:themeColor="text1"/>
        </w:rPr>
        <w:t>.</w:t>
      </w:r>
      <w:r>
        <w:rPr>
          <w:rStyle w:val="FootnoteReference"/>
          <w:rFonts w:ascii="Arial" w:hAnsi="Arial" w:cs="Arial"/>
          <w:color w:val="000000" w:themeColor="text1"/>
        </w:rPr>
        <w:footnoteReference w:id="2"/>
      </w:r>
      <w:r w:rsidRPr="000B5377">
        <w:rPr>
          <w:rFonts w:ascii="Arial" w:hAnsi="Arial" w:cs="Arial"/>
          <w:color w:val="000000" w:themeColor="text1"/>
        </w:rPr>
        <w:t xml:space="preserve"> These two papers cover similar topics and were both written for specific audiences as can be seen </w:t>
      </w:r>
      <w:r>
        <w:rPr>
          <w:rFonts w:ascii="Arial" w:hAnsi="Arial" w:cs="Arial"/>
          <w:color w:val="000000" w:themeColor="text1"/>
        </w:rPr>
        <w:t>by</w:t>
      </w:r>
      <w:r w:rsidRPr="000B5377">
        <w:rPr>
          <w:rFonts w:ascii="Arial" w:hAnsi="Arial" w:cs="Arial"/>
          <w:color w:val="000000" w:themeColor="text1"/>
        </w:rPr>
        <w:t xml:space="preserve"> the </w:t>
      </w:r>
      <w:r w:rsidR="00C95D01">
        <w:rPr>
          <w:rFonts w:ascii="Arial" w:hAnsi="Arial" w:cs="Arial"/>
          <w:color w:val="000000" w:themeColor="text1"/>
        </w:rPr>
        <w:t>publications</w:t>
      </w:r>
      <w:r w:rsidRPr="000B5377">
        <w:rPr>
          <w:rFonts w:ascii="Arial" w:hAnsi="Arial" w:cs="Arial"/>
          <w:color w:val="000000" w:themeColor="text1"/>
        </w:rPr>
        <w:t xml:space="preserve"> which published them, as opposed to a wider, more generic audience. We shall examine Bennett’s work first, followed by Walter and Waterhouse, </w:t>
      </w:r>
      <w:proofErr w:type="gramStart"/>
      <w:r w:rsidRPr="000B5377">
        <w:rPr>
          <w:rFonts w:ascii="Arial" w:hAnsi="Arial" w:cs="Arial"/>
          <w:color w:val="000000" w:themeColor="text1"/>
        </w:rPr>
        <w:t>compare and contrast</w:t>
      </w:r>
      <w:proofErr w:type="gramEnd"/>
      <w:r w:rsidRPr="000B5377">
        <w:rPr>
          <w:rFonts w:ascii="Arial" w:hAnsi="Arial" w:cs="Arial"/>
          <w:color w:val="000000" w:themeColor="text1"/>
        </w:rPr>
        <w:t xml:space="preserve"> the two, before coming to a conclusion. </w:t>
      </w:r>
    </w:p>
    <w:p w14:paraId="5F431F9D" w14:textId="77777777" w:rsidR="00FC3D0F" w:rsidRPr="000B5377" w:rsidRDefault="00FC3D0F" w:rsidP="00FC3D0F">
      <w:pPr>
        <w:spacing w:before="100" w:beforeAutospacing="1" w:after="100" w:afterAutospacing="1" w:line="240" w:lineRule="auto"/>
        <w:jc w:val="both"/>
        <w:rPr>
          <w:rFonts w:ascii="Arial" w:hAnsi="Arial" w:cs="Arial"/>
          <w:color w:val="000000" w:themeColor="text1"/>
          <w:u w:val="single"/>
        </w:rPr>
      </w:pPr>
      <w:r w:rsidRPr="000B5377">
        <w:rPr>
          <w:rFonts w:ascii="Arial" w:hAnsi="Arial" w:cs="Arial"/>
          <w:color w:val="000000" w:themeColor="text1"/>
          <w:u w:val="single"/>
        </w:rPr>
        <w:t>Bennett – Context and Focus</w:t>
      </w:r>
    </w:p>
    <w:p w14:paraId="2D20AA78" w14:textId="30BB4885" w:rsidR="00FC3D0F" w:rsidRPr="000B5377" w:rsidRDefault="00FC3D0F" w:rsidP="00FC3D0F">
      <w:pPr>
        <w:spacing w:before="100" w:beforeAutospacing="1" w:after="100" w:afterAutospacing="1" w:line="240" w:lineRule="auto"/>
        <w:jc w:val="both"/>
        <w:rPr>
          <w:rFonts w:ascii="Arial" w:hAnsi="Arial" w:cs="Arial"/>
          <w:color w:val="000000" w:themeColor="text1"/>
        </w:rPr>
      </w:pPr>
      <w:r w:rsidRPr="000B5377">
        <w:rPr>
          <w:rFonts w:ascii="Arial" w:hAnsi="Arial" w:cs="Arial"/>
          <w:color w:val="000000" w:themeColor="text1"/>
        </w:rPr>
        <w:t xml:space="preserve">The focus of the research is regarding a shared perception of knowledge of the future, as understood by a group of elderly women; and </w:t>
      </w:r>
      <w:proofErr w:type="gramStart"/>
      <w:r w:rsidRPr="000B5377">
        <w:rPr>
          <w:rFonts w:ascii="Arial" w:hAnsi="Arial" w:cs="Arial"/>
          <w:color w:val="000000" w:themeColor="text1"/>
        </w:rPr>
        <w:t>also</w:t>
      </w:r>
      <w:proofErr w:type="gramEnd"/>
      <w:r w:rsidRPr="000B5377">
        <w:rPr>
          <w:rFonts w:ascii="Arial" w:hAnsi="Arial" w:cs="Arial"/>
          <w:color w:val="000000" w:themeColor="text1"/>
        </w:rPr>
        <w:t xml:space="preserve"> their folklore regarding the topic, which Bennet believes has shaped a collective understanding.</w:t>
      </w:r>
      <w:r w:rsidRPr="000B5377">
        <w:rPr>
          <w:rStyle w:val="FootnoteReference"/>
          <w:rFonts w:ascii="Arial" w:hAnsi="Arial" w:cs="Arial"/>
          <w:color w:val="000000" w:themeColor="text1"/>
        </w:rPr>
        <w:footnoteReference w:id="3"/>
      </w:r>
      <w:r w:rsidRPr="000B5377">
        <w:rPr>
          <w:rFonts w:ascii="Arial" w:hAnsi="Arial" w:cs="Arial"/>
          <w:color w:val="000000" w:themeColor="text1"/>
        </w:rPr>
        <w:t xml:space="preserve"> </w:t>
      </w:r>
    </w:p>
    <w:p w14:paraId="59388EAA" w14:textId="5CD0BABF" w:rsidR="00FC3D0F" w:rsidRPr="000B5377" w:rsidRDefault="00FC3D0F" w:rsidP="00FC3D0F">
      <w:pPr>
        <w:spacing w:before="100" w:beforeAutospacing="1" w:after="100" w:afterAutospacing="1" w:line="240" w:lineRule="auto"/>
        <w:jc w:val="both"/>
        <w:rPr>
          <w:rFonts w:ascii="Arial" w:hAnsi="Arial" w:cs="Arial"/>
          <w:color w:val="000000" w:themeColor="text1"/>
        </w:rPr>
      </w:pPr>
      <w:r w:rsidRPr="000B5377">
        <w:rPr>
          <w:rFonts w:ascii="Arial" w:hAnsi="Arial" w:cs="Arial"/>
          <w:color w:val="000000" w:themeColor="text1"/>
        </w:rPr>
        <w:t xml:space="preserve">Bennett contextualises their research by giving a historical perspective, </w:t>
      </w:r>
      <w:r w:rsidR="004970D7">
        <w:rPr>
          <w:rFonts w:ascii="Arial" w:hAnsi="Arial" w:cs="Arial"/>
          <w:color w:val="000000" w:themeColor="text1"/>
        </w:rPr>
        <w:t xml:space="preserve">by </w:t>
      </w:r>
      <w:r w:rsidRPr="000B5377">
        <w:rPr>
          <w:rFonts w:ascii="Arial" w:hAnsi="Arial" w:cs="Arial"/>
          <w:color w:val="000000" w:themeColor="text1"/>
        </w:rPr>
        <w:t>looking at John Aubrey writing in the 17</w:t>
      </w:r>
      <w:r w:rsidRPr="000B5377">
        <w:rPr>
          <w:rFonts w:ascii="Arial" w:hAnsi="Arial" w:cs="Arial"/>
          <w:color w:val="000000" w:themeColor="text1"/>
          <w:vertAlign w:val="superscript"/>
        </w:rPr>
        <w:t>th</w:t>
      </w:r>
      <w:r w:rsidRPr="000B5377">
        <w:rPr>
          <w:rFonts w:ascii="Arial" w:hAnsi="Arial" w:cs="Arial"/>
          <w:color w:val="000000" w:themeColor="text1"/>
        </w:rPr>
        <w:t xml:space="preserve"> century, showing there is a long tradition of collecting rumours, legends and personal experience stories with a supernatural theme. The validity of these supernatural stories are shown by Aubrey where he equates his collected information with the links  to real life events his interviewees had put forward.</w:t>
      </w:r>
      <w:r w:rsidRPr="000B5377">
        <w:rPr>
          <w:rStyle w:val="FootnoteReference"/>
          <w:rFonts w:ascii="Arial" w:hAnsi="Arial" w:cs="Arial"/>
          <w:color w:val="000000" w:themeColor="text1"/>
        </w:rPr>
        <w:footnoteReference w:id="4"/>
      </w:r>
      <w:r w:rsidRPr="000B5377">
        <w:rPr>
          <w:rFonts w:ascii="Arial" w:hAnsi="Arial" w:cs="Arial"/>
          <w:color w:val="000000" w:themeColor="text1"/>
        </w:rPr>
        <w:t xml:space="preserve"> Bennett continues this theme with Francis Grose writing in 1787, who compiled an inventory of omens of death, that were considered to be contemporary for the time</w:t>
      </w:r>
      <w:r>
        <w:rPr>
          <w:rFonts w:ascii="Arial" w:hAnsi="Arial" w:cs="Arial"/>
          <w:color w:val="000000" w:themeColor="text1"/>
        </w:rPr>
        <w:t>.</w:t>
      </w:r>
      <w:r w:rsidRPr="000B5377">
        <w:rPr>
          <w:rStyle w:val="FootnoteReference"/>
          <w:rFonts w:ascii="Arial" w:hAnsi="Arial" w:cs="Arial"/>
          <w:color w:val="000000" w:themeColor="text1"/>
        </w:rPr>
        <w:footnoteReference w:id="5"/>
      </w:r>
      <w:r w:rsidRPr="000B5377">
        <w:rPr>
          <w:rFonts w:ascii="Arial" w:hAnsi="Arial" w:cs="Arial"/>
          <w:color w:val="000000" w:themeColor="text1"/>
        </w:rPr>
        <w:t xml:space="preserve"> Bennett states that in the 18th century there was a move away from supernatural beliefs with more impressive expressions, but that did not mean that they vanished entirely, instead they became more restricted and less dramatic, moving to more personal and less extravagant stories.</w:t>
      </w:r>
      <w:r w:rsidRPr="000B5377">
        <w:rPr>
          <w:rStyle w:val="FootnoteReference"/>
          <w:rFonts w:ascii="Arial" w:hAnsi="Arial" w:cs="Arial"/>
          <w:color w:val="000000" w:themeColor="text1"/>
        </w:rPr>
        <w:footnoteReference w:id="6"/>
      </w:r>
    </w:p>
    <w:p w14:paraId="69C5FE20" w14:textId="1BD9E571" w:rsidR="00FC3D0F" w:rsidRPr="000B5377" w:rsidRDefault="00FC3D0F" w:rsidP="00FC3D0F">
      <w:pPr>
        <w:spacing w:before="100" w:beforeAutospacing="1" w:after="100" w:afterAutospacing="1" w:line="240" w:lineRule="auto"/>
        <w:jc w:val="both"/>
        <w:rPr>
          <w:rFonts w:ascii="Arial" w:hAnsi="Arial" w:cs="Arial"/>
          <w:color w:val="000000" w:themeColor="text1"/>
        </w:rPr>
      </w:pPr>
      <w:r w:rsidRPr="000B5377">
        <w:rPr>
          <w:rFonts w:ascii="Arial" w:hAnsi="Arial" w:cs="Arial"/>
          <w:color w:val="000000" w:themeColor="text1"/>
        </w:rPr>
        <w:t>Bennett argues that the Scientific Revolution meant that instead of externalising the supernatural experience, it transformed into more internalised</w:t>
      </w:r>
      <w:r w:rsidR="004970D7">
        <w:rPr>
          <w:rFonts w:ascii="Arial" w:hAnsi="Arial" w:cs="Arial"/>
          <w:color w:val="000000" w:themeColor="text1"/>
        </w:rPr>
        <w:t>,</w:t>
      </w:r>
      <w:r w:rsidRPr="000B5377">
        <w:rPr>
          <w:rFonts w:ascii="Arial" w:hAnsi="Arial" w:cs="Arial"/>
          <w:color w:val="000000" w:themeColor="text1"/>
        </w:rPr>
        <w:t xml:space="preserve"> and by the mid 19th century there were two main areas regarding foreknowledge in British folkloristic writing; one which dealt with visions and dreams, the other interpretation of signs and other external stimuli.</w:t>
      </w:r>
      <w:r w:rsidRPr="000B5377">
        <w:rPr>
          <w:rStyle w:val="FootnoteReference"/>
          <w:rFonts w:ascii="Arial" w:hAnsi="Arial" w:cs="Arial"/>
          <w:color w:val="000000" w:themeColor="text1"/>
        </w:rPr>
        <w:footnoteReference w:id="7"/>
      </w:r>
      <w:r w:rsidRPr="000B5377">
        <w:rPr>
          <w:rFonts w:ascii="Arial" w:hAnsi="Arial" w:cs="Arial"/>
          <w:color w:val="000000" w:themeColor="text1"/>
        </w:rPr>
        <w:t xml:space="preserve"> Bennett uses the examples of William Henderson and Catherine Crowe</w:t>
      </w:r>
      <w:r w:rsidR="004970D7">
        <w:rPr>
          <w:rFonts w:ascii="Arial" w:hAnsi="Arial" w:cs="Arial"/>
          <w:color w:val="000000" w:themeColor="text1"/>
        </w:rPr>
        <w:t>,</w:t>
      </w:r>
      <w:r w:rsidRPr="000B5377">
        <w:rPr>
          <w:rFonts w:ascii="Arial" w:hAnsi="Arial" w:cs="Arial"/>
          <w:color w:val="000000" w:themeColor="text1"/>
        </w:rPr>
        <w:t xml:space="preserve"> writing less than 20 years apart</w:t>
      </w:r>
      <w:r w:rsidR="004970D7">
        <w:rPr>
          <w:rFonts w:ascii="Arial" w:hAnsi="Arial" w:cs="Arial"/>
          <w:color w:val="000000" w:themeColor="text1"/>
        </w:rPr>
        <w:t>,</w:t>
      </w:r>
      <w:r w:rsidRPr="000B5377">
        <w:rPr>
          <w:rFonts w:ascii="Arial" w:hAnsi="Arial" w:cs="Arial"/>
          <w:color w:val="000000" w:themeColor="text1"/>
        </w:rPr>
        <w:t xml:space="preserve"> with Henderson focussing on the external, and Crowe more concerned with the internal.</w:t>
      </w:r>
      <w:r w:rsidRPr="000B5377">
        <w:rPr>
          <w:rStyle w:val="FootnoteReference"/>
          <w:rFonts w:ascii="Arial" w:hAnsi="Arial" w:cs="Arial"/>
          <w:color w:val="000000" w:themeColor="text1"/>
        </w:rPr>
        <w:footnoteReference w:id="8"/>
      </w:r>
      <w:r w:rsidRPr="000B5377">
        <w:rPr>
          <w:rFonts w:ascii="Arial" w:hAnsi="Arial" w:cs="Arial"/>
          <w:color w:val="000000" w:themeColor="text1"/>
        </w:rPr>
        <w:t xml:space="preserve">  Bennett claims that these two areas have continued into their time of writing, with statistics regarding the belief in </w:t>
      </w:r>
      <w:r w:rsidRPr="000B5377">
        <w:rPr>
          <w:rFonts w:ascii="Arial" w:hAnsi="Arial" w:cs="Arial"/>
          <w:color w:val="000000" w:themeColor="text1"/>
        </w:rPr>
        <w:lastRenderedPageBreak/>
        <w:t>astrology and fortune-telling in both the US and the UK reflecting this.</w:t>
      </w:r>
      <w:r w:rsidRPr="000B5377">
        <w:rPr>
          <w:rStyle w:val="FootnoteReference"/>
          <w:rFonts w:ascii="Arial" w:hAnsi="Arial" w:cs="Arial"/>
          <w:color w:val="000000" w:themeColor="text1"/>
        </w:rPr>
        <w:footnoteReference w:id="9"/>
      </w:r>
      <w:r w:rsidRPr="000B5377">
        <w:rPr>
          <w:rFonts w:ascii="Arial" w:hAnsi="Arial" w:cs="Arial"/>
          <w:color w:val="000000" w:themeColor="text1"/>
        </w:rPr>
        <w:t xml:space="preserve"> Even though some of the figures quoted have shown a decline, they still reveal that those surveyed are familiar with the subject and the practises in question, and therefore these have not completely vanished from society’s collective consciousness. Bennett states that the statistics reveal there is a higher level of belief in such things as telepathy and clairvoyance in the UK and that a study in Finland in the 1970s found similar results.</w:t>
      </w:r>
      <w:r w:rsidRPr="000B5377">
        <w:rPr>
          <w:rStyle w:val="FootnoteReference"/>
          <w:rFonts w:ascii="Arial" w:hAnsi="Arial" w:cs="Arial"/>
          <w:color w:val="000000" w:themeColor="text1"/>
        </w:rPr>
        <w:footnoteReference w:id="10"/>
      </w:r>
      <w:r w:rsidRPr="000B5377">
        <w:rPr>
          <w:rFonts w:ascii="Arial" w:hAnsi="Arial" w:cs="Arial"/>
          <w:color w:val="000000" w:themeColor="text1"/>
        </w:rPr>
        <w:t xml:space="preserve"> Bennett believes there is a preference for visionary, rather than divinatory folkloric tradition and this is backed up by the research and indeed their own experience of collating data.</w:t>
      </w:r>
      <w:r w:rsidRPr="000B5377">
        <w:rPr>
          <w:rStyle w:val="FootnoteReference"/>
          <w:rFonts w:ascii="Arial" w:hAnsi="Arial" w:cs="Arial"/>
          <w:color w:val="000000" w:themeColor="text1"/>
        </w:rPr>
        <w:footnoteReference w:id="11"/>
      </w:r>
      <w:r w:rsidRPr="000B5377">
        <w:rPr>
          <w:rFonts w:ascii="Arial" w:hAnsi="Arial" w:cs="Arial"/>
          <w:color w:val="000000" w:themeColor="text1"/>
        </w:rPr>
        <w:t xml:space="preserve"> </w:t>
      </w:r>
    </w:p>
    <w:p w14:paraId="6BB300D1" w14:textId="0D0FD8AA" w:rsidR="00FC3D0F" w:rsidRPr="000B5377" w:rsidRDefault="00FC3D0F" w:rsidP="00FC3D0F">
      <w:pPr>
        <w:spacing w:before="100" w:beforeAutospacing="1" w:after="100" w:afterAutospacing="1" w:line="240" w:lineRule="auto"/>
        <w:jc w:val="both"/>
        <w:rPr>
          <w:rFonts w:ascii="Arial" w:hAnsi="Arial" w:cs="Arial"/>
          <w:color w:val="000000" w:themeColor="text1"/>
        </w:rPr>
      </w:pPr>
      <w:r w:rsidRPr="000B5377">
        <w:rPr>
          <w:rFonts w:ascii="Arial" w:hAnsi="Arial" w:cs="Arial"/>
          <w:color w:val="000000" w:themeColor="text1"/>
        </w:rPr>
        <w:t>Bennett</w:t>
      </w:r>
      <w:r w:rsidR="004970D7">
        <w:rPr>
          <w:rFonts w:ascii="Arial" w:hAnsi="Arial" w:cs="Arial"/>
          <w:color w:val="000000" w:themeColor="text1"/>
        </w:rPr>
        <w:t xml:space="preserve"> then</w:t>
      </w:r>
      <w:r w:rsidRPr="000B5377">
        <w:rPr>
          <w:rFonts w:ascii="Arial" w:hAnsi="Arial" w:cs="Arial"/>
          <w:color w:val="000000" w:themeColor="text1"/>
        </w:rPr>
        <w:t xml:space="preserve"> moves on from the historical context for their research to their own experiences of collecting data, and found that informants were willing to share information and vocabulary openly</w:t>
      </w:r>
      <w:r w:rsidR="004970D7">
        <w:rPr>
          <w:rFonts w:ascii="Arial" w:hAnsi="Arial" w:cs="Arial"/>
          <w:color w:val="000000" w:themeColor="text1"/>
        </w:rPr>
        <w:t xml:space="preserve"> within the restrictions of the interview process chosen</w:t>
      </w:r>
      <w:r w:rsidRPr="000B5377">
        <w:rPr>
          <w:rFonts w:ascii="Arial" w:hAnsi="Arial" w:cs="Arial"/>
          <w:color w:val="000000" w:themeColor="text1"/>
        </w:rPr>
        <w:t>.</w:t>
      </w:r>
      <w:r w:rsidRPr="000B5377">
        <w:rPr>
          <w:rStyle w:val="FootnoteReference"/>
          <w:rFonts w:ascii="Arial" w:hAnsi="Arial" w:cs="Arial"/>
          <w:color w:val="000000" w:themeColor="text1"/>
        </w:rPr>
        <w:footnoteReference w:id="12"/>
      </w:r>
      <w:r w:rsidRPr="000B5377">
        <w:rPr>
          <w:rFonts w:ascii="Arial" w:hAnsi="Arial" w:cs="Arial"/>
          <w:color w:val="000000" w:themeColor="text1"/>
        </w:rPr>
        <w:t xml:space="preserve"> Bennett notes that details are often left vague by respondents and claims this is indicative that the informant</w:t>
      </w:r>
      <w:r>
        <w:rPr>
          <w:rFonts w:ascii="Arial" w:hAnsi="Arial" w:cs="Arial"/>
          <w:color w:val="000000" w:themeColor="text1"/>
        </w:rPr>
        <w:t>s</w:t>
      </w:r>
      <w:r w:rsidRPr="000B5377">
        <w:rPr>
          <w:rFonts w:ascii="Arial" w:hAnsi="Arial" w:cs="Arial"/>
          <w:color w:val="000000" w:themeColor="text1"/>
        </w:rPr>
        <w:t xml:space="preserve"> </w:t>
      </w:r>
      <w:r>
        <w:rPr>
          <w:rFonts w:ascii="Arial" w:hAnsi="Arial" w:cs="Arial"/>
          <w:color w:val="000000" w:themeColor="text1"/>
        </w:rPr>
        <w:t xml:space="preserve">had </w:t>
      </w:r>
      <w:r w:rsidRPr="000B5377">
        <w:rPr>
          <w:rFonts w:ascii="Arial" w:hAnsi="Arial" w:cs="Arial"/>
          <w:color w:val="000000" w:themeColor="text1"/>
        </w:rPr>
        <w:t>a belief that the interviewer w</w:t>
      </w:r>
      <w:r>
        <w:rPr>
          <w:rFonts w:ascii="Arial" w:hAnsi="Arial" w:cs="Arial"/>
          <w:color w:val="000000" w:themeColor="text1"/>
        </w:rPr>
        <w:t>as</w:t>
      </w:r>
      <w:r w:rsidRPr="000B5377">
        <w:rPr>
          <w:rFonts w:ascii="Arial" w:hAnsi="Arial" w:cs="Arial"/>
          <w:color w:val="000000" w:themeColor="text1"/>
        </w:rPr>
        <w:t xml:space="preserve"> already be familiar with terminology that is specific to the folklore being discussed.</w:t>
      </w:r>
      <w:r w:rsidRPr="000B5377">
        <w:rPr>
          <w:rStyle w:val="FootnoteReference"/>
          <w:rFonts w:ascii="Arial" w:hAnsi="Arial" w:cs="Arial"/>
          <w:color w:val="000000" w:themeColor="text1"/>
        </w:rPr>
        <w:footnoteReference w:id="13"/>
      </w:r>
      <w:r w:rsidRPr="000B5377">
        <w:rPr>
          <w:rFonts w:ascii="Arial" w:hAnsi="Arial" w:cs="Arial"/>
          <w:color w:val="000000" w:themeColor="text1"/>
        </w:rPr>
        <w:t xml:space="preserve">  Bennett explains the means with which interviewees were sourced and identified,  utilising the patients that attended a podiatrist’s clinic, which belonged to Bennett’s father. Describing them as a </w:t>
      </w:r>
      <w:proofErr w:type="gramStart"/>
      <w:r w:rsidRPr="000B5377">
        <w:rPr>
          <w:rFonts w:ascii="Arial" w:hAnsi="Arial" w:cs="Arial"/>
          <w:color w:val="000000" w:themeColor="text1"/>
        </w:rPr>
        <w:t>fairly homogeneous</w:t>
      </w:r>
      <w:proofErr w:type="gramEnd"/>
      <w:r w:rsidRPr="000B5377">
        <w:rPr>
          <w:rFonts w:ascii="Arial" w:hAnsi="Arial" w:cs="Arial"/>
          <w:color w:val="000000" w:themeColor="text1"/>
        </w:rPr>
        <w:t xml:space="preserve"> cultural and social group many of whom attended a local church and were based in the neighbourhood nearby.</w:t>
      </w:r>
      <w:r w:rsidRPr="000B5377">
        <w:rPr>
          <w:rStyle w:val="FootnoteReference"/>
          <w:rFonts w:ascii="Arial" w:hAnsi="Arial" w:cs="Arial"/>
          <w:color w:val="000000" w:themeColor="text1"/>
        </w:rPr>
        <w:footnoteReference w:id="14"/>
      </w:r>
      <w:r w:rsidRPr="000B5377">
        <w:rPr>
          <w:rFonts w:ascii="Arial" w:hAnsi="Arial" w:cs="Arial"/>
          <w:color w:val="000000" w:themeColor="text1"/>
        </w:rPr>
        <w:t xml:space="preserve"> Bennett sat in on treatments with the patients’ permission, explained the research and recorded everything that was said.</w:t>
      </w:r>
      <w:r w:rsidRPr="000B5377">
        <w:rPr>
          <w:rStyle w:val="FootnoteReference"/>
          <w:rFonts w:ascii="Arial" w:hAnsi="Arial" w:cs="Arial"/>
          <w:color w:val="000000" w:themeColor="text1"/>
        </w:rPr>
        <w:footnoteReference w:id="15"/>
      </w:r>
      <w:r w:rsidRPr="000B5377">
        <w:rPr>
          <w:rFonts w:ascii="Arial" w:hAnsi="Arial" w:cs="Arial"/>
          <w:color w:val="000000" w:themeColor="text1"/>
        </w:rPr>
        <w:t xml:space="preserve"> Bennett’s group was 120 people and from this they chose the pool of interviewees, which were elderly women. The responses are based on 87 participants aged 60 to 95 years with information about the participants passed on by Bennett's father.</w:t>
      </w:r>
      <w:r w:rsidRPr="000B5377">
        <w:rPr>
          <w:rStyle w:val="FootnoteReference"/>
          <w:rFonts w:ascii="Arial" w:hAnsi="Arial" w:cs="Arial"/>
          <w:color w:val="000000" w:themeColor="text1"/>
        </w:rPr>
        <w:footnoteReference w:id="16"/>
      </w:r>
      <w:r w:rsidRPr="000B5377">
        <w:rPr>
          <w:rFonts w:ascii="Arial" w:hAnsi="Arial" w:cs="Arial"/>
          <w:color w:val="000000" w:themeColor="text1"/>
        </w:rPr>
        <w:t xml:space="preserve"> Some of the information was not confirmed with participants and instead was drawn from conclusions made by Bennett during the interviewing process.</w:t>
      </w:r>
      <w:r w:rsidRPr="000B5377">
        <w:rPr>
          <w:rStyle w:val="FootnoteReference"/>
          <w:rFonts w:ascii="Arial" w:hAnsi="Arial" w:cs="Arial"/>
          <w:color w:val="000000" w:themeColor="text1"/>
        </w:rPr>
        <w:footnoteReference w:id="17"/>
      </w:r>
      <w:r w:rsidRPr="000B5377">
        <w:rPr>
          <w:rFonts w:ascii="Arial" w:hAnsi="Arial" w:cs="Arial"/>
          <w:color w:val="000000" w:themeColor="text1"/>
        </w:rPr>
        <w:t xml:space="preserve"> </w:t>
      </w:r>
    </w:p>
    <w:p w14:paraId="4D33410B" w14:textId="1B04B404" w:rsidR="00FC3D0F" w:rsidRPr="000B5377" w:rsidRDefault="00FC3D0F" w:rsidP="00FC3D0F">
      <w:pPr>
        <w:spacing w:before="100" w:beforeAutospacing="1" w:after="100" w:afterAutospacing="1" w:line="240" w:lineRule="auto"/>
        <w:jc w:val="both"/>
        <w:rPr>
          <w:rFonts w:ascii="Arial" w:hAnsi="Arial" w:cs="Arial"/>
          <w:color w:val="000000" w:themeColor="text1"/>
        </w:rPr>
      </w:pPr>
      <w:r w:rsidRPr="000B5377">
        <w:rPr>
          <w:rFonts w:ascii="Arial" w:hAnsi="Arial" w:cs="Arial"/>
          <w:color w:val="000000" w:themeColor="text1"/>
        </w:rPr>
        <w:t>Bennett describes the interviewees</w:t>
      </w:r>
      <w:r>
        <w:rPr>
          <w:rFonts w:ascii="Arial" w:hAnsi="Arial" w:cs="Arial"/>
          <w:color w:val="000000" w:themeColor="text1"/>
        </w:rPr>
        <w:t xml:space="preserve"> as</w:t>
      </w:r>
      <w:r w:rsidRPr="000B5377">
        <w:rPr>
          <w:rFonts w:ascii="Arial" w:hAnsi="Arial" w:cs="Arial"/>
          <w:color w:val="000000" w:themeColor="text1"/>
        </w:rPr>
        <w:t xml:space="preserve"> believing in their own expertise and being witness to the phenomena they detailed</w:t>
      </w:r>
      <w:r>
        <w:rPr>
          <w:rFonts w:ascii="Arial" w:hAnsi="Arial" w:cs="Arial"/>
          <w:color w:val="000000" w:themeColor="text1"/>
        </w:rPr>
        <w:t>;</w:t>
      </w:r>
      <w:r w:rsidRPr="000B5377">
        <w:rPr>
          <w:rFonts w:ascii="Arial" w:hAnsi="Arial" w:cs="Arial"/>
          <w:color w:val="000000" w:themeColor="text1"/>
        </w:rPr>
        <w:t xml:space="preserve"> that large numbers of the women had interest in fortune telling and astrology</w:t>
      </w:r>
      <w:r w:rsidR="004970D7">
        <w:rPr>
          <w:rFonts w:ascii="Arial" w:hAnsi="Arial" w:cs="Arial"/>
          <w:color w:val="000000" w:themeColor="text1"/>
        </w:rPr>
        <w:t>,</w:t>
      </w:r>
      <w:r w:rsidRPr="000B5377">
        <w:rPr>
          <w:rFonts w:ascii="Arial" w:hAnsi="Arial" w:cs="Arial"/>
          <w:color w:val="000000" w:themeColor="text1"/>
        </w:rPr>
        <w:t xml:space="preserve"> however</w:t>
      </w:r>
      <w:r w:rsidR="004970D7">
        <w:rPr>
          <w:rFonts w:ascii="Arial" w:hAnsi="Arial" w:cs="Arial"/>
          <w:color w:val="000000" w:themeColor="text1"/>
        </w:rPr>
        <w:t>,</w:t>
      </w:r>
      <w:r w:rsidRPr="000B5377">
        <w:rPr>
          <w:rFonts w:ascii="Arial" w:hAnsi="Arial" w:cs="Arial"/>
          <w:color w:val="000000" w:themeColor="text1"/>
        </w:rPr>
        <w:t xml:space="preserve"> they were also shamefaced regarding the beliefs.</w:t>
      </w:r>
      <w:r w:rsidRPr="000B5377">
        <w:rPr>
          <w:rStyle w:val="FootnoteReference"/>
          <w:rFonts w:ascii="Arial" w:hAnsi="Arial" w:cs="Arial"/>
          <w:color w:val="000000" w:themeColor="text1"/>
        </w:rPr>
        <w:footnoteReference w:id="18"/>
      </w:r>
      <w:r w:rsidRPr="000B5377">
        <w:rPr>
          <w:rFonts w:ascii="Arial" w:hAnsi="Arial" w:cs="Arial"/>
          <w:color w:val="000000" w:themeColor="text1"/>
        </w:rPr>
        <w:t xml:space="preserve">  Bennett claims depending on the type of experiences the interviewees spoke about, they had different ways of describing them, in some cases they were specific about the details when it came to information about what they saw as premonitions or omens, whereas they were more </w:t>
      </w:r>
      <w:r w:rsidR="004970D7">
        <w:rPr>
          <w:rFonts w:ascii="Arial" w:hAnsi="Arial" w:cs="Arial"/>
          <w:color w:val="000000" w:themeColor="text1"/>
        </w:rPr>
        <w:t>reticent</w:t>
      </w:r>
      <w:r w:rsidRPr="000B5377">
        <w:rPr>
          <w:rFonts w:ascii="Arial" w:hAnsi="Arial" w:cs="Arial"/>
          <w:color w:val="000000" w:themeColor="text1"/>
        </w:rPr>
        <w:t xml:space="preserve"> in terms of details when they spoke of predictions or circumstances regarding their own fate.</w:t>
      </w:r>
      <w:r w:rsidRPr="000B5377">
        <w:rPr>
          <w:rStyle w:val="FootnoteReference"/>
          <w:rFonts w:ascii="Arial" w:hAnsi="Arial" w:cs="Arial"/>
          <w:color w:val="000000" w:themeColor="text1"/>
        </w:rPr>
        <w:footnoteReference w:id="19"/>
      </w:r>
    </w:p>
    <w:p w14:paraId="42532B39" w14:textId="77777777" w:rsidR="00FC3D0F" w:rsidRPr="000B5377" w:rsidRDefault="00FC3D0F" w:rsidP="00FC3D0F">
      <w:pPr>
        <w:spacing w:before="100" w:beforeAutospacing="1" w:after="100" w:afterAutospacing="1" w:line="240" w:lineRule="auto"/>
        <w:jc w:val="both"/>
        <w:rPr>
          <w:rFonts w:ascii="Arial" w:hAnsi="Arial" w:cs="Arial"/>
          <w:color w:val="000000" w:themeColor="text1"/>
        </w:rPr>
      </w:pPr>
      <w:r w:rsidRPr="000B5377">
        <w:rPr>
          <w:rFonts w:ascii="Arial" w:hAnsi="Arial" w:cs="Arial"/>
          <w:color w:val="000000" w:themeColor="text1"/>
        </w:rPr>
        <w:t>Bennett questions whether interviewees</w:t>
      </w:r>
      <w:r>
        <w:rPr>
          <w:rFonts w:ascii="Arial" w:hAnsi="Arial" w:cs="Arial"/>
          <w:color w:val="000000" w:themeColor="text1"/>
        </w:rPr>
        <w:t>’</w:t>
      </w:r>
      <w:r w:rsidRPr="000B5377">
        <w:rPr>
          <w:rFonts w:ascii="Arial" w:hAnsi="Arial" w:cs="Arial"/>
          <w:color w:val="000000" w:themeColor="text1"/>
        </w:rPr>
        <w:t xml:space="preserve"> background and upbringing had any specific impact on their folkloric beliefs, and this was evident especially in narratives from widows in particular when facing a challenge of some nature they might appeal to their </w:t>
      </w:r>
      <w:r w:rsidRPr="000B5377">
        <w:rPr>
          <w:rFonts w:ascii="Arial" w:hAnsi="Arial" w:cs="Arial"/>
          <w:color w:val="000000" w:themeColor="text1"/>
        </w:rPr>
        <w:lastRenderedPageBreak/>
        <w:t xml:space="preserve">spouse and </w:t>
      </w:r>
      <w:r>
        <w:rPr>
          <w:rFonts w:ascii="Arial" w:hAnsi="Arial" w:cs="Arial"/>
          <w:color w:val="000000" w:themeColor="text1"/>
        </w:rPr>
        <w:t xml:space="preserve">reported they </w:t>
      </w:r>
      <w:r w:rsidRPr="000B5377">
        <w:rPr>
          <w:rFonts w:ascii="Arial" w:hAnsi="Arial" w:cs="Arial"/>
          <w:color w:val="000000" w:themeColor="text1"/>
        </w:rPr>
        <w:t>felt they had received an answer from them.</w:t>
      </w:r>
      <w:r w:rsidRPr="000B5377">
        <w:rPr>
          <w:rStyle w:val="FootnoteReference"/>
          <w:rFonts w:ascii="Arial" w:hAnsi="Arial" w:cs="Arial"/>
          <w:color w:val="000000" w:themeColor="text1"/>
        </w:rPr>
        <w:footnoteReference w:id="20"/>
      </w:r>
      <w:r w:rsidRPr="000B5377">
        <w:rPr>
          <w:rFonts w:ascii="Arial" w:hAnsi="Arial" w:cs="Arial"/>
          <w:color w:val="000000" w:themeColor="text1"/>
        </w:rPr>
        <w:t xml:space="preserve"> These stories often emphasised their inability to complete the work in the absence of their spouse, and the answer they needed they believed came from their spouse beside them giving advice.</w:t>
      </w:r>
      <w:r w:rsidRPr="000B5377">
        <w:rPr>
          <w:rStyle w:val="FootnoteReference"/>
          <w:rFonts w:ascii="Arial" w:hAnsi="Arial" w:cs="Arial"/>
          <w:color w:val="000000" w:themeColor="text1"/>
        </w:rPr>
        <w:footnoteReference w:id="21"/>
      </w:r>
      <w:r w:rsidRPr="000B5377">
        <w:rPr>
          <w:rFonts w:ascii="Arial" w:hAnsi="Arial" w:cs="Arial"/>
          <w:color w:val="000000" w:themeColor="text1"/>
        </w:rPr>
        <w:t xml:space="preserve"> </w:t>
      </w:r>
    </w:p>
    <w:p w14:paraId="0BADF696" w14:textId="77777777" w:rsidR="00FC3D0F" w:rsidRPr="000B5377" w:rsidRDefault="00FC3D0F" w:rsidP="00FC3D0F">
      <w:pPr>
        <w:spacing w:before="100" w:beforeAutospacing="1" w:after="100" w:afterAutospacing="1" w:line="240" w:lineRule="auto"/>
        <w:jc w:val="both"/>
        <w:rPr>
          <w:rFonts w:ascii="Arial" w:hAnsi="Arial" w:cs="Arial"/>
          <w:color w:val="000000" w:themeColor="text1"/>
        </w:rPr>
      </w:pPr>
      <w:r w:rsidRPr="000B5377">
        <w:rPr>
          <w:rFonts w:ascii="Arial" w:hAnsi="Arial" w:cs="Arial"/>
          <w:color w:val="000000" w:themeColor="text1"/>
        </w:rPr>
        <w:t>In contrast to the benefits of good advice, Bennett also discusses the negative impact of having the ability to forecast or predict in a psychic manner. Interviewees used the term  “delving” which often led to dire results for those involved.</w:t>
      </w:r>
      <w:r w:rsidRPr="000B5377">
        <w:rPr>
          <w:rStyle w:val="FootnoteReference"/>
          <w:rFonts w:ascii="Arial" w:hAnsi="Arial" w:cs="Arial"/>
          <w:color w:val="000000" w:themeColor="text1"/>
        </w:rPr>
        <w:footnoteReference w:id="22"/>
      </w:r>
      <w:r w:rsidRPr="000B5377">
        <w:rPr>
          <w:rFonts w:ascii="Arial" w:hAnsi="Arial" w:cs="Arial"/>
          <w:color w:val="000000" w:themeColor="text1"/>
        </w:rPr>
        <w:t xml:space="preserve"> Bennett notes that for the respondents the concept of “delving” was seen as dangerous</w:t>
      </w:r>
      <w:r>
        <w:rPr>
          <w:rFonts w:ascii="Arial" w:hAnsi="Arial" w:cs="Arial"/>
          <w:color w:val="000000" w:themeColor="text1"/>
        </w:rPr>
        <w:t>,</w:t>
      </w:r>
      <w:r w:rsidRPr="000B5377">
        <w:rPr>
          <w:rFonts w:ascii="Arial" w:hAnsi="Arial" w:cs="Arial"/>
          <w:color w:val="000000" w:themeColor="text1"/>
        </w:rPr>
        <w:t xml:space="preserve"> but psychic gifts were, in contrast, empowering and safe.</w:t>
      </w:r>
      <w:r w:rsidRPr="000B5377">
        <w:rPr>
          <w:rStyle w:val="FootnoteReference"/>
          <w:rFonts w:ascii="Arial" w:hAnsi="Arial" w:cs="Arial"/>
          <w:color w:val="000000" w:themeColor="text1"/>
        </w:rPr>
        <w:footnoteReference w:id="23"/>
      </w:r>
      <w:r w:rsidRPr="000B5377">
        <w:rPr>
          <w:rFonts w:ascii="Arial" w:hAnsi="Arial" w:cs="Arial"/>
          <w:color w:val="000000" w:themeColor="text1"/>
        </w:rPr>
        <w:t xml:space="preserve"> Bennett concluded that this along with other statistics they obtained during their surveying showed age, sex and age-related cultural contacts are operational factors in the results.</w:t>
      </w:r>
      <w:r w:rsidRPr="000B5377">
        <w:rPr>
          <w:rStyle w:val="FootnoteReference"/>
          <w:rFonts w:ascii="Arial" w:hAnsi="Arial" w:cs="Arial"/>
          <w:color w:val="000000" w:themeColor="text1"/>
        </w:rPr>
        <w:footnoteReference w:id="24"/>
      </w:r>
      <w:r w:rsidRPr="000B5377">
        <w:rPr>
          <w:rFonts w:ascii="Arial" w:hAnsi="Arial" w:cs="Arial"/>
          <w:color w:val="000000" w:themeColor="text1"/>
        </w:rPr>
        <w:t xml:space="preserve"> </w:t>
      </w:r>
    </w:p>
    <w:p w14:paraId="2BD999E8" w14:textId="77777777" w:rsidR="00FC3D0F" w:rsidRPr="000B5377" w:rsidRDefault="00FC3D0F" w:rsidP="00FC3D0F">
      <w:pPr>
        <w:spacing w:before="100" w:beforeAutospacing="1" w:after="100" w:afterAutospacing="1" w:line="240" w:lineRule="auto"/>
        <w:jc w:val="both"/>
        <w:rPr>
          <w:rFonts w:ascii="Arial" w:hAnsi="Arial" w:cs="Arial"/>
          <w:color w:val="000000" w:themeColor="text1"/>
          <w:u w:val="single"/>
        </w:rPr>
      </w:pPr>
      <w:r w:rsidRPr="000B5377">
        <w:rPr>
          <w:rFonts w:ascii="Arial" w:hAnsi="Arial" w:cs="Arial"/>
          <w:color w:val="000000" w:themeColor="text1"/>
          <w:u w:val="single"/>
        </w:rPr>
        <w:t>Walter &amp; Waterhouse – Belief and Background</w:t>
      </w:r>
    </w:p>
    <w:p w14:paraId="55F222B6" w14:textId="77777777" w:rsidR="00FC3D0F" w:rsidRPr="000B5377" w:rsidRDefault="00FC3D0F" w:rsidP="00FC3D0F">
      <w:pPr>
        <w:spacing w:before="100" w:beforeAutospacing="1" w:after="100" w:afterAutospacing="1" w:line="240" w:lineRule="auto"/>
        <w:jc w:val="both"/>
        <w:rPr>
          <w:rFonts w:ascii="Arial" w:hAnsi="Arial" w:cs="Arial"/>
          <w:color w:val="000000" w:themeColor="text1"/>
        </w:rPr>
      </w:pPr>
      <w:r w:rsidRPr="000B5377">
        <w:rPr>
          <w:rFonts w:ascii="Arial" w:hAnsi="Arial" w:cs="Arial"/>
          <w:color w:val="000000" w:themeColor="text1"/>
        </w:rPr>
        <w:t>Walter and Waterhouse explore the belief in reincarnation for those who belong to organised religions which do not teach reincarnation as part of their creed.</w:t>
      </w:r>
      <w:r w:rsidRPr="000B5377">
        <w:rPr>
          <w:rStyle w:val="FootnoteReference"/>
          <w:rFonts w:ascii="Arial" w:hAnsi="Arial" w:cs="Arial"/>
          <w:color w:val="000000" w:themeColor="text1"/>
        </w:rPr>
        <w:footnoteReference w:id="25"/>
      </w:r>
      <w:r w:rsidRPr="000B5377">
        <w:rPr>
          <w:rFonts w:ascii="Arial" w:hAnsi="Arial" w:cs="Arial"/>
          <w:color w:val="000000" w:themeColor="text1"/>
        </w:rPr>
        <w:t xml:space="preserve"> They excluded respondents who professed to following any religion which has a belief in reincarnation as they were more focused on those who believed in the concept, but were not taught it as part of their mainstream belief system.</w:t>
      </w:r>
      <w:r w:rsidRPr="000B5377">
        <w:rPr>
          <w:rStyle w:val="FootnoteReference"/>
          <w:rFonts w:ascii="Arial" w:hAnsi="Arial" w:cs="Arial"/>
          <w:color w:val="000000" w:themeColor="text1"/>
        </w:rPr>
        <w:footnoteReference w:id="26"/>
      </w:r>
      <w:r w:rsidRPr="000B5377">
        <w:rPr>
          <w:rFonts w:ascii="Arial" w:hAnsi="Arial" w:cs="Arial"/>
          <w:color w:val="000000" w:themeColor="text1"/>
        </w:rPr>
        <w:t xml:space="preserve"> </w:t>
      </w:r>
    </w:p>
    <w:p w14:paraId="452A7A42" w14:textId="77777777" w:rsidR="00FC3D0F" w:rsidRPr="000B5377" w:rsidRDefault="00FC3D0F" w:rsidP="00FC3D0F">
      <w:pPr>
        <w:spacing w:before="100" w:beforeAutospacing="1" w:after="100" w:afterAutospacing="1" w:line="240" w:lineRule="auto"/>
        <w:jc w:val="both"/>
        <w:rPr>
          <w:rFonts w:ascii="Arial" w:hAnsi="Arial" w:cs="Arial"/>
          <w:color w:val="000000" w:themeColor="text1"/>
        </w:rPr>
      </w:pPr>
      <w:r w:rsidRPr="000B5377">
        <w:rPr>
          <w:rFonts w:ascii="Arial" w:hAnsi="Arial" w:cs="Arial"/>
          <w:color w:val="000000" w:themeColor="text1"/>
        </w:rPr>
        <w:t>To give context, they discuss the social construct of belief within the UK, specifically in the English countryside, claiming that it is not attached with a pressure to conform to orthodoxy and regular church attendance.</w:t>
      </w:r>
      <w:r w:rsidRPr="000B5377">
        <w:rPr>
          <w:rStyle w:val="FootnoteReference"/>
          <w:rFonts w:ascii="Arial" w:hAnsi="Arial" w:cs="Arial"/>
          <w:color w:val="000000" w:themeColor="text1"/>
        </w:rPr>
        <w:footnoteReference w:id="27"/>
      </w:r>
      <w:r w:rsidRPr="000B5377">
        <w:rPr>
          <w:rFonts w:ascii="Arial" w:hAnsi="Arial" w:cs="Arial"/>
          <w:color w:val="000000" w:themeColor="text1"/>
        </w:rPr>
        <w:t xml:space="preserve"> </w:t>
      </w:r>
    </w:p>
    <w:p w14:paraId="09A0FD29" w14:textId="77777777" w:rsidR="00FC3D0F" w:rsidRPr="000B5377" w:rsidRDefault="00FC3D0F" w:rsidP="00FC3D0F">
      <w:pPr>
        <w:spacing w:before="100" w:beforeAutospacing="1" w:after="100" w:afterAutospacing="1" w:line="240" w:lineRule="auto"/>
        <w:jc w:val="both"/>
        <w:rPr>
          <w:rFonts w:ascii="Arial" w:hAnsi="Arial" w:cs="Arial"/>
          <w:color w:val="000000" w:themeColor="text1"/>
        </w:rPr>
      </w:pPr>
      <w:r w:rsidRPr="000B5377">
        <w:rPr>
          <w:rFonts w:ascii="Arial" w:hAnsi="Arial" w:cs="Arial"/>
          <w:color w:val="000000" w:themeColor="text1"/>
        </w:rPr>
        <w:t>To ensure they had the correct pool of respondents, they also examined whether the respondents had any links to eastern religions, the New Age, and any involvement in indicators of an alternative lifestyle.</w:t>
      </w:r>
      <w:r w:rsidRPr="000B5377">
        <w:rPr>
          <w:rStyle w:val="FootnoteReference"/>
          <w:rFonts w:ascii="Arial" w:hAnsi="Arial" w:cs="Arial"/>
          <w:color w:val="000000" w:themeColor="text1"/>
        </w:rPr>
        <w:footnoteReference w:id="28"/>
      </w:r>
      <w:r w:rsidRPr="000B5377">
        <w:rPr>
          <w:rFonts w:ascii="Arial" w:hAnsi="Arial" w:cs="Arial"/>
          <w:color w:val="000000" w:themeColor="text1"/>
        </w:rPr>
        <w:t xml:space="preserve"> They found no clear pattern and the researchers also found no obvious evidence such as external indicators they considered typical of such beliefs.</w:t>
      </w:r>
      <w:r w:rsidRPr="000B5377">
        <w:rPr>
          <w:rStyle w:val="FootnoteReference"/>
          <w:rFonts w:ascii="Arial" w:hAnsi="Arial" w:cs="Arial"/>
          <w:color w:val="000000" w:themeColor="text1"/>
        </w:rPr>
        <w:footnoteReference w:id="29"/>
      </w:r>
      <w:r w:rsidRPr="000B5377">
        <w:rPr>
          <w:rFonts w:ascii="Arial" w:hAnsi="Arial" w:cs="Arial"/>
          <w:color w:val="000000" w:themeColor="text1"/>
        </w:rPr>
        <w:t xml:space="preserve">  On the responses they received, they noted that few were firm in their choice of words regarding reincarnation and some used less definitive language; instead, they found respondents were intellectually attracted to the concept and would like to believe in it but what were not sure if they did;  this led to the researchers characterising the sample of respondents as those who seriously entertain the idea, as opposed to believing in it outright.</w:t>
      </w:r>
      <w:r w:rsidRPr="000B5377">
        <w:rPr>
          <w:rStyle w:val="FootnoteReference"/>
          <w:rFonts w:ascii="Arial" w:hAnsi="Arial" w:cs="Arial"/>
          <w:color w:val="000000" w:themeColor="text1"/>
        </w:rPr>
        <w:footnoteReference w:id="30"/>
      </w:r>
      <w:r w:rsidRPr="000B5377">
        <w:rPr>
          <w:rFonts w:ascii="Arial" w:hAnsi="Arial" w:cs="Arial"/>
          <w:color w:val="000000" w:themeColor="text1"/>
        </w:rPr>
        <w:t xml:space="preserve"> </w:t>
      </w:r>
    </w:p>
    <w:p w14:paraId="001CD6CE" w14:textId="1741EB59" w:rsidR="00FC3D0F" w:rsidRPr="000B5377" w:rsidRDefault="00FC3D0F" w:rsidP="00FC3D0F">
      <w:pPr>
        <w:spacing w:before="100" w:beforeAutospacing="1" w:after="100" w:afterAutospacing="1" w:line="240" w:lineRule="auto"/>
        <w:jc w:val="both"/>
        <w:rPr>
          <w:rFonts w:ascii="Arial" w:hAnsi="Arial" w:cs="Arial"/>
          <w:color w:val="000000" w:themeColor="text1"/>
        </w:rPr>
      </w:pPr>
      <w:r w:rsidRPr="000B5377">
        <w:rPr>
          <w:rFonts w:ascii="Arial" w:hAnsi="Arial" w:cs="Arial"/>
          <w:color w:val="000000" w:themeColor="text1"/>
        </w:rPr>
        <w:t>They questioned why their respondents would entertain the idea of reincarnation and found the responses stood out in three ways; the first solved the issues of Christianity’s weak theodicy regarding justice and suffering, the second from respondents’ own experiences from second-hand evidence, and finally those who had experiences first-</w:t>
      </w:r>
      <w:r w:rsidRPr="000B5377">
        <w:rPr>
          <w:rFonts w:ascii="Arial" w:hAnsi="Arial" w:cs="Arial"/>
          <w:color w:val="000000" w:themeColor="text1"/>
        </w:rPr>
        <w:lastRenderedPageBreak/>
        <w:t>hand that indicated some form of precognition or familiarity; although these were, in the majority, noted to be insubstantial, fleeting and not detailed.</w:t>
      </w:r>
      <w:r w:rsidRPr="000B5377">
        <w:rPr>
          <w:rStyle w:val="FootnoteReference"/>
          <w:rFonts w:ascii="Arial" w:hAnsi="Arial" w:cs="Arial"/>
          <w:color w:val="000000" w:themeColor="text1"/>
        </w:rPr>
        <w:footnoteReference w:id="31"/>
      </w:r>
      <w:r w:rsidRPr="000B5377">
        <w:rPr>
          <w:rFonts w:ascii="Arial" w:hAnsi="Arial" w:cs="Arial"/>
          <w:color w:val="000000" w:themeColor="text1"/>
        </w:rPr>
        <w:t xml:space="preserve">  There were other elements that Walter and Warehouse explored in their research, including what respondents thought the purpose of reincarnation to be; which led some of their respondents to mention karma.</w:t>
      </w:r>
      <w:r w:rsidRPr="000B5377">
        <w:rPr>
          <w:rStyle w:val="FootnoteReference"/>
          <w:rFonts w:ascii="Arial" w:hAnsi="Arial" w:cs="Arial"/>
          <w:color w:val="000000" w:themeColor="text1"/>
        </w:rPr>
        <w:footnoteReference w:id="32"/>
      </w:r>
      <w:r w:rsidRPr="000B5377">
        <w:rPr>
          <w:rFonts w:ascii="Arial" w:hAnsi="Arial" w:cs="Arial"/>
          <w:color w:val="000000" w:themeColor="text1"/>
        </w:rPr>
        <w:t xml:space="preserve"> Connections were made between reincarnation and the concept of purgatory, </w:t>
      </w:r>
      <w:r w:rsidR="004970D7">
        <w:rPr>
          <w:rFonts w:ascii="Arial" w:hAnsi="Arial" w:cs="Arial"/>
          <w:color w:val="000000" w:themeColor="text1"/>
        </w:rPr>
        <w:t xml:space="preserve">with </w:t>
      </w:r>
      <w:r w:rsidRPr="000B5377">
        <w:rPr>
          <w:rFonts w:ascii="Arial" w:hAnsi="Arial" w:cs="Arial"/>
          <w:color w:val="000000" w:themeColor="text1"/>
        </w:rPr>
        <w:t>the idea of experiencing purification on a spiritual level on earth rather than the more traditional concept of purgatory as defined by the Catholic church</w:t>
      </w:r>
      <w:r w:rsidR="004970D7">
        <w:rPr>
          <w:rFonts w:ascii="Arial" w:hAnsi="Arial" w:cs="Arial"/>
          <w:color w:val="000000" w:themeColor="text1"/>
        </w:rPr>
        <w:t>,</w:t>
      </w:r>
      <w:r w:rsidRPr="000B5377">
        <w:rPr>
          <w:rFonts w:ascii="Arial" w:hAnsi="Arial" w:cs="Arial"/>
          <w:color w:val="000000" w:themeColor="text1"/>
        </w:rPr>
        <w:t xml:space="preserve"> was postulated by the authors as seemingly more appealing to the respondents based on their responses.</w:t>
      </w:r>
      <w:r w:rsidRPr="000B5377">
        <w:rPr>
          <w:rStyle w:val="FootnoteReference"/>
          <w:rFonts w:ascii="Arial" w:hAnsi="Arial" w:cs="Arial"/>
          <w:color w:val="000000" w:themeColor="text1"/>
        </w:rPr>
        <w:footnoteReference w:id="33"/>
      </w:r>
    </w:p>
    <w:p w14:paraId="6D694632" w14:textId="56EE6450" w:rsidR="00FC3D0F" w:rsidRPr="000B5377" w:rsidRDefault="00FC3D0F" w:rsidP="00FC3D0F">
      <w:pPr>
        <w:spacing w:before="100" w:beforeAutospacing="1" w:after="100" w:afterAutospacing="1" w:line="240" w:lineRule="auto"/>
        <w:jc w:val="both"/>
        <w:rPr>
          <w:rFonts w:ascii="Arial" w:hAnsi="Arial" w:cs="Arial"/>
          <w:color w:val="000000" w:themeColor="text1"/>
        </w:rPr>
      </w:pPr>
      <w:r w:rsidRPr="000B5377">
        <w:rPr>
          <w:rFonts w:ascii="Arial" w:hAnsi="Arial" w:cs="Arial"/>
          <w:color w:val="000000" w:themeColor="text1"/>
        </w:rPr>
        <w:t>Walter and Waterhouse also draw attention to the fact that it was not the concept of bodily reincarnation that their respondents found attractive; but rather they valued the spirit more highly than the vessel they saw the body as</w:t>
      </w:r>
      <w:r w:rsidR="004970D7">
        <w:rPr>
          <w:rFonts w:ascii="Arial" w:hAnsi="Arial" w:cs="Arial"/>
          <w:color w:val="000000" w:themeColor="text1"/>
        </w:rPr>
        <w:t>,</w:t>
      </w:r>
      <w:r w:rsidRPr="000B5377">
        <w:rPr>
          <w:rFonts w:ascii="Arial" w:hAnsi="Arial" w:cs="Arial"/>
          <w:color w:val="000000" w:themeColor="text1"/>
        </w:rPr>
        <w:t xml:space="preserve"> and they found little evidence that respondents focused on their past identities and instead found their respondents were using reincarnation for their own sense of self.</w:t>
      </w:r>
      <w:r w:rsidRPr="000B5377">
        <w:rPr>
          <w:rStyle w:val="FootnoteReference"/>
          <w:rFonts w:ascii="Arial" w:hAnsi="Arial" w:cs="Arial"/>
          <w:color w:val="000000" w:themeColor="text1"/>
        </w:rPr>
        <w:footnoteReference w:id="34"/>
      </w:r>
      <w:r w:rsidRPr="000B5377">
        <w:rPr>
          <w:rFonts w:ascii="Arial" w:hAnsi="Arial" w:cs="Arial"/>
          <w:color w:val="000000" w:themeColor="text1"/>
        </w:rPr>
        <w:t xml:space="preserve">  The authors noted that reviewing the interview transcripts showed the respondents’ belief in reincarnation did not affect their practical morality. The authors concluded that it is possible to believe in reincarnation and attend church without any ideological contrast, and they do not consider that belief in this is any sort of religious revolution.</w:t>
      </w:r>
      <w:r w:rsidRPr="000B5377">
        <w:rPr>
          <w:rStyle w:val="FootnoteReference"/>
          <w:rFonts w:ascii="Arial" w:hAnsi="Arial" w:cs="Arial"/>
          <w:color w:val="000000" w:themeColor="text1"/>
        </w:rPr>
        <w:footnoteReference w:id="35"/>
      </w:r>
      <w:r w:rsidRPr="000B5377">
        <w:rPr>
          <w:rFonts w:ascii="Arial" w:hAnsi="Arial" w:cs="Arial"/>
          <w:color w:val="000000" w:themeColor="text1"/>
        </w:rPr>
        <w:t xml:space="preserve"> It is instead more similar to old style folk religion that does not need to be integrated into a larger systematic context but instead can remain a private belief.</w:t>
      </w:r>
      <w:r w:rsidRPr="000B5377">
        <w:rPr>
          <w:rStyle w:val="FootnoteReference"/>
          <w:rFonts w:ascii="Arial" w:hAnsi="Arial" w:cs="Arial"/>
          <w:color w:val="000000" w:themeColor="text1"/>
        </w:rPr>
        <w:footnoteReference w:id="36"/>
      </w:r>
      <w:r>
        <w:rPr>
          <w:rFonts w:ascii="Arial" w:hAnsi="Arial" w:cs="Arial"/>
          <w:color w:val="000000" w:themeColor="text1"/>
        </w:rPr>
        <w:t xml:space="preserve"> </w:t>
      </w:r>
      <w:r w:rsidRPr="000B5377">
        <w:rPr>
          <w:rFonts w:ascii="Arial" w:hAnsi="Arial" w:cs="Arial"/>
          <w:color w:val="000000" w:themeColor="text1"/>
        </w:rPr>
        <w:t>The authors liken this to being a nominal Christian, in that it is part of their belief system but does not have an impact on their everyday life, although as the authors note, in other more fundamentalist or Catholic churches the outcome might be significantly different.</w:t>
      </w:r>
      <w:r w:rsidRPr="000B5377">
        <w:rPr>
          <w:rStyle w:val="FootnoteReference"/>
          <w:rFonts w:ascii="Arial" w:hAnsi="Arial" w:cs="Arial"/>
          <w:color w:val="000000" w:themeColor="text1"/>
        </w:rPr>
        <w:footnoteReference w:id="37"/>
      </w:r>
    </w:p>
    <w:p w14:paraId="7AB6D031" w14:textId="77777777" w:rsidR="00FC3D0F" w:rsidRPr="000B5377" w:rsidRDefault="00FC3D0F" w:rsidP="00FC3D0F">
      <w:pPr>
        <w:spacing w:before="100" w:beforeAutospacing="1" w:after="100" w:afterAutospacing="1" w:line="240" w:lineRule="auto"/>
        <w:jc w:val="both"/>
        <w:rPr>
          <w:rFonts w:ascii="Arial" w:hAnsi="Arial" w:cs="Arial"/>
          <w:color w:val="000000" w:themeColor="text1"/>
          <w:u w:val="single"/>
        </w:rPr>
      </w:pPr>
      <w:r w:rsidRPr="000B5377">
        <w:rPr>
          <w:rFonts w:ascii="Arial" w:hAnsi="Arial" w:cs="Arial"/>
          <w:color w:val="000000" w:themeColor="text1"/>
          <w:u w:val="single"/>
        </w:rPr>
        <w:t>Approaches to research</w:t>
      </w:r>
    </w:p>
    <w:p w14:paraId="525DE2E8" w14:textId="3C1F67BD" w:rsidR="00FC3D0F" w:rsidRPr="000B5377" w:rsidRDefault="00FC3D0F" w:rsidP="00FC3D0F">
      <w:pPr>
        <w:spacing w:before="100" w:beforeAutospacing="1" w:after="100" w:afterAutospacing="1" w:line="240" w:lineRule="auto"/>
        <w:jc w:val="both"/>
        <w:rPr>
          <w:rFonts w:ascii="Arial" w:hAnsi="Arial" w:cs="Arial"/>
          <w:color w:val="000000" w:themeColor="text1"/>
        </w:rPr>
      </w:pPr>
      <w:r w:rsidRPr="000B5377">
        <w:rPr>
          <w:rFonts w:ascii="Arial" w:hAnsi="Arial" w:cs="Arial"/>
          <w:color w:val="000000" w:themeColor="text1"/>
        </w:rPr>
        <w:t>The methodologies and philosophies for both papers have comparisons and contrasts in their approaches to researching</w:t>
      </w:r>
      <w:r>
        <w:rPr>
          <w:rFonts w:ascii="Arial" w:hAnsi="Arial" w:cs="Arial"/>
          <w:color w:val="000000" w:themeColor="text1"/>
        </w:rPr>
        <w:t>.</w:t>
      </w:r>
      <w:r w:rsidRPr="000B5377">
        <w:rPr>
          <w:rFonts w:ascii="Arial" w:hAnsi="Arial" w:cs="Arial"/>
          <w:color w:val="000000" w:themeColor="text1"/>
        </w:rPr>
        <w:t xml:space="preserve"> Bennett, as has been seen, contextualised the research they have undertaken by citing work related to their field. They also go into detail about statistics from other studies related to the topic area they are examining. Walter and Waterhouse </w:t>
      </w:r>
      <w:proofErr w:type="gramStart"/>
      <w:r w:rsidRPr="000B5377">
        <w:rPr>
          <w:rFonts w:ascii="Arial" w:hAnsi="Arial" w:cs="Arial"/>
          <w:color w:val="000000" w:themeColor="text1"/>
        </w:rPr>
        <w:t xml:space="preserve">are </w:t>
      </w:r>
      <w:r w:rsidR="004970D7">
        <w:rPr>
          <w:rFonts w:ascii="Arial" w:hAnsi="Arial" w:cs="Arial"/>
          <w:color w:val="000000" w:themeColor="text1"/>
        </w:rPr>
        <w:t>have</w:t>
      </w:r>
      <w:proofErr w:type="gramEnd"/>
      <w:r w:rsidR="004970D7">
        <w:rPr>
          <w:rFonts w:ascii="Arial" w:hAnsi="Arial" w:cs="Arial"/>
          <w:color w:val="000000" w:themeColor="text1"/>
        </w:rPr>
        <w:t xml:space="preserve"> a narrower approach</w:t>
      </w:r>
      <w:r w:rsidRPr="000B5377">
        <w:rPr>
          <w:rFonts w:ascii="Arial" w:hAnsi="Arial" w:cs="Arial"/>
          <w:color w:val="000000" w:themeColor="text1"/>
        </w:rPr>
        <w:t xml:space="preserve"> in regards to their interpretations of the contextualised area of research, and do not provide as much background research in their field in their article, however both provide references for their papers, </w:t>
      </w:r>
      <w:r w:rsidR="004970D7">
        <w:rPr>
          <w:rFonts w:ascii="Arial" w:hAnsi="Arial" w:cs="Arial"/>
          <w:color w:val="000000" w:themeColor="text1"/>
        </w:rPr>
        <w:t xml:space="preserve">clearly showing the literature review by </w:t>
      </w:r>
      <w:r w:rsidRPr="000B5377">
        <w:rPr>
          <w:rFonts w:ascii="Arial" w:hAnsi="Arial" w:cs="Arial"/>
          <w:color w:val="000000" w:themeColor="text1"/>
        </w:rPr>
        <w:t>citing the research they have undertaken prior.</w:t>
      </w:r>
      <w:r>
        <w:rPr>
          <w:rFonts w:ascii="Arial" w:hAnsi="Arial" w:cs="Arial"/>
          <w:color w:val="000000" w:themeColor="text1"/>
        </w:rPr>
        <w:t xml:space="preserve"> </w:t>
      </w:r>
      <w:r w:rsidRPr="000B5377">
        <w:rPr>
          <w:rFonts w:ascii="Arial" w:hAnsi="Arial" w:cs="Arial"/>
          <w:color w:val="000000" w:themeColor="text1"/>
        </w:rPr>
        <w:t xml:space="preserve">Bennett’s work follows a clear and logical path by placing it in a specific context with a thorough collation of information regarding the area of study, Walter and Waterhouse meanwhile avoid this </w:t>
      </w:r>
      <w:proofErr w:type="gramStart"/>
      <w:r w:rsidRPr="000B5377">
        <w:rPr>
          <w:rFonts w:ascii="Arial" w:hAnsi="Arial" w:cs="Arial"/>
          <w:color w:val="000000" w:themeColor="text1"/>
        </w:rPr>
        <w:t>particular element</w:t>
      </w:r>
      <w:proofErr w:type="gramEnd"/>
      <w:r w:rsidRPr="000B5377">
        <w:rPr>
          <w:rFonts w:ascii="Arial" w:hAnsi="Arial" w:cs="Arial"/>
          <w:color w:val="000000" w:themeColor="text1"/>
        </w:rPr>
        <w:t xml:space="preserve"> in terms of the depth compared to Bennett.</w:t>
      </w:r>
    </w:p>
    <w:p w14:paraId="76D6C8E7" w14:textId="77777777" w:rsidR="00FC3D0F" w:rsidRPr="000B5377" w:rsidRDefault="00FC3D0F" w:rsidP="00FC3D0F">
      <w:pPr>
        <w:spacing w:before="100" w:beforeAutospacing="1" w:after="100" w:afterAutospacing="1" w:line="240" w:lineRule="auto"/>
        <w:jc w:val="both"/>
        <w:rPr>
          <w:rFonts w:ascii="Arial" w:hAnsi="Arial" w:cs="Arial"/>
          <w:color w:val="000000" w:themeColor="text1"/>
        </w:rPr>
      </w:pPr>
      <w:r w:rsidRPr="000B5377">
        <w:rPr>
          <w:rFonts w:ascii="Arial" w:hAnsi="Arial" w:cs="Arial"/>
          <w:color w:val="000000" w:themeColor="text1"/>
        </w:rPr>
        <w:t xml:space="preserve">It is notable both papers make claims that are not always confirmed through their research. For example Walter and Waterhouse have stated within their research regarding the suitability of respondents they used external identifiers to confirm </w:t>
      </w:r>
      <w:r w:rsidRPr="000B5377">
        <w:rPr>
          <w:rFonts w:ascii="Arial" w:hAnsi="Arial" w:cs="Arial"/>
          <w:color w:val="000000" w:themeColor="text1"/>
        </w:rPr>
        <w:lastRenderedPageBreak/>
        <w:t>whether their respondents were influenced by elements they would rather exclude, which does not give certainty,</w:t>
      </w:r>
      <w:r w:rsidRPr="000B5377">
        <w:rPr>
          <w:rStyle w:val="FootnoteReference"/>
          <w:rFonts w:ascii="Arial" w:hAnsi="Arial" w:cs="Arial"/>
          <w:color w:val="000000" w:themeColor="text1"/>
        </w:rPr>
        <w:footnoteReference w:id="38"/>
      </w:r>
      <w:r w:rsidRPr="000B5377">
        <w:rPr>
          <w:rFonts w:ascii="Arial" w:hAnsi="Arial" w:cs="Arial"/>
          <w:color w:val="000000" w:themeColor="text1"/>
        </w:rPr>
        <w:t xml:space="preserve"> however they are not alone in making presumptions about their respondents, as Bennett also comments that some of their understanding of their interviewees was based upon suppositions rather than confirmed data.</w:t>
      </w:r>
      <w:r w:rsidRPr="000B5377">
        <w:rPr>
          <w:rStyle w:val="FootnoteReference"/>
          <w:rFonts w:ascii="Arial" w:hAnsi="Arial" w:cs="Arial"/>
          <w:color w:val="000000" w:themeColor="text1"/>
        </w:rPr>
        <w:footnoteReference w:id="39"/>
      </w:r>
    </w:p>
    <w:p w14:paraId="28E631F7" w14:textId="087D54D5" w:rsidR="00FC3D0F" w:rsidRPr="0063675E" w:rsidRDefault="00FC3D0F" w:rsidP="00FC3D0F">
      <w:pPr>
        <w:spacing w:before="100" w:beforeAutospacing="1" w:after="100" w:afterAutospacing="1" w:line="240" w:lineRule="auto"/>
        <w:jc w:val="both"/>
        <w:rPr>
          <w:rFonts w:ascii="Arial" w:hAnsi="Arial" w:cs="Arial"/>
          <w:color w:val="000000" w:themeColor="text1"/>
        </w:rPr>
      </w:pPr>
      <w:r w:rsidRPr="000B5377">
        <w:rPr>
          <w:rFonts w:ascii="Arial" w:hAnsi="Arial" w:cs="Arial"/>
          <w:color w:val="000000" w:themeColor="text1"/>
        </w:rPr>
        <w:t>Walter and Waterhouse’s respondents are potentially less identifiable than Bennett’s as whilst they have focused within a geographical area,</w:t>
      </w:r>
      <w:r w:rsidRPr="000B5377">
        <w:rPr>
          <w:rStyle w:val="FootnoteReference"/>
          <w:rFonts w:ascii="Arial" w:hAnsi="Arial" w:cs="Arial"/>
          <w:color w:val="000000" w:themeColor="text1"/>
        </w:rPr>
        <w:footnoteReference w:id="40"/>
      </w:r>
      <w:r w:rsidRPr="000B5377">
        <w:rPr>
          <w:rFonts w:ascii="Arial" w:hAnsi="Arial" w:cs="Arial"/>
          <w:color w:val="000000" w:themeColor="text1"/>
        </w:rPr>
        <w:t xml:space="preserve"> Bennett has used personal connections with a specific business to find the interviewees they used.</w:t>
      </w:r>
      <w:r w:rsidRPr="000B5377">
        <w:rPr>
          <w:rStyle w:val="FootnoteReference"/>
          <w:rFonts w:ascii="Arial" w:hAnsi="Arial" w:cs="Arial"/>
          <w:color w:val="000000" w:themeColor="text1"/>
        </w:rPr>
        <w:footnoteReference w:id="41"/>
      </w:r>
      <w:r w:rsidR="0063675E">
        <w:rPr>
          <w:rFonts w:ascii="Arial" w:hAnsi="Arial" w:cs="Arial"/>
          <w:color w:val="000000" w:themeColor="text1"/>
        </w:rPr>
        <w:t xml:space="preserve"> Indeed in Bennett’s book </w:t>
      </w:r>
      <w:r w:rsidR="0063675E">
        <w:rPr>
          <w:rFonts w:ascii="Arial" w:hAnsi="Arial" w:cs="Arial"/>
          <w:i/>
          <w:iCs/>
          <w:color w:val="000000" w:themeColor="text1"/>
        </w:rPr>
        <w:t>Alas Poor Ghost</w:t>
      </w:r>
      <w:r w:rsidR="0063675E">
        <w:rPr>
          <w:rFonts w:ascii="Arial" w:hAnsi="Arial" w:cs="Arial"/>
          <w:color w:val="000000" w:themeColor="text1"/>
        </w:rPr>
        <w:t>, Bennett names the city in which the study was undertaken.</w:t>
      </w:r>
      <w:r w:rsidR="0063675E">
        <w:rPr>
          <w:rStyle w:val="FootnoteReference"/>
          <w:rFonts w:ascii="Arial" w:hAnsi="Arial" w:cs="Arial"/>
          <w:color w:val="000000" w:themeColor="text1"/>
        </w:rPr>
        <w:footnoteReference w:id="42"/>
      </w:r>
    </w:p>
    <w:p w14:paraId="2217A7E0" w14:textId="77777777" w:rsidR="00FC3D0F" w:rsidRPr="000B5377" w:rsidRDefault="00FC3D0F" w:rsidP="00FC3D0F">
      <w:pPr>
        <w:spacing w:before="100" w:beforeAutospacing="1" w:after="100" w:afterAutospacing="1" w:line="240" w:lineRule="auto"/>
        <w:jc w:val="both"/>
        <w:rPr>
          <w:rFonts w:ascii="Arial" w:hAnsi="Arial" w:cs="Arial"/>
          <w:color w:val="000000" w:themeColor="text1"/>
        </w:rPr>
      </w:pPr>
      <w:r w:rsidRPr="000B5377">
        <w:rPr>
          <w:rFonts w:ascii="Arial" w:hAnsi="Arial" w:cs="Arial"/>
          <w:color w:val="000000" w:themeColor="text1"/>
        </w:rPr>
        <w:t>Both studies rely on the evidence that has been obtained</w:t>
      </w:r>
      <w:r>
        <w:rPr>
          <w:rFonts w:ascii="Arial" w:hAnsi="Arial" w:cs="Arial"/>
          <w:color w:val="000000" w:themeColor="text1"/>
        </w:rPr>
        <w:t>,</w:t>
      </w:r>
      <w:r w:rsidRPr="000B5377">
        <w:rPr>
          <w:rFonts w:ascii="Arial" w:hAnsi="Arial" w:cs="Arial"/>
          <w:color w:val="000000" w:themeColor="text1"/>
        </w:rPr>
        <w:t xml:space="preserve"> however the claims made within both can be questioned</w:t>
      </w:r>
      <w:r>
        <w:rPr>
          <w:rFonts w:ascii="Arial" w:hAnsi="Arial" w:cs="Arial"/>
          <w:color w:val="000000" w:themeColor="text1"/>
        </w:rPr>
        <w:t>.</w:t>
      </w:r>
      <w:r w:rsidRPr="000B5377">
        <w:rPr>
          <w:rFonts w:ascii="Arial" w:hAnsi="Arial" w:cs="Arial"/>
          <w:color w:val="000000" w:themeColor="text1"/>
        </w:rPr>
        <w:t xml:space="preserve"> Bennett’s target group relied on a family connection for information regarding the interviewees, which could have provided a bias or incorrect information, indeed it should be considered that as they were patients of Bennett's father, there may have been an element of possible pressure in answering questions to obtain medical treatment</w:t>
      </w:r>
      <w:r>
        <w:rPr>
          <w:rFonts w:ascii="Arial" w:hAnsi="Arial" w:cs="Arial"/>
          <w:color w:val="000000" w:themeColor="text1"/>
        </w:rPr>
        <w:t xml:space="preserve"> and therefore questions about informed consent</w:t>
      </w:r>
      <w:r w:rsidRPr="000B5377">
        <w:rPr>
          <w:rFonts w:ascii="Arial" w:hAnsi="Arial" w:cs="Arial"/>
          <w:color w:val="000000" w:themeColor="text1"/>
        </w:rPr>
        <w:t>.</w:t>
      </w:r>
      <w:r w:rsidRPr="000B5377">
        <w:rPr>
          <w:rStyle w:val="FootnoteReference"/>
          <w:rFonts w:ascii="Arial" w:hAnsi="Arial" w:cs="Arial"/>
          <w:color w:val="000000" w:themeColor="text1"/>
        </w:rPr>
        <w:footnoteReference w:id="43"/>
      </w:r>
      <w:r w:rsidRPr="000B5377">
        <w:rPr>
          <w:rFonts w:ascii="Arial" w:hAnsi="Arial" w:cs="Arial"/>
          <w:color w:val="000000" w:themeColor="text1"/>
        </w:rPr>
        <w:t xml:space="preserve"> Walter and Waterhouse meanwhile make claims regarding Christianity and how it is practised and perceived in the English countryside, but do not appear to provide any</w:t>
      </w:r>
      <w:r>
        <w:rPr>
          <w:rFonts w:ascii="Arial" w:hAnsi="Arial" w:cs="Arial"/>
          <w:color w:val="000000" w:themeColor="text1"/>
        </w:rPr>
        <w:t xml:space="preserve"> significant levels of</w:t>
      </w:r>
      <w:r w:rsidRPr="000B5377">
        <w:rPr>
          <w:rFonts w:ascii="Arial" w:hAnsi="Arial" w:cs="Arial"/>
          <w:color w:val="000000" w:themeColor="text1"/>
        </w:rPr>
        <w:t xml:space="preserve"> research regarding this statement to substantiate their claims.</w:t>
      </w:r>
      <w:r w:rsidRPr="000B5377">
        <w:rPr>
          <w:rStyle w:val="FootnoteReference"/>
          <w:rFonts w:ascii="Arial" w:hAnsi="Arial" w:cs="Arial"/>
          <w:color w:val="000000" w:themeColor="text1"/>
        </w:rPr>
        <w:footnoteReference w:id="44"/>
      </w:r>
    </w:p>
    <w:p w14:paraId="008FF95F" w14:textId="77777777" w:rsidR="00FC3D0F" w:rsidRPr="000B5377" w:rsidRDefault="00FC3D0F" w:rsidP="00FC3D0F">
      <w:pPr>
        <w:spacing w:before="100" w:beforeAutospacing="1" w:after="100" w:afterAutospacing="1" w:line="240" w:lineRule="auto"/>
        <w:jc w:val="both"/>
        <w:rPr>
          <w:rFonts w:ascii="Arial" w:hAnsi="Arial" w:cs="Arial"/>
          <w:color w:val="000000" w:themeColor="text1"/>
        </w:rPr>
      </w:pPr>
      <w:r w:rsidRPr="000B5377">
        <w:rPr>
          <w:rFonts w:ascii="Arial" w:hAnsi="Arial" w:cs="Arial"/>
          <w:color w:val="000000" w:themeColor="text1"/>
        </w:rPr>
        <w:t>Both research papers are similar in terms of concept in that they deal with spirituality and belief, however they are reviewing different areas of a broad umbrella term. Bennett deals with prediction and forecasting whilst Walter and Waterhouse deal with reincarnation. There are similarities within the research in that both mention an adherence to Christian thought and that their research is based on the responses from people who are believed to be members of the Christian faith. Both areas chosen for the respective research topics are not typically part of mainstream Christian belief.</w:t>
      </w:r>
    </w:p>
    <w:p w14:paraId="2E5E5F72" w14:textId="77777777" w:rsidR="00FC3D0F" w:rsidRPr="000B5377" w:rsidRDefault="00FC3D0F" w:rsidP="00FC3D0F">
      <w:pPr>
        <w:spacing w:before="100" w:beforeAutospacing="1" w:after="100" w:afterAutospacing="1" w:line="240" w:lineRule="auto"/>
        <w:jc w:val="both"/>
        <w:rPr>
          <w:rFonts w:ascii="Arial" w:hAnsi="Arial" w:cs="Arial"/>
          <w:color w:val="000000" w:themeColor="text1"/>
        </w:rPr>
      </w:pPr>
      <w:r w:rsidRPr="000B5377">
        <w:rPr>
          <w:rFonts w:ascii="Arial" w:hAnsi="Arial" w:cs="Arial"/>
          <w:color w:val="000000" w:themeColor="text1"/>
        </w:rPr>
        <w:t xml:space="preserve">It is clear from Bennett’s research that whilst they </w:t>
      </w:r>
      <w:r>
        <w:rPr>
          <w:rFonts w:ascii="Arial" w:hAnsi="Arial" w:cs="Arial"/>
          <w:color w:val="000000" w:themeColor="text1"/>
        </w:rPr>
        <w:t>may be considered</w:t>
      </w:r>
      <w:r w:rsidRPr="000B5377">
        <w:rPr>
          <w:rFonts w:ascii="Arial" w:hAnsi="Arial" w:cs="Arial"/>
          <w:color w:val="000000" w:themeColor="text1"/>
        </w:rPr>
        <w:t xml:space="preserve"> an outsider, they are using an insider perspective by the very nature of how they obtained their interviewees, in that they were introduced by an authority figure who was trusted by the participants to provide medical care, and therefore by being in situ during these appointments could very easily facilitated a level of trust in Bennett that may not have been obtained if they had sourced their interviewees in a different manner.</w:t>
      </w:r>
      <w:r w:rsidRPr="000B5377">
        <w:rPr>
          <w:rStyle w:val="FootnoteReference"/>
          <w:rFonts w:ascii="Arial" w:hAnsi="Arial" w:cs="Arial"/>
          <w:color w:val="000000" w:themeColor="text1"/>
        </w:rPr>
        <w:footnoteReference w:id="45"/>
      </w:r>
      <w:r w:rsidRPr="000B5377">
        <w:rPr>
          <w:rFonts w:ascii="Arial" w:hAnsi="Arial" w:cs="Arial"/>
          <w:color w:val="000000" w:themeColor="text1"/>
        </w:rPr>
        <w:t xml:space="preserve"> In addition to this, Bennet was expected to understand the terminology the interviewees used, which would lead to the assumption that they were seen as part of the group, rather than an outsider.</w:t>
      </w:r>
      <w:r w:rsidRPr="000B5377">
        <w:rPr>
          <w:rStyle w:val="FootnoteReference"/>
          <w:rFonts w:ascii="Arial" w:hAnsi="Arial" w:cs="Arial"/>
          <w:color w:val="000000" w:themeColor="text1"/>
        </w:rPr>
        <w:footnoteReference w:id="46"/>
      </w:r>
      <w:r>
        <w:rPr>
          <w:rFonts w:ascii="Arial" w:hAnsi="Arial" w:cs="Arial"/>
          <w:color w:val="000000" w:themeColor="text1"/>
        </w:rPr>
        <w:t xml:space="preserve"> </w:t>
      </w:r>
      <w:r w:rsidRPr="000B5377">
        <w:rPr>
          <w:rFonts w:ascii="Arial" w:hAnsi="Arial" w:cs="Arial"/>
          <w:color w:val="000000" w:themeColor="text1"/>
        </w:rPr>
        <w:t xml:space="preserve">Walter and Waterhouse however appear to </w:t>
      </w:r>
      <w:r>
        <w:rPr>
          <w:rFonts w:ascii="Arial" w:hAnsi="Arial" w:cs="Arial"/>
          <w:color w:val="000000" w:themeColor="text1"/>
        </w:rPr>
        <w:t>hav</w:t>
      </w:r>
      <w:r w:rsidRPr="000B5377">
        <w:rPr>
          <w:rFonts w:ascii="Arial" w:hAnsi="Arial" w:cs="Arial"/>
          <w:color w:val="000000" w:themeColor="text1"/>
        </w:rPr>
        <w:t xml:space="preserve">e more of an </w:t>
      </w:r>
      <w:r w:rsidRPr="000B5377">
        <w:rPr>
          <w:rFonts w:ascii="Arial" w:hAnsi="Arial" w:cs="Arial"/>
          <w:color w:val="000000" w:themeColor="text1"/>
        </w:rPr>
        <w:lastRenderedPageBreak/>
        <w:t>outsider</w:t>
      </w:r>
      <w:r>
        <w:rPr>
          <w:rFonts w:ascii="Arial" w:hAnsi="Arial" w:cs="Arial"/>
          <w:color w:val="000000" w:themeColor="text1"/>
        </w:rPr>
        <w:t xml:space="preserve"> perspective</w:t>
      </w:r>
      <w:r w:rsidRPr="000B5377">
        <w:rPr>
          <w:rFonts w:ascii="Arial" w:hAnsi="Arial" w:cs="Arial"/>
          <w:color w:val="000000" w:themeColor="text1"/>
        </w:rPr>
        <w:t xml:space="preserve"> in terms of their target group as it appears they recruited participants in a variety of ways.</w:t>
      </w:r>
      <w:r w:rsidRPr="000B5377">
        <w:rPr>
          <w:rStyle w:val="FootnoteReference"/>
          <w:rFonts w:ascii="Arial" w:hAnsi="Arial" w:cs="Arial"/>
          <w:color w:val="000000" w:themeColor="text1"/>
        </w:rPr>
        <w:footnoteReference w:id="47"/>
      </w:r>
      <w:r w:rsidRPr="000B5377">
        <w:rPr>
          <w:rFonts w:ascii="Arial" w:hAnsi="Arial" w:cs="Arial"/>
          <w:color w:val="000000" w:themeColor="text1"/>
        </w:rPr>
        <w:t xml:space="preserve"> </w:t>
      </w:r>
    </w:p>
    <w:p w14:paraId="75805926" w14:textId="77777777" w:rsidR="00FC3D0F" w:rsidRPr="000B5377" w:rsidRDefault="00FC3D0F" w:rsidP="00FC3D0F">
      <w:pPr>
        <w:spacing w:before="100" w:beforeAutospacing="1" w:after="100" w:afterAutospacing="1" w:line="240" w:lineRule="auto"/>
        <w:jc w:val="both"/>
        <w:rPr>
          <w:rFonts w:ascii="Arial" w:hAnsi="Arial" w:cs="Arial"/>
          <w:color w:val="000000" w:themeColor="text1"/>
          <w:u w:val="single"/>
        </w:rPr>
      </w:pPr>
      <w:r w:rsidRPr="000B5377">
        <w:rPr>
          <w:rFonts w:ascii="Arial" w:hAnsi="Arial" w:cs="Arial"/>
          <w:color w:val="000000" w:themeColor="text1"/>
          <w:u w:val="single"/>
        </w:rPr>
        <w:t>Conclusion</w:t>
      </w:r>
    </w:p>
    <w:p w14:paraId="57E9101C" w14:textId="77777777" w:rsidR="00FC3D0F" w:rsidRPr="000B5377" w:rsidRDefault="00FC3D0F" w:rsidP="00FC3D0F">
      <w:pPr>
        <w:spacing w:before="100" w:beforeAutospacing="1" w:after="100" w:afterAutospacing="1" w:line="240" w:lineRule="auto"/>
        <w:jc w:val="both"/>
        <w:rPr>
          <w:rFonts w:ascii="Arial" w:hAnsi="Arial" w:cs="Arial"/>
          <w:color w:val="000000" w:themeColor="text1"/>
        </w:rPr>
      </w:pPr>
      <w:r w:rsidRPr="000B5377">
        <w:rPr>
          <w:rFonts w:ascii="Arial" w:hAnsi="Arial" w:cs="Arial"/>
          <w:color w:val="000000" w:themeColor="text1"/>
        </w:rPr>
        <w:t>In conclusion we have seen that Bennett’s work</w:t>
      </w:r>
      <w:r>
        <w:rPr>
          <w:rFonts w:ascii="Arial" w:hAnsi="Arial" w:cs="Arial"/>
          <w:color w:val="000000" w:themeColor="text1"/>
        </w:rPr>
        <w:t xml:space="preserve"> has more contextual </w:t>
      </w:r>
      <w:r w:rsidRPr="000B5377">
        <w:rPr>
          <w:rFonts w:ascii="Arial" w:hAnsi="Arial" w:cs="Arial"/>
          <w:color w:val="000000" w:themeColor="text1"/>
        </w:rPr>
        <w:t>depth than that of Walter and Waterhouse, that both have used participants who they believe have links to organised religion, and that they also have beliefs that are not in keeping with mainstream Christian ideology, and the participants had different approaches</w:t>
      </w:r>
      <w:r>
        <w:rPr>
          <w:rFonts w:ascii="Arial" w:hAnsi="Arial" w:cs="Arial"/>
          <w:color w:val="000000" w:themeColor="text1"/>
        </w:rPr>
        <w:t xml:space="preserve"> as</w:t>
      </w:r>
      <w:r w:rsidRPr="000B5377">
        <w:rPr>
          <w:rFonts w:ascii="Arial" w:hAnsi="Arial" w:cs="Arial"/>
          <w:color w:val="000000" w:themeColor="text1"/>
        </w:rPr>
        <w:t xml:space="preserve"> to how they dealt with reconciling these with their more orthodox beliefs. </w:t>
      </w:r>
    </w:p>
    <w:p w14:paraId="231BE9CD" w14:textId="77777777" w:rsidR="00FC3D0F" w:rsidRPr="000B5377" w:rsidRDefault="00FC3D0F" w:rsidP="00FC3D0F">
      <w:pPr>
        <w:spacing w:before="100" w:beforeAutospacing="1" w:after="100" w:afterAutospacing="1" w:line="240" w:lineRule="auto"/>
        <w:jc w:val="both"/>
        <w:rPr>
          <w:rFonts w:ascii="Arial" w:hAnsi="Arial" w:cs="Arial"/>
          <w:color w:val="000000" w:themeColor="text1"/>
        </w:rPr>
      </w:pPr>
      <w:r w:rsidRPr="000B5377">
        <w:rPr>
          <w:rFonts w:ascii="Arial" w:hAnsi="Arial" w:cs="Arial"/>
          <w:color w:val="000000" w:themeColor="text1"/>
        </w:rPr>
        <w:t xml:space="preserve">Their approaches to finding their participants differed, Bennett chose a more insider approach compared to Walter and Waterhouse, and it could be seen that perhaps this could lead to a bias in the results obtained. Both papers had some form of supposition regarding their participants </w:t>
      </w:r>
      <w:proofErr w:type="gramStart"/>
      <w:r w:rsidRPr="000B5377">
        <w:rPr>
          <w:rFonts w:ascii="Arial" w:hAnsi="Arial" w:cs="Arial"/>
          <w:color w:val="000000" w:themeColor="text1"/>
        </w:rPr>
        <w:t>and also</w:t>
      </w:r>
      <w:proofErr w:type="gramEnd"/>
      <w:r w:rsidRPr="000B5377">
        <w:rPr>
          <w:rFonts w:ascii="Arial" w:hAnsi="Arial" w:cs="Arial"/>
          <w:color w:val="000000" w:themeColor="text1"/>
        </w:rPr>
        <w:t xml:space="preserve"> some of the claims made, especially </w:t>
      </w:r>
      <w:r>
        <w:rPr>
          <w:rFonts w:ascii="Arial" w:hAnsi="Arial" w:cs="Arial"/>
          <w:color w:val="000000" w:themeColor="text1"/>
        </w:rPr>
        <w:t>by</w:t>
      </w:r>
      <w:r w:rsidRPr="000B5377">
        <w:rPr>
          <w:rFonts w:ascii="Arial" w:hAnsi="Arial" w:cs="Arial"/>
          <w:color w:val="000000" w:themeColor="text1"/>
        </w:rPr>
        <w:t xml:space="preserve"> Walter and Waterhouse were not necessarily as strongly evidenced as perhaps it could have been.</w:t>
      </w:r>
    </w:p>
    <w:p w14:paraId="00E518F8" w14:textId="77777777" w:rsidR="00FC3D0F" w:rsidRPr="000B5377" w:rsidRDefault="00FC3D0F" w:rsidP="00FC3D0F">
      <w:pPr>
        <w:spacing w:before="100" w:beforeAutospacing="1" w:after="100" w:afterAutospacing="1" w:line="240" w:lineRule="auto"/>
        <w:jc w:val="both"/>
        <w:rPr>
          <w:rFonts w:ascii="Arial" w:hAnsi="Arial" w:cs="Arial"/>
          <w:color w:val="000000" w:themeColor="text1"/>
        </w:rPr>
      </w:pPr>
      <w:r w:rsidRPr="000B5377">
        <w:rPr>
          <w:rFonts w:ascii="Arial" w:hAnsi="Arial" w:cs="Arial"/>
          <w:color w:val="000000" w:themeColor="text1"/>
        </w:rPr>
        <w:t xml:space="preserve">Whilst both papers are interesting in terms of their topic, there are elements which perhaps the authors missed, leading to potential questions about the validity of their responses in Bennett’s case </w:t>
      </w:r>
      <w:proofErr w:type="gramStart"/>
      <w:r w:rsidRPr="000B5377">
        <w:rPr>
          <w:rFonts w:ascii="Arial" w:hAnsi="Arial" w:cs="Arial"/>
          <w:color w:val="000000" w:themeColor="text1"/>
        </w:rPr>
        <w:t>and also</w:t>
      </w:r>
      <w:proofErr w:type="gramEnd"/>
      <w:r w:rsidRPr="000B5377">
        <w:rPr>
          <w:rFonts w:ascii="Arial" w:hAnsi="Arial" w:cs="Arial"/>
          <w:color w:val="000000" w:themeColor="text1"/>
        </w:rPr>
        <w:t xml:space="preserve"> the presumptions that appeared apparent in Walter and Warehouse’s. Overall</w:t>
      </w:r>
      <w:r>
        <w:rPr>
          <w:rFonts w:ascii="Arial" w:hAnsi="Arial" w:cs="Arial"/>
          <w:color w:val="000000" w:themeColor="text1"/>
        </w:rPr>
        <w:t>,</w:t>
      </w:r>
      <w:r w:rsidRPr="000B5377">
        <w:rPr>
          <w:rFonts w:ascii="Arial" w:hAnsi="Arial" w:cs="Arial"/>
          <w:color w:val="000000" w:themeColor="text1"/>
        </w:rPr>
        <w:t xml:space="preserve"> both papers have increased knowledge in areas that can very much be hidden away amongst the target groups Bennett, Walter and Warehouse interviewed, and consequently these can be seen to have </w:t>
      </w:r>
      <w:proofErr w:type="gramStart"/>
      <w:r w:rsidRPr="000B5377">
        <w:rPr>
          <w:rFonts w:ascii="Arial" w:hAnsi="Arial" w:cs="Arial"/>
          <w:color w:val="000000" w:themeColor="text1"/>
        </w:rPr>
        <w:t>opened up</w:t>
      </w:r>
      <w:proofErr w:type="gramEnd"/>
      <w:r w:rsidRPr="000B5377">
        <w:rPr>
          <w:rFonts w:ascii="Arial" w:hAnsi="Arial" w:cs="Arial"/>
          <w:color w:val="000000" w:themeColor="text1"/>
        </w:rPr>
        <w:t xml:space="preserve"> areas that would otherwise be missed or misunderstood by anyone unfamiliar with the research areas in question.  </w:t>
      </w:r>
      <w:r w:rsidRPr="000B5377">
        <w:rPr>
          <w:rFonts w:ascii="Arial" w:hAnsi="Arial" w:cs="Arial"/>
          <w:color w:val="000000" w:themeColor="text1"/>
        </w:rPr>
        <w:br w:type="page"/>
      </w:r>
    </w:p>
    <w:p w14:paraId="6FFB9E1C" w14:textId="77777777" w:rsidR="00FC3D0F" w:rsidRPr="00552028" w:rsidRDefault="00FC3D0F" w:rsidP="00FC3D0F">
      <w:pPr>
        <w:spacing w:before="100" w:beforeAutospacing="1" w:after="100" w:afterAutospacing="1" w:line="240" w:lineRule="auto"/>
        <w:rPr>
          <w:rFonts w:ascii="Arial" w:hAnsi="Arial" w:cs="Arial"/>
          <w:color w:val="000000" w:themeColor="text1"/>
          <w:u w:val="single"/>
        </w:rPr>
      </w:pPr>
      <w:r w:rsidRPr="00552028">
        <w:rPr>
          <w:rFonts w:ascii="Arial" w:hAnsi="Arial" w:cs="Arial"/>
          <w:color w:val="000000" w:themeColor="text1"/>
          <w:u w:val="single"/>
        </w:rPr>
        <w:lastRenderedPageBreak/>
        <w:t>References:</w:t>
      </w:r>
    </w:p>
    <w:p w14:paraId="22ED84F9" w14:textId="356AFFDF" w:rsidR="00FC3D0F" w:rsidRPr="008A21AC" w:rsidRDefault="00FC3D0F" w:rsidP="002B2A42">
      <w:pPr>
        <w:spacing w:before="100" w:beforeAutospacing="1" w:after="100" w:afterAutospacing="1" w:line="240" w:lineRule="auto"/>
        <w:ind w:left="142" w:hanging="142"/>
        <w:rPr>
          <w:rFonts w:ascii="Arial" w:hAnsi="Arial" w:cs="Arial"/>
          <w:color w:val="000000" w:themeColor="text1"/>
        </w:rPr>
      </w:pPr>
      <w:r w:rsidRPr="008A21AC">
        <w:rPr>
          <w:rFonts w:ascii="Arial" w:hAnsi="Arial" w:cs="Arial"/>
          <w:color w:val="000000" w:themeColor="text1"/>
        </w:rPr>
        <w:t xml:space="preserve">Bennett, Gillian, ‘If I Knew You Were Coming, I’d Have Baked a Cake: The Folklore of Foreknowledge in a Neighborhood Group’, in </w:t>
      </w:r>
      <w:r w:rsidRPr="008A21AC">
        <w:rPr>
          <w:rFonts w:ascii="Arial" w:hAnsi="Arial" w:cs="Arial"/>
          <w:i/>
          <w:iCs/>
          <w:color w:val="000000" w:themeColor="text1"/>
        </w:rPr>
        <w:t xml:space="preserve">Out </w:t>
      </w:r>
      <w:proofErr w:type="gramStart"/>
      <w:r w:rsidRPr="008A21AC">
        <w:rPr>
          <w:rFonts w:ascii="Arial" w:hAnsi="Arial" w:cs="Arial"/>
          <w:i/>
          <w:iCs/>
          <w:color w:val="000000" w:themeColor="text1"/>
        </w:rPr>
        <w:t>Of</w:t>
      </w:r>
      <w:proofErr w:type="gramEnd"/>
      <w:r w:rsidRPr="008A21AC">
        <w:rPr>
          <w:rFonts w:ascii="Arial" w:hAnsi="Arial" w:cs="Arial"/>
          <w:i/>
          <w:iCs/>
          <w:color w:val="000000" w:themeColor="text1"/>
        </w:rPr>
        <w:t xml:space="preserve"> The Ordinary</w:t>
      </w:r>
      <w:r w:rsidRPr="008A21AC">
        <w:rPr>
          <w:rFonts w:ascii="Arial" w:hAnsi="Arial" w:cs="Arial"/>
          <w:color w:val="000000" w:themeColor="text1"/>
        </w:rPr>
        <w:t>, (Utah State University Press, 1995), pp. 122-</w:t>
      </w:r>
      <w:r w:rsidR="008A21AC" w:rsidRPr="008A21AC">
        <w:rPr>
          <w:rFonts w:ascii="Arial" w:hAnsi="Arial" w:cs="Arial"/>
          <w:color w:val="000000" w:themeColor="text1"/>
        </w:rPr>
        <w:t>142</w:t>
      </w:r>
      <w:r w:rsidRPr="008A21AC">
        <w:rPr>
          <w:rFonts w:ascii="Arial" w:hAnsi="Arial" w:cs="Arial"/>
          <w:color w:val="000000" w:themeColor="text1"/>
        </w:rPr>
        <w:t xml:space="preserve"> &lt;https://doi.org/10.2307/j.ctt46nwn8.13&gt;</w:t>
      </w:r>
    </w:p>
    <w:p w14:paraId="1D2C4A53" w14:textId="46388524" w:rsidR="0063675E" w:rsidRPr="008A21AC" w:rsidRDefault="0063675E" w:rsidP="002B2A42">
      <w:pPr>
        <w:spacing w:before="100" w:beforeAutospacing="1" w:after="100" w:afterAutospacing="1" w:line="240" w:lineRule="auto"/>
        <w:ind w:left="142" w:hanging="142"/>
        <w:rPr>
          <w:rFonts w:ascii="Arial" w:hAnsi="Arial" w:cs="Arial"/>
          <w:color w:val="000000" w:themeColor="text1"/>
          <w:shd w:val="clear" w:color="auto" w:fill="FFFFFF"/>
        </w:rPr>
      </w:pPr>
      <w:r w:rsidRPr="008A21AC">
        <w:rPr>
          <w:rFonts w:ascii="Arial" w:hAnsi="Arial" w:cs="Arial"/>
          <w:color w:val="000000" w:themeColor="text1"/>
          <w:shd w:val="clear" w:color="auto" w:fill="FFFFFF"/>
        </w:rPr>
        <w:t>Bennett, Gillian</w:t>
      </w:r>
      <w:r w:rsidR="008A21AC" w:rsidRPr="008A21AC">
        <w:rPr>
          <w:rFonts w:ascii="Arial" w:hAnsi="Arial" w:cs="Arial"/>
          <w:color w:val="000000" w:themeColor="text1"/>
          <w:shd w:val="clear" w:color="auto" w:fill="FFFFFF"/>
        </w:rPr>
        <w:t>,</w:t>
      </w:r>
      <w:r w:rsidRPr="008A21AC">
        <w:rPr>
          <w:rStyle w:val="apple-converted-space"/>
          <w:rFonts w:ascii="Arial" w:hAnsi="Arial" w:cs="Arial"/>
          <w:color w:val="000000" w:themeColor="text1"/>
          <w:shd w:val="clear" w:color="auto" w:fill="FFFFFF"/>
        </w:rPr>
        <w:t> </w:t>
      </w:r>
      <w:r w:rsidRPr="008A21AC">
        <w:rPr>
          <w:rFonts w:ascii="Arial" w:hAnsi="Arial" w:cs="Arial"/>
          <w:i/>
          <w:iCs/>
          <w:color w:val="000000" w:themeColor="text1"/>
        </w:rPr>
        <w:t>Alas Poor Ghost</w:t>
      </w:r>
      <w:r w:rsidRPr="008A21AC">
        <w:rPr>
          <w:rStyle w:val="apple-converted-space"/>
          <w:rFonts w:ascii="Arial" w:hAnsi="Arial" w:cs="Arial"/>
          <w:color w:val="000000" w:themeColor="text1"/>
          <w:shd w:val="clear" w:color="auto" w:fill="FFFFFF"/>
        </w:rPr>
        <w:t> </w:t>
      </w:r>
      <w:r w:rsidRPr="008A21AC">
        <w:rPr>
          <w:rFonts w:ascii="Arial" w:hAnsi="Arial" w:cs="Arial"/>
          <w:color w:val="000000" w:themeColor="text1"/>
          <w:shd w:val="clear" w:color="auto" w:fill="FFFFFF"/>
        </w:rPr>
        <w:t>(United States: University Press of Colorado, 1999) &lt;</w:t>
      </w:r>
      <w:r w:rsidRPr="008A21AC">
        <w:rPr>
          <w:rFonts w:ascii="Arial" w:hAnsi="Arial" w:cs="Arial"/>
          <w:color w:val="000000" w:themeColor="text1"/>
          <w:spacing w:val="-5"/>
        </w:rPr>
        <w:t>https://doi.org/10.2307/j.ctt46nwwn&gt;</w:t>
      </w:r>
    </w:p>
    <w:p w14:paraId="0D12F996" w14:textId="7B5F96E2" w:rsidR="00FC3D0F" w:rsidRPr="002B2A42" w:rsidRDefault="00FC3D0F" w:rsidP="002B2A42">
      <w:pPr>
        <w:spacing w:before="100" w:beforeAutospacing="1" w:after="100" w:afterAutospacing="1" w:line="240" w:lineRule="auto"/>
        <w:ind w:left="142" w:hanging="142"/>
        <w:rPr>
          <w:rFonts w:ascii="Arial" w:hAnsi="Arial" w:cs="Arial"/>
          <w:color w:val="000000" w:themeColor="text1"/>
        </w:rPr>
      </w:pPr>
      <w:r w:rsidRPr="008A21AC">
        <w:rPr>
          <w:rFonts w:ascii="Arial" w:hAnsi="Arial" w:cs="Arial"/>
          <w:color w:val="000000" w:themeColor="text1"/>
        </w:rPr>
        <w:t xml:space="preserve">Walter, Tony, and Helen Waterhouse, ‘A Very Private Belief: Reincarnation in </w:t>
      </w:r>
      <w:r w:rsidRPr="002B2A42">
        <w:rPr>
          <w:rFonts w:ascii="Arial" w:hAnsi="Arial" w:cs="Arial"/>
          <w:color w:val="000000" w:themeColor="text1"/>
        </w:rPr>
        <w:t xml:space="preserve">Contemporary England’, </w:t>
      </w:r>
      <w:r w:rsidRPr="002B2A42">
        <w:rPr>
          <w:rFonts w:ascii="Arial" w:hAnsi="Arial" w:cs="Arial"/>
          <w:i/>
          <w:iCs/>
          <w:color w:val="000000" w:themeColor="text1"/>
        </w:rPr>
        <w:t>Sociology of Religion</w:t>
      </w:r>
      <w:r w:rsidRPr="002B2A42">
        <w:rPr>
          <w:rFonts w:ascii="Arial" w:hAnsi="Arial" w:cs="Arial"/>
          <w:color w:val="000000" w:themeColor="text1"/>
        </w:rPr>
        <w:t>, 60.2 (1999), 187–97 &lt;</w:t>
      </w:r>
      <w:hyperlink r:id="rId9" w:history="1">
        <w:r w:rsidRPr="002B2A42">
          <w:rPr>
            <w:rStyle w:val="Hyperlink"/>
            <w:rFonts w:ascii="Arial" w:hAnsi="Arial" w:cs="Arial"/>
            <w:color w:val="000000" w:themeColor="text1"/>
            <w:u w:val="none"/>
          </w:rPr>
          <w:t>https://</w:t>
        </w:r>
        <w:r w:rsidRPr="002B2A42">
          <w:rPr>
            <w:rStyle w:val="Hyperlink"/>
            <w:rFonts w:ascii="Arial" w:hAnsi="Arial" w:cs="Arial"/>
            <w:color w:val="000000" w:themeColor="text1"/>
            <w:u w:val="none"/>
          </w:rPr>
          <w:t>d</w:t>
        </w:r>
        <w:r w:rsidRPr="002B2A42">
          <w:rPr>
            <w:rStyle w:val="Hyperlink"/>
            <w:rFonts w:ascii="Arial" w:hAnsi="Arial" w:cs="Arial"/>
            <w:color w:val="000000" w:themeColor="text1"/>
            <w:u w:val="none"/>
          </w:rPr>
          <w:t>oi.org/10.2307/3711748</w:t>
        </w:r>
      </w:hyperlink>
      <w:r w:rsidRPr="002B2A42">
        <w:rPr>
          <w:rFonts w:ascii="Arial" w:hAnsi="Arial" w:cs="Arial"/>
          <w:color w:val="000000" w:themeColor="text1"/>
        </w:rPr>
        <w:t>&gt;</w:t>
      </w:r>
    </w:p>
    <w:p w14:paraId="2BFD9AA7" w14:textId="77777777" w:rsidR="00FC3D0F" w:rsidRPr="00552028" w:rsidRDefault="00FC3D0F" w:rsidP="00FC3D0F">
      <w:pPr>
        <w:spacing w:before="100" w:beforeAutospacing="1" w:after="100" w:afterAutospacing="1" w:line="240" w:lineRule="auto"/>
        <w:rPr>
          <w:rFonts w:ascii="Arial" w:hAnsi="Arial" w:cs="Arial"/>
          <w:color w:val="000000" w:themeColor="text1"/>
          <w:u w:val="single"/>
        </w:rPr>
      </w:pPr>
      <w:r w:rsidRPr="00552028">
        <w:rPr>
          <w:rFonts w:ascii="Arial" w:hAnsi="Arial" w:cs="Arial"/>
          <w:color w:val="000000" w:themeColor="text1"/>
          <w:u w:val="single"/>
        </w:rPr>
        <w:t>Further articles/books:</w:t>
      </w:r>
    </w:p>
    <w:p w14:paraId="3FCAAFBB" w14:textId="77777777" w:rsidR="00FC3D0F" w:rsidRDefault="00FC3D0F" w:rsidP="002B2A42">
      <w:pPr>
        <w:spacing w:before="100" w:beforeAutospacing="1" w:after="100" w:afterAutospacing="1" w:line="240" w:lineRule="auto"/>
        <w:ind w:left="142" w:hanging="142"/>
        <w:rPr>
          <w:rFonts w:ascii="Arial" w:hAnsi="Arial" w:cs="Arial"/>
          <w:color w:val="000000" w:themeColor="text1"/>
          <w:shd w:val="clear" w:color="auto" w:fill="FFFFFF"/>
        </w:rPr>
      </w:pPr>
      <w:r w:rsidRPr="00552028">
        <w:rPr>
          <w:rFonts w:ascii="Arial" w:hAnsi="Arial" w:cs="Arial"/>
          <w:color w:val="000000" w:themeColor="text1"/>
          <w:shd w:val="clear" w:color="auto" w:fill="FFFFFF"/>
        </w:rPr>
        <w:t>Bell, J. and S. Waters,</w:t>
      </w:r>
      <w:r w:rsidRPr="00552028">
        <w:rPr>
          <w:rStyle w:val="apple-converted-space"/>
          <w:rFonts w:ascii="Arial" w:hAnsi="Arial" w:cs="Arial"/>
          <w:color w:val="000000" w:themeColor="text1"/>
          <w:shd w:val="clear" w:color="auto" w:fill="FFFFFF"/>
        </w:rPr>
        <w:t> </w:t>
      </w:r>
      <w:r w:rsidRPr="00552028">
        <w:rPr>
          <w:rFonts w:ascii="Arial" w:hAnsi="Arial" w:cs="Arial"/>
          <w:i/>
          <w:iCs/>
          <w:color w:val="000000" w:themeColor="text1"/>
        </w:rPr>
        <w:t>Doing Your Research Project</w:t>
      </w:r>
      <w:r w:rsidRPr="00552028">
        <w:rPr>
          <w:rStyle w:val="apple-converted-space"/>
          <w:rFonts w:ascii="Arial" w:hAnsi="Arial" w:cs="Arial"/>
          <w:color w:val="000000" w:themeColor="text1"/>
          <w:shd w:val="clear" w:color="auto" w:fill="FFFFFF"/>
        </w:rPr>
        <w:t> </w:t>
      </w:r>
      <w:r w:rsidRPr="00552028">
        <w:rPr>
          <w:rFonts w:ascii="Arial" w:hAnsi="Arial" w:cs="Arial"/>
          <w:color w:val="000000" w:themeColor="text1"/>
          <w:shd w:val="clear" w:color="auto" w:fill="FFFFFF"/>
        </w:rPr>
        <w:t>(New York: Open University Press/McGraw-Hill, 2017), 7</w:t>
      </w:r>
      <w:r w:rsidRPr="00552028">
        <w:rPr>
          <w:rFonts w:ascii="Arial" w:hAnsi="Arial" w:cs="Arial"/>
          <w:color w:val="000000" w:themeColor="text1"/>
          <w:vertAlign w:val="superscript"/>
        </w:rPr>
        <w:t>th</w:t>
      </w:r>
      <w:r w:rsidRPr="00552028">
        <w:rPr>
          <w:rStyle w:val="apple-converted-space"/>
          <w:rFonts w:ascii="Arial" w:hAnsi="Arial" w:cs="Arial"/>
          <w:color w:val="000000" w:themeColor="text1"/>
          <w:shd w:val="clear" w:color="auto" w:fill="FFFFFF"/>
        </w:rPr>
        <w:t> </w:t>
      </w:r>
      <w:r w:rsidRPr="00552028">
        <w:rPr>
          <w:rFonts w:ascii="Arial" w:hAnsi="Arial" w:cs="Arial"/>
          <w:color w:val="000000" w:themeColor="text1"/>
          <w:shd w:val="clear" w:color="auto" w:fill="FFFFFF"/>
        </w:rPr>
        <w:t>edition. </w:t>
      </w:r>
    </w:p>
    <w:p w14:paraId="5DC463EF" w14:textId="77777777" w:rsidR="00FC3D0F" w:rsidRPr="00552028" w:rsidRDefault="00FC3D0F" w:rsidP="00FC3D0F">
      <w:pPr>
        <w:spacing w:before="100" w:beforeAutospacing="1" w:after="100" w:afterAutospacing="1" w:line="240" w:lineRule="auto"/>
        <w:rPr>
          <w:rFonts w:ascii="Arial" w:hAnsi="Arial" w:cs="Arial"/>
          <w:color w:val="000000" w:themeColor="text1"/>
        </w:rPr>
      </w:pPr>
      <w:r w:rsidRPr="00552028">
        <w:rPr>
          <w:rFonts w:ascii="Arial" w:hAnsi="Arial" w:cs="Arial"/>
          <w:color w:val="000000" w:themeColor="text1"/>
        </w:rPr>
        <w:t>Bryman</w:t>
      </w:r>
      <w:r>
        <w:rPr>
          <w:rFonts w:ascii="Arial" w:hAnsi="Arial" w:cs="Arial"/>
          <w:color w:val="000000" w:themeColor="text1"/>
        </w:rPr>
        <w:t xml:space="preserve"> Alan,</w:t>
      </w:r>
      <w:r w:rsidRPr="00552028">
        <w:rPr>
          <w:rStyle w:val="apple-converted-space"/>
          <w:rFonts w:ascii="Arial" w:hAnsi="Arial" w:cs="Arial"/>
          <w:color w:val="000000" w:themeColor="text1"/>
        </w:rPr>
        <w:t> </w:t>
      </w:r>
      <w:r w:rsidRPr="00552028">
        <w:rPr>
          <w:rStyle w:val="Emphasis"/>
          <w:rFonts w:ascii="Arial" w:hAnsi="Arial" w:cs="Arial"/>
          <w:color w:val="000000" w:themeColor="text1"/>
        </w:rPr>
        <w:t>Quantity and Quality in Social Research</w:t>
      </w:r>
      <w:r w:rsidRPr="00552028">
        <w:rPr>
          <w:rStyle w:val="apple-converted-space"/>
          <w:rFonts w:ascii="Arial" w:hAnsi="Arial" w:cs="Arial"/>
          <w:color w:val="000000" w:themeColor="text1"/>
        </w:rPr>
        <w:t> </w:t>
      </w:r>
      <w:r w:rsidRPr="00552028">
        <w:rPr>
          <w:rFonts w:ascii="Arial" w:hAnsi="Arial" w:cs="Arial"/>
          <w:color w:val="000000" w:themeColor="text1"/>
        </w:rPr>
        <w:t>(London: Routledge, 2001).</w:t>
      </w:r>
    </w:p>
    <w:p w14:paraId="523AC135" w14:textId="77777777" w:rsidR="00FC3D0F" w:rsidRPr="00F20D4E" w:rsidRDefault="00FC3D0F" w:rsidP="002B2A42">
      <w:pPr>
        <w:spacing w:before="100" w:beforeAutospacing="1" w:after="100" w:afterAutospacing="1" w:line="240" w:lineRule="auto"/>
        <w:ind w:left="142" w:hanging="142"/>
        <w:rPr>
          <w:rFonts w:ascii="Arial" w:hAnsi="Arial" w:cs="Arial"/>
          <w:color w:val="000000" w:themeColor="text1"/>
        </w:rPr>
      </w:pPr>
      <w:r w:rsidRPr="00552028">
        <w:rPr>
          <w:rFonts w:ascii="Arial" w:hAnsi="Arial" w:cs="Arial"/>
          <w:color w:val="000000" w:themeColor="text1"/>
        </w:rPr>
        <w:t>Hennink,</w:t>
      </w:r>
      <w:r>
        <w:rPr>
          <w:rFonts w:ascii="Arial" w:hAnsi="Arial" w:cs="Arial"/>
          <w:color w:val="000000" w:themeColor="text1"/>
        </w:rPr>
        <w:t xml:space="preserve"> Monique,</w:t>
      </w:r>
      <w:r w:rsidRPr="00552028">
        <w:rPr>
          <w:rFonts w:ascii="Arial" w:hAnsi="Arial" w:cs="Arial"/>
          <w:color w:val="000000" w:themeColor="text1"/>
        </w:rPr>
        <w:t xml:space="preserve"> Hutter</w:t>
      </w:r>
      <w:r>
        <w:rPr>
          <w:rFonts w:ascii="Arial" w:hAnsi="Arial" w:cs="Arial"/>
          <w:color w:val="000000" w:themeColor="text1"/>
        </w:rPr>
        <w:t>, Inge,</w:t>
      </w:r>
      <w:r w:rsidRPr="00552028">
        <w:rPr>
          <w:rFonts w:ascii="Arial" w:hAnsi="Arial" w:cs="Arial"/>
          <w:color w:val="000000" w:themeColor="text1"/>
        </w:rPr>
        <w:t xml:space="preserve"> and Bailey,</w:t>
      </w:r>
      <w:r>
        <w:rPr>
          <w:rFonts w:ascii="Arial" w:hAnsi="Arial" w:cs="Arial"/>
          <w:color w:val="000000" w:themeColor="text1"/>
        </w:rPr>
        <w:t xml:space="preserve"> Ajae</w:t>
      </w:r>
      <w:r w:rsidRPr="00552028">
        <w:rPr>
          <w:rFonts w:ascii="Arial" w:hAnsi="Arial" w:cs="Arial"/>
          <w:color w:val="000000" w:themeColor="text1"/>
        </w:rPr>
        <w:t> </w:t>
      </w:r>
      <w:r w:rsidRPr="00552028">
        <w:rPr>
          <w:rStyle w:val="Emphasis"/>
          <w:rFonts w:ascii="Arial" w:hAnsi="Arial" w:cs="Arial"/>
          <w:color w:val="000000" w:themeColor="text1"/>
        </w:rPr>
        <w:t>Qualitative Research Methods</w:t>
      </w:r>
      <w:r w:rsidRPr="00552028">
        <w:rPr>
          <w:rFonts w:ascii="Arial" w:hAnsi="Arial" w:cs="Arial"/>
          <w:color w:val="000000" w:themeColor="text1"/>
        </w:rPr>
        <w:t>, 2nd edition (Los Angeles; London, SAGE 2020).</w:t>
      </w:r>
    </w:p>
    <w:p w14:paraId="3312F1FC" w14:textId="77777777" w:rsidR="00FC3D0F" w:rsidRPr="000B5377" w:rsidRDefault="00FC3D0F" w:rsidP="002B2A42">
      <w:pPr>
        <w:spacing w:before="100" w:beforeAutospacing="1" w:after="100" w:afterAutospacing="1" w:line="240" w:lineRule="auto"/>
        <w:ind w:left="142" w:hanging="142"/>
        <w:rPr>
          <w:rFonts w:ascii="Arial" w:hAnsi="Arial" w:cs="Arial"/>
          <w:color w:val="000000" w:themeColor="text1"/>
          <w:shd w:val="clear" w:color="auto" w:fill="FFFFFF"/>
        </w:rPr>
      </w:pPr>
      <w:r w:rsidRPr="000B5377">
        <w:rPr>
          <w:rFonts w:ascii="Arial" w:hAnsi="Arial" w:cs="Arial"/>
          <w:color w:val="000000" w:themeColor="text1"/>
          <w:shd w:val="clear" w:color="auto" w:fill="FFFFFF"/>
        </w:rPr>
        <w:t>Walter, Tony, ‘Reincarnation, Modernity and Identity’,</w:t>
      </w:r>
      <w:r w:rsidRPr="000B5377">
        <w:rPr>
          <w:rStyle w:val="apple-converted-space"/>
          <w:rFonts w:ascii="Arial" w:hAnsi="Arial" w:cs="Arial"/>
          <w:color w:val="000000" w:themeColor="text1"/>
          <w:shd w:val="clear" w:color="auto" w:fill="FFFFFF"/>
        </w:rPr>
        <w:t> </w:t>
      </w:r>
      <w:r w:rsidRPr="000B5377">
        <w:rPr>
          <w:rFonts w:ascii="Arial" w:hAnsi="Arial" w:cs="Arial"/>
          <w:i/>
          <w:iCs/>
          <w:color w:val="000000" w:themeColor="text1"/>
        </w:rPr>
        <w:t>Sociology (Oxford)</w:t>
      </w:r>
      <w:r w:rsidRPr="000B5377">
        <w:rPr>
          <w:rFonts w:ascii="Arial" w:hAnsi="Arial" w:cs="Arial"/>
          <w:color w:val="000000" w:themeColor="text1"/>
          <w:shd w:val="clear" w:color="auto" w:fill="FFFFFF"/>
        </w:rPr>
        <w:t>, 35.1 (2001), 21–38 &lt;https://doi.org/10.1177/0038038501035001003&gt;</w:t>
      </w:r>
    </w:p>
    <w:p w14:paraId="78DA2151" w14:textId="77777777" w:rsidR="00FC3D0F" w:rsidRPr="00552028" w:rsidRDefault="00FC3D0F" w:rsidP="002B2A42">
      <w:pPr>
        <w:spacing w:before="100" w:beforeAutospacing="1" w:after="100" w:afterAutospacing="1" w:line="240" w:lineRule="auto"/>
        <w:ind w:left="142" w:hanging="142"/>
        <w:rPr>
          <w:rFonts w:ascii="Arial" w:hAnsi="Arial" w:cs="Arial"/>
          <w:color w:val="000000" w:themeColor="text1"/>
          <w:shd w:val="clear" w:color="auto" w:fill="FFFFFF"/>
        </w:rPr>
      </w:pPr>
      <w:r w:rsidRPr="000B5377">
        <w:rPr>
          <w:rFonts w:ascii="Arial" w:hAnsi="Arial" w:cs="Arial"/>
          <w:color w:val="000000" w:themeColor="text1"/>
          <w:shd w:val="clear" w:color="auto" w:fill="FFFFFF"/>
        </w:rPr>
        <w:t xml:space="preserve">Walter, Tony, and Helen Waterhouse, ‘Lives-Long Learning: The Effects of </w:t>
      </w:r>
      <w:r w:rsidRPr="00552028">
        <w:rPr>
          <w:rFonts w:ascii="Arial" w:hAnsi="Arial" w:cs="Arial"/>
          <w:color w:val="000000" w:themeColor="text1"/>
          <w:shd w:val="clear" w:color="auto" w:fill="FFFFFF"/>
        </w:rPr>
        <w:t>Reincarnation Belief on Everyday Life in England’,</w:t>
      </w:r>
      <w:r w:rsidRPr="00552028">
        <w:rPr>
          <w:rStyle w:val="apple-converted-space"/>
          <w:rFonts w:ascii="Arial" w:hAnsi="Arial" w:cs="Arial"/>
          <w:color w:val="000000" w:themeColor="text1"/>
          <w:shd w:val="clear" w:color="auto" w:fill="FFFFFF"/>
        </w:rPr>
        <w:t> </w:t>
      </w:r>
      <w:r w:rsidRPr="00552028">
        <w:rPr>
          <w:rFonts w:ascii="Arial" w:hAnsi="Arial" w:cs="Arial"/>
          <w:i/>
          <w:iCs/>
          <w:color w:val="000000" w:themeColor="text1"/>
        </w:rPr>
        <w:t>Nova Religio</w:t>
      </w:r>
      <w:r w:rsidRPr="00552028">
        <w:rPr>
          <w:rFonts w:ascii="Arial" w:hAnsi="Arial" w:cs="Arial"/>
          <w:color w:val="000000" w:themeColor="text1"/>
          <w:shd w:val="clear" w:color="auto" w:fill="FFFFFF"/>
        </w:rPr>
        <w:t>, 5.1 (2001), 85–101 &lt;https://doi.org/10.1525/nr.2001.5.1.85&gt;</w:t>
      </w:r>
    </w:p>
    <w:p w14:paraId="1A829BBD" w14:textId="4AD4F877" w:rsidR="005127C2" w:rsidRPr="0071646D" w:rsidRDefault="00360E35" w:rsidP="00517CD7">
      <w:pPr>
        <w:spacing w:before="100" w:beforeAutospacing="1" w:after="100" w:afterAutospacing="1" w:line="240" w:lineRule="auto"/>
        <w:ind w:left="142" w:hanging="142"/>
        <w:rPr>
          <w:rFonts w:ascii="Arial" w:hAnsi="Arial" w:cs="Arial"/>
          <w:color w:val="000000" w:themeColor="text1"/>
          <w:shd w:val="clear" w:color="auto" w:fill="FFFFFF"/>
        </w:rPr>
      </w:pPr>
      <w:r w:rsidRPr="0071646D">
        <w:rPr>
          <w:rFonts w:ascii="Arial" w:hAnsi="Arial" w:cs="Arial"/>
          <w:color w:val="000000" w:themeColor="text1"/>
          <w:shd w:val="clear" w:color="auto" w:fill="FFFFFF"/>
        </w:rPr>
        <w:t xml:space="preserve"> </w:t>
      </w:r>
    </w:p>
    <w:sectPr w:rsidR="005127C2" w:rsidRPr="0071646D" w:rsidSect="00821F5E">
      <w:headerReference w:type="even" r:id="rId10"/>
      <w:headerReference w:type="default" r:id="rId11"/>
      <w:headerReference w:type="first" r:id="rId12"/>
      <w:pgSz w:w="11906" w:h="16838"/>
      <w:pgMar w:top="1440" w:right="1440" w:bottom="1440" w:left="1440" w:header="709" w:footer="709"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A04B881" w14:textId="77777777" w:rsidR="00771560" w:rsidRDefault="00771560" w:rsidP="00866B82">
      <w:pPr>
        <w:spacing w:after="0" w:line="240" w:lineRule="auto"/>
      </w:pPr>
      <w:r>
        <w:separator/>
      </w:r>
    </w:p>
  </w:endnote>
  <w:endnote w:type="continuationSeparator" w:id="0">
    <w:p w14:paraId="7A6D64C5" w14:textId="77777777" w:rsidR="00771560" w:rsidRDefault="00771560" w:rsidP="00866B8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ptos">
    <w:panose1 w:val="020B0004020202020204"/>
    <w:charset w:val="00"/>
    <w:family w:val="swiss"/>
    <w:pitch w:val="variable"/>
    <w:sig w:usb0="20000287" w:usb1="00000003" w:usb2="00000000" w:usb3="00000000" w:csb0="0000019F" w:csb1="00000000"/>
  </w:font>
  <w:font w:name="Yu Gothic">
    <w:altName w:val="游ゴシック"/>
    <w:panose1 w:val="020B0400000000000000"/>
    <w:charset w:val="80"/>
    <w:family w:val="swiss"/>
    <w:pitch w:val="variable"/>
    <w:sig w:usb0="E00002FF" w:usb1="2AC7FDFF" w:usb2="00000016" w:usb3="00000000" w:csb0="0002009F" w:csb1="00000000"/>
  </w:font>
  <w:font w:name="Aptos Display">
    <w:panose1 w:val="020B0004020202020204"/>
    <w:charset w:val="00"/>
    <w:family w:val="swiss"/>
    <w:pitch w:val="variable"/>
    <w:sig w:usb0="20000287" w:usb1="00000003" w:usb2="00000000" w:usb3="00000000" w:csb0="0000019F" w:csb1="00000000"/>
  </w:font>
  <w:font w:name="Yu Gothic Light">
    <w:altName w:val="游ゴシック Light"/>
    <w:panose1 w:val="020B0300000000000000"/>
    <w:charset w:val="80"/>
    <w:family w:val="swiss"/>
    <w:pitch w:val="variable"/>
    <w:sig w:usb0="E00002FF" w:usb1="2AC7FDFF" w:usb2="00000016" w:usb3="00000000" w:csb0="0002009F" w:csb1="00000000"/>
  </w:font>
  <w:font w:name="Arial">
    <w:panose1 w:val="020B0604020202020204"/>
    <w:charset w:val="00"/>
    <w:family w:val="swiss"/>
    <w:pitch w:val="variable"/>
    <w:sig w:usb0="E0002EFF" w:usb1="C000785B" w:usb2="00000009" w:usb3="00000000" w:csb0="000001FF" w:csb1="00000000"/>
  </w:font>
  <w:font w:name="Trebuchet MS">
    <w:panose1 w:val="020B0603020202020204"/>
    <w:charset w:val="00"/>
    <w:family w:val="swiss"/>
    <w:pitch w:val="variable"/>
    <w:sig w:usb0="000002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pple Color Emoji">
    <w:panose1 w:val="00000000000000000000"/>
    <w:charset w:val="00"/>
    <w:family w:val="auto"/>
    <w:pitch w:val="variable"/>
    <w:sig w:usb0="00000003" w:usb1="18000000" w:usb2="14000000" w:usb3="00000000" w:csb0="00000001" w:csb1="00000000"/>
  </w:font>
  <w:font w:name="Helvetica">
    <w:panose1 w:val="00000000000000000000"/>
    <w:charset w:val="00"/>
    <w:family w:val="auto"/>
    <w:pitch w:val="variable"/>
    <w:sig w:usb0="E00002FF" w:usb1="5000785B" w:usb2="00000000" w:usb3="00000000" w:csb0="0000019F" w:csb1="00000000"/>
  </w:font>
  <w:font w:name="Times New Roman (Body CS)">
    <w:panose1 w:val="020B0604020202020204"/>
    <w:charset w:val="00"/>
    <w:family w:val="roman"/>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6776334" w14:textId="77777777" w:rsidR="00771560" w:rsidRDefault="00771560" w:rsidP="00866B82">
      <w:pPr>
        <w:spacing w:after="0" w:line="240" w:lineRule="auto"/>
      </w:pPr>
      <w:r>
        <w:separator/>
      </w:r>
    </w:p>
  </w:footnote>
  <w:footnote w:type="continuationSeparator" w:id="0">
    <w:p w14:paraId="592CEB93" w14:textId="77777777" w:rsidR="00771560" w:rsidRDefault="00771560" w:rsidP="00866B82">
      <w:pPr>
        <w:spacing w:after="0" w:line="240" w:lineRule="auto"/>
      </w:pPr>
      <w:r>
        <w:continuationSeparator/>
      </w:r>
    </w:p>
  </w:footnote>
  <w:footnote w:id="1">
    <w:p w14:paraId="633D1949" w14:textId="77777777" w:rsidR="00FC3D0F" w:rsidRPr="0060323F" w:rsidRDefault="00FC3D0F" w:rsidP="00FC3D0F">
      <w:pPr>
        <w:pStyle w:val="FootnoteText"/>
        <w:rPr>
          <w:rFonts w:ascii="Arial" w:hAnsi="Arial" w:cs="Arial"/>
        </w:rPr>
      </w:pPr>
      <w:r>
        <w:rPr>
          <w:rStyle w:val="FootnoteReference"/>
        </w:rPr>
        <w:footnoteRef/>
      </w:r>
      <w:r>
        <w:t xml:space="preserve"> </w:t>
      </w:r>
      <w:r w:rsidRPr="000B5377">
        <w:rPr>
          <w:rFonts w:ascii="Arial" w:hAnsi="Arial" w:cs="Arial"/>
        </w:rPr>
        <w:t xml:space="preserve">Gillian Bennett, ‘If I Knew You Were Coming, I’d Have Baked a Cake: The Folklore of Foreknowledge in a Neighborhood Group’, in </w:t>
      </w:r>
      <w:r w:rsidRPr="004970D7">
        <w:rPr>
          <w:rFonts w:ascii="Arial" w:hAnsi="Arial" w:cs="Arial"/>
          <w:i/>
          <w:iCs/>
        </w:rPr>
        <w:t xml:space="preserve">Out </w:t>
      </w:r>
      <w:proofErr w:type="gramStart"/>
      <w:r w:rsidRPr="004970D7">
        <w:rPr>
          <w:rFonts w:ascii="Arial" w:hAnsi="Arial" w:cs="Arial"/>
          <w:i/>
          <w:iCs/>
        </w:rPr>
        <w:t>Of</w:t>
      </w:r>
      <w:proofErr w:type="gramEnd"/>
      <w:r w:rsidRPr="004970D7">
        <w:rPr>
          <w:rFonts w:ascii="Arial" w:hAnsi="Arial" w:cs="Arial"/>
          <w:i/>
          <w:iCs/>
        </w:rPr>
        <w:t xml:space="preserve"> The Ordinary</w:t>
      </w:r>
      <w:r w:rsidRPr="000B5377">
        <w:rPr>
          <w:rFonts w:ascii="Arial" w:hAnsi="Arial" w:cs="Arial"/>
        </w:rPr>
        <w:t xml:space="preserve"> (Utah State University Press, 1995), </w:t>
      </w:r>
      <w:r>
        <w:rPr>
          <w:rFonts w:ascii="Arial" w:hAnsi="Arial" w:cs="Arial"/>
        </w:rPr>
        <w:t xml:space="preserve">(pp.122-142) </w:t>
      </w:r>
      <w:r w:rsidRPr="000B5377">
        <w:rPr>
          <w:rFonts w:ascii="Arial" w:hAnsi="Arial" w:cs="Arial"/>
        </w:rPr>
        <w:t>&lt;https://doi.org/10.2307/j.ctt46nwn8.13&gt;</w:t>
      </w:r>
    </w:p>
  </w:footnote>
  <w:footnote w:id="2">
    <w:p w14:paraId="39FFDEE9" w14:textId="77777777" w:rsidR="00FC3D0F" w:rsidRDefault="00FC3D0F" w:rsidP="00FC3D0F">
      <w:pPr>
        <w:pStyle w:val="FootnoteText"/>
      </w:pPr>
      <w:r>
        <w:rPr>
          <w:rStyle w:val="FootnoteReference"/>
        </w:rPr>
        <w:footnoteRef/>
      </w:r>
      <w:r>
        <w:t xml:space="preserve"> </w:t>
      </w:r>
      <w:r w:rsidRPr="000B5377">
        <w:rPr>
          <w:rFonts w:ascii="Arial" w:hAnsi="Arial" w:cs="Arial"/>
        </w:rPr>
        <w:t xml:space="preserve">Tony Walter and Helen Waterhouse, ‘A Very Private Belief: Reincarnation in Contemporary England’, </w:t>
      </w:r>
      <w:r w:rsidRPr="004970D7">
        <w:rPr>
          <w:rFonts w:ascii="Arial" w:hAnsi="Arial" w:cs="Arial"/>
          <w:i/>
          <w:iCs/>
        </w:rPr>
        <w:t>Sociology of Religion</w:t>
      </w:r>
      <w:r w:rsidRPr="000B5377">
        <w:rPr>
          <w:rFonts w:ascii="Arial" w:hAnsi="Arial" w:cs="Arial"/>
        </w:rPr>
        <w:t xml:space="preserve">, 60.2 (1999), </w:t>
      </w:r>
      <w:r>
        <w:rPr>
          <w:rFonts w:ascii="Arial" w:hAnsi="Arial" w:cs="Arial"/>
        </w:rPr>
        <w:t>(187-197)</w:t>
      </w:r>
      <w:r w:rsidRPr="000B5377">
        <w:rPr>
          <w:rFonts w:ascii="Arial" w:hAnsi="Arial" w:cs="Arial"/>
        </w:rPr>
        <w:t xml:space="preserve"> </w:t>
      </w:r>
      <w:r>
        <w:rPr>
          <w:rFonts w:ascii="Arial" w:hAnsi="Arial" w:cs="Arial"/>
        </w:rPr>
        <w:t>&lt;</w:t>
      </w:r>
      <w:hyperlink r:id="rId1" w:history="1">
        <w:r w:rsidRPr="007837B7">
          <w:rPr>
            <w:rStyle w:val="Hyperlink"/>
            <w:rFonts w:ascii="Arial" w:hAnsi="Arial" w:cs="Arial"/>
          </w:rPr>
          <w:t>https://doi.org/10.2307/3711748</w:t>
        </w:r>
      </w:hyperlink>
      <w:r>
        <w:rPr>
          <w:rFonts w:ascii="Arial" w:hAnsi="Arial" w:cs="Arial"/>
        </w:rPr>
        <w:t>&gt;</w:t>
      </w:r>
    </w:p>
  </w:footnote>
  <w:footnote w:id="3">
    <w:p w14:paraId="28175EDF" w14:textId="77777777" w:rsidR="00FC3D0F" w:rsidRPr="000B5377" w:rsidRDefault="00FC3D0F" w:rsidP="00FC3D0F">
      <w:pPr>
        <w:pStyle w:val="FootnoteText"/>
        <w:rPr>
          <w:rFonts w:ascii="Arial" w:hAnsi="Arial" w:cs="Arial"/>
        </w:rPr>
      </w:pPr>
      <w:r w:rsidRPr="000B5377">
        <w:rPr>
          <w:rStyle w:val="FootnoteReference"/>
          <w:rFonts w:ascii="Arial" w:hAnsi="Arial" w:cs="Arial"/>
        </w:rPr>
        <w:footnoteRef/>
      </w:r>
      <w:r w:rsidRPr="000B5377">
        <w:rPr>
          <w:rFonts w:ascii="Arial" w:hAnsi="Arial" w:cs="Arial"/>
        </w:rPr>
        <w:t xml:space="preserve"> Gillian Bennett,  ‘If I Knew You Were Coming, I’d Have Baked a Cake: The Folklore of Foreknowledge in a Neighborhood Group’, p122. </w:t>
      </w:r>
    </w:p>
  </w:footnote>
  <w:footnote w:id="4">
    <w:p w14:paraId="239F5CC4" w14:textId="77777777" w:rsidR="00FC3D0F" w:rsidRPr="000B5377" w:rsidRDefault="00FC3D0F" w:rsidP="00FC3D0F">
      <w:pPr>
        <w:pStyle w:val="FootnoteText"/>
        <w:rPr>
          <w:rFonts w:ascii="Arial" w:hAnsi="Arial" w:cs="Arial"/>
        </w:rPr>
      </w:pPr>
      <w:r w:rsidRPr="000B5377">
        <w:rPr>
          <w:rStyle w:val="FootnoteReference"/>
          <w:rFonts w:ascii="Arial" w:hAnsi="Arial" w:cs="Arial"/>
        </w:rPr>
        <w:footnoteRef/>
      </w:r>
      <w:r w:rsidRPr="000B5377">
        <w:rPr>
          <w:rFonts w:ascii="Arial" w:hAnsi="Arial" w:cs="Arial"/>
        </w:rPr>
        <w:t xml:space="preserve"> Bennett, pp.122-3.</w:t>
      </w:r>
    </w:p>
  </w:footnote>
  <w:footnote w:id="5">
    <w:p w14:paraId="33B6972E" w14:textId="77777777" w:rsidR="00FC3D0F" w:rsidRPr="000B5377" w:rsidRDefault="00FC3D0F" w:rsidP="00FC3D0F">
      <w:pPr>
        <w:pStyle w:val="FootnoteText"/>
        <w:rPr>
          <w:rFonts w:ascii="Arial" w:hAnsi="Arial" w:cs="Arial"/>
        </w:rPr>
      </w:pPr>
      <w:r w:rsidRPr="000B5377">
        <w:rPr>
          <w:rStyle w:val="FootnoteReference"/>
          <w:rFonts w:ascii="Arial" w:hAnsi="Arial" w:cs="Arial"/>
        </w:rPr>
        <w:footnoteRef/>
      </w:r>
      <w:r w:rsidRPr="000B5377">
        <w:rPr>
          <w:rFonts w:ascii="Arial" w:hAnsi="Arial" w:cs="Arial"/>
        </w:rPr>
        <w:t xml:space="preserve"> </w:t>
      </w:r>
      <w:r>
        <w:rPr>
          <w:rFonts w:ascii="Arial" w:hAnsi="Arial" w:cs="Arial"/>
        </w:rPr>
        <w:t>Ibid</w:t>
      </w:r>
      <w:r w:rsidRPr="000B5377">
        <w:rPr>
          <w:rFonts w:ascii="Arial" w:hAnsi="Arial" w:cs="Arial"/>
        </w:rPr>
        <w:t>, p.123.</w:t>
      </w:r>
    </w:p>
  </w:footnote>
  <w:footnote w:id="6">
    <w:p w14:paraId="7ED2A097" w14:textId="77777777" w:rsidR="00FC3D0F" w:rsidRPr="000B5377" w:rsidRDefault="00FC3D0F" w:rsidP="00FC3D0F">
      <w:pPr>
        <w:pStyle w:val="FootnoteText"/>
        <w:rPr>
          <w:rFonts w:ascii="Arial" w:hAnsi="Arial" w:cs="Arial"/>
        </w:rPr>
      </w:pPr>
      <w:r w:rsidRPr="000B5377">
        <w:rPr>
          <w:rStyle w:val="FootnoteReference"/>
          <w:rFonts w:ascii="Arial" w:hAnsi="Arial" w:cs="Arial"/>
        </w:rPr>
        <w:footnoteRef/>
      </w:r>
      <w:r w:rsidRPr="000B5377">
        <w:rPr>
          <w:rFonts w:ascii="Arial" w:hAnsi="Arial" w:cs="Arial"/>
        </w:rPr>
        <w:t xml:space="preserve"> Ibid, p. 124.</w:t>
      </w:r>
    </w:p>
  </w:footnote>
  <w:footnote w:id="7">
    <w:p w14:paraId="7167BBBC" w14:textId="77777777" w:rsidR="00FC3D0F" w:rsidRPr="000B5377" w:rsidRDefault="00FC3D0F" w:rsidP="00FC3D0F">
      <w:pPr>
        <w:pStyle w:val="FootnoteText"/>
        <w:rPr>
          <w:rFonts w:ascii="Arial" w:hAnsi="Arial" w:cs="Arial"/>
        </w:rPr>
      </w:pPr>
      <w:r w:rsidRPr="000B5377">
        <w:rPr>
          <w:rStyle w:val="FootnoteReference"/>
          <w:rFonts w:ascii="Arial" w:hAnsi="Arial" w:cs="Arial"/>
        </w:rPr>
        <w:footnoteRef/>
      </w:r>
      <w:r w:rsidRPr="000B5377">
        <w:rPr>
          <w:rFonts w:ascii="Arial" w:hAnsi="Arial" w:cs="Arial"/>
        </w:rPr>
        <w:t xml:space="preserve"> Ibid, p. 124.</w:t>
      </w:r>
    </w:p>
  </w:footnote>
  <w:footnote w:id="8">
    <w:p w14:paraId="339A174E" w14:textId="77777777" w:rsidR="00FC3D0F" w:rsidRPr="000B5377" w:rsidRDefault="00FC3D0F" w:rsidP="00FC3D0F">
      <w:pPr>
        <w:pStyle w:val="FootnoteText"/>
        <w:rPr>
          <w:rFonts w:ascii="Arial" w:hAnsi="Arial" w:cs="Arial"/>
        </w:rPr>
      </w:pPr>
      <w:r w:rsidRPr="000B5377">
        <w:rPr>
          <w:rStyle w:val="FootnoteReference"/>
          <w:rFonts w:ascii="Arial" w:hAnsi="Arial" w:cs="Arial"/>
        </w:rPr>
        <w:footnoteRef/>
      </w:r>
      <w:r w:rsidRPr="000B5377">
        <w:rPr>
          <w:rFonts w:ascii="Arial" w:hAnsi="Arial" w:cs="Arial"/>
        </w:rPr>
        <w:t xml:space="preserve"> Ibid, p. 124.</w:t>
      </w:r>
    </w:p>
  </w:footnote>
  <w:footnote w:id="9">
    <w:p w14:paraId="397CD67D" w14:textId="77777777" w:rsidR="00FC3D0F" w:rsidRPr="000B5377" w:rsidRDefault="00FC3D0F" w:rsidP="00FC3D0F">
      <w:pPr>
        <w:pStyle w:val="FootnoteText"/>
        <w:rPr>
          <w:rFonts w:ascii="Arial" w:hAnsi="Arial" w:cs="Arial"/>
        </w:rPr>
      </w:pPr>
      <w:r w:rsidRPr="000B5377">
        <w:rPr>
          <w:rStyle w:val="FootnoteReference"/>
          <w:rFonts w:ascii="Arial" w:hAnsi="Arial" w:cs="Arial"/>
        </w:rPr>
        <w:footnoteRef/>
      </w:r>
      <w:r w:rsidRPr="000B5377">
        <w:rPr>
          <w:rFonts w:ascii="Arial" w:hAnsi="Arial" w:cs="Arial"/>
        </w:rPr>
        <w:t xml:space="preserve"> Ibid, pp. 124-125.</w:t>
      </w:r>
    </w:p>
  </w:footnote>
  <w:footnote w:id="10">
    <w:p w14:paraId="053D5A5F" w14:textId="77777777" w:rsidR="00FC3D0F" w:rsidRPr="000B5377" w:rsidRDefault="00FC3D0F" w:rsidP="00FC3D0F">
      <w:pPr>
        <w:pStyle w:val="FootnoteText"/>
        <w:rPr>
          <w:rFonts w:ascii="Arial" w:hAnsi="Arial" w:cs="Arial"/>
        </w:rPr>
      </w:pPr>
      <w:r w:rsidRPr="000B5377">
        <w:rPr>
          <w:rStyle w:val="FootnoteReference"/>
          <w:rFonts w:ascii="Arial" w:hAnsi="Arial" w:cs="Arial"/>
        </w:rPr>
        <w:footnoteRef/>
      </w:r>
      <w:r w:rsidRPr="000B5377">
        <w:rPr>
          <w:rFonts w:ascii="Arial" w:hAnsi="Arial" w:cs="Arial"/>
        </w:rPr>
        <w:t xml:space="preserve"> Ibid, pp. 124-5.</w:t>
      </w:r>
    </w:p>
  </w:footnote>
  <w:footnote w:id="11">
    <w:p w14:paraId="1DC0A3A3" w14:textId="77777777" w:rsidR="00FC3D0F" w:rsidRPr="000B5377" w:rsidRDefault="00FC3D0F" w:rsidP="00FC3D0F">
      <w:pPr>
        <w:pStyle w:val="FootnoteText"/>
        <w:rPr>
          <w:rFonts w:ascii="Arial" w:hAnsi="Arial" w:cs="Arial"/>
        </w:rPr>
      </w:pPr>
      <w:r w:rsidRPr="000B5377">
        <w:rPr>
          <w:rStyle w:val="FootnoteReference"/>
          <w:rFonts w:ascii="Arial" w:hAnsi="Arial" w:cs="Arial"/>
        </w:rPr>
        <w:footnoteRef/>
      </w:r>
      <w:r w:rsidRPr="000B5377">
        <w:rPr>
          <w:rFonts w:ascii="Arial" w:hAnsi="Arial" w:cs="Arial"/>
        </w:rPr>
        <w:t xml:space="preserve"> Ibid, p. 126.</w:t>
      </w:r>
    </w:p>
  </w:footnote>
  <w:footnote w:id="12">
    <w:p w14:paraId="025275BE" w14:textId="77777777" w:rsidR="00FC3D0F" w:rsidRPr="000B5377" w:rsidRDefault="00FC3D0F" w:rsidP="00FC3D0F">
      <w:pPr>
        <w:pStyle w:val="FootnoteText"/>
        <w:rPr>
          <w:rFonts w:ascii="Arial" w:hAnsi="Arial" w:cs="Arial"/>
        </w:rPr>
      </w:pPr>
      <w:r w:rsidRPr="000B5377">
        <w:rPr>
          <w:rStyle w:val="FootnoteReference"/>
          <w:rFonts w:ascii="Arial" w:hAnsi="Arial" w:cs="Arial"/>
        </w:rPr>
        <w:footnoteRef/>
      </w:r>
      <w:r w:rsidRPr="000B5377">
        <w:rPr>
          <w:rFonts w:ascii="Arial" w:hAnsi="Arial" w:cs="Arial"/>
        </w:rPr>
        <w:t xml:space="preserve"> Ibid, p. 125.</w:t>
      </w:r>
    </w:p>
  </w:footnote>
  <w:footnote w:id="13">
    <w:p w14:paraId="307B9F1D" w14:textId="77777777" w:rsidR="00FC3D0F" w:rsidRPr="000B5377" w:rsidRDefault="00FC3D0F" w:rsidP="00FC3D0F">
      <w:pPr>
        <w:pStyle w:val="FootnoteText"/>
        <w:rPr>
          <w:rFonts w:ascii="Arial" w:hAnsi="Arial" w:cs="Arial"/>
        </w:rPr>
      </w:pPr>
      <w:r w:rsidRPr="000B5377">
        <w:rPr>
          <w:rStyle w:val="FootnoteReference"/>
          <w:rFonts w:ascii="Arial" w:hAnsi="Arial" w:cs="Arial"/>
        </w:rPr>
        <w:footnoteRef/>
      </w:r>
      <w:r w:rsidRPr="000B5377">
        <w:rPr>
          <w:rFonts w:ascii="Arial" w:hAnsi="Arial" w:cs="Arial"/>
        </w:rPr>
        <w:t xml:space="preserve"> Ibid, p. 125.</w:t>
      </w:r>
    </w:p>
  </w:footnote>
  <w:footnote w:id="14">
    <w:p w14:paraId="1193F202" w14:textId="77777777" w:rsidR="00FC3D0F" w:rsidRPr="000B5377" w:rsidRDefault="00FC3D0F" w:rsidP="00FC3D0F">
      <w:pPr>
        <w:pStyle w:val="FootnoteText"/>
        <w:rPr>
          <w:rFonts w:ascii="Arial" w:hAnsi="Arial" w:cs="Arial"/>
        </w:rPr>
      </w:pPr>
      <w:r w:rsidRPr="000B5377">
        <w:rPr>
          <w:rStyle w:val="FootnoteReference"/>
          <w:rFonts w:ascii="Arial" w:hAnsi="Arial" w:cs="Arial"/>
        </w:rPr>
        <w:footnoteRef/>
      </w:r>
      <w:r w:rsidRPr="000B5377">
        <w:rPr>
          <w:rFonts w:ascii="Arial" w:hAnsi="Arial" w:cs="Arial"/>
        </w:rPr>
        <w:t xml:space="preserve"> Ibid, p. 127.</w:t>
      </w:r>
    </w:p>
  </w:footnote>
  <w:footnote w:id="15">
    <w:p w14:paraId="73B7F25E" w14:textId="77777777" w:rsidR="00FC3D0F" w:rsidRPr="000B5377" w:rsidRDefault="00FC3D0F" w:rsidP="00FC3D0F">
      <w:pPr>
        <w:pStyle w:val="FootnoteText"/>
        <w:rPr>
          <w:rFonts w:ascii="Arial" w:hAnsi="Arial" w:cs="Arial"/>
        </w:rPr>
      </w:pPr>
      <w:r w:rsidRPr="000B5377">
        <w:rPr>
          <w:rStyle w:val="FootnoteReference"/>
          <w:rFonts w:ascii="Arial" w:hAnsi="Arial" w:cs="Arial"/>
        </w:rPr>
        <w:footnoteRef/>
      </w:r>
      <w:r w:rsidRPr="000B5377">
        <w:rPr>
          <w:rFonts w:ascii="Arial" w:hAnsi="Arial" w:cs="Arial"/>
        </w:rPr>
        <w:t xml:space="preserve"> Ibid, p. 127.</w:t>
      </w:r>
    </w:p>
  </w:footnote>
  <w:footnote w:id="16">
    <w:p w14:paraId="72D9F077" w14:textId="77777777" w:rsidR="00FC3D0F" w:rsidRPr="000B5377" w:rsidRDefault="00FC3D0F" w:rsidP="00FC3D0F">
      <w:pPr>
        <w:pStyle w:val="FootnoteText"/>
        <w:rPr>
          <w:rFonts w:ascii="Arial" w:hAnsi="Arial" w:cs="Arial"/>
        </w:rPr>
      </w:pPr>
      <w:r w:rsidRPr="000B5377">
        <w:rPr>
          <w:rStyle w:val="FootnoteReference"/>
          <w:rFonts w:ascii="Arial" w:hAnsi="Arial" w:cs="Arial"/>
        </w:rPr>
        <w:footnoteRef/>
      </w:r>
      <w:r w:rsidRPr="000B5377">
        <w:rPr>
          <w:rFonts w:ascii="Arial" w:hAnsi="Arial" w:cs="Arial"/>
        </w:rPr>
        <w:t xml:space="preserve"> Ibid, p. 127.</w:t>
      </w:r>
    </w:p>
  </w:footnote>
  <w:footnote w:id="17">
    <w:p w14:paraId="2DEAE9DC" w14:textId="77777777" w:rsidR="00FC3D0F" w:rsidRPr="000B5377" w:rsidRDefault="00FC3D0F" w:rsidP="00FC3D0F">
      <w:pPr>
        <w:pStyle w:val="FootnoteText"/>
        <w:rPr>
          <w:rFonts w:ascii="Arial" w:hAnsi="Arial" w:cs="Arial"/>
        </w:rPr>
      </w:pPr>
      <w:r w:rsidRPr="000B5377">
        <w:rPr>
          <w:rStyle w:val="FootnoteReference"/>
          <w:rFonts w:ascii="Arial" w:hAnsi="Arial" w:cs="Arial"/>
        </w:rPr>
        <w:footnoteRef/>
      </w:r>
      <w:r w:rsidRPr="000B5377">
        <w:rPr>
          <w:rFonts w:ascii="Arial" w:hAnsi="Arial" w:cs="Arial"/>
        </w:rPr>
        <w:t xml:space="preserve"> Ibid, pp. 126-7.</w:t>
      </w:r>
    </w:p>
  </w:footnote>
  <w:footnote w:id="18">
    <w:p w14:paraId="281A74AA" w14:textId="77777777" w:rsidR="00FC3D0F" w:rsidRPr="000B5377" w:rsidRDefault="00FC3D0F" w:rsidP="00FC3D0F">
      <w:pPr>
        <w:pStyle w:val="FootnoteText"/>
        <w:rPr>
          <w:rFonts w:ascii="Arial" w:hAnsi="Arial" w:cs="Arial"/>
        </w:rPr>
      </w:pPr>
      <w:r w:rsidRPr="000B5377">
        <w:rPr>
          <w:rStyle w:val="FootnoteReference"/>
          <w:rFonts w:ascii="Arial" w:hAnsi="Arial" w:cs="Arial"/>
        </w:rPr>
        <w:footnoteRef/>
      </w:r>
      <w:r w:rsidRPr="000B5377">
        <w:rPr>
          <w:rFonts w:ascii="Arial" w:hAnsi="Arial" w:cs="Arial"/>
        </w:rPr>
        <w:t xml:space="preserve"> Ibid, pp. 129-31.</w:t>
      </w:r>
    </w:p>
  </w:footnote>
  <w:footnote w:id="19">
    <w:p w14:paraId="19FA6C23" w14:textId="77777777" w:rsidR="00FC3D0F" w:rsidRPr="000B5377" w:rsidRDefault="00FC3D0F" w:rsidP="00FC3D0F">
      <w:pPr>
        <w:pStyle w:val="FootnoteText"/>
        <w:rPr>
          <w:rFonts w:ascii="Arial" w:hAnsi="Arial" w:cs="Arial"/>
        </w:rPr>
      </w:pPr>
      <w:r w:rsidRPr="000B5377">
        <w:rPr>
          <w:rStyle w:val="FootnoteReference"/>
          <w:rFonts w:ascii="Arial" w:hAnsi="Arial" w:cs="Arial"/>
        </w:rPr>
        <w:footnoteRef/>
      </w:r>
      <w:r w:rsidRPr="000B5377">
        <w:rPr>
          <w:rFonts w:ascii="Arial" w:hAnsi="Arial" w:cs="Arial"/>
        </w:rPr>
        <w:t xml:space="preserve"> Ibid, pp. 132-3.</w:t>
      </w:r>
    </w:p>
  </w:footnote>
  <w:footnote w:id="20">
    <w:p w14:paraId="37132E0B" w14:textId="77777777" w:rsidR="00FC3D0F" w:rsidRPr="000B5377" w:rsidRDefault="00FC3D0F" w:rsidP="00FC3D0F">
      <w:pPr>
        <w:pStyle w:val="FootnoteText"/>
        <w:rPr>
          <w:rFonts w:ascii="Arial" w:hAnsi="Arial" w:cs="Arial"/>
        </w:rPr>
      </w:pPr>
      <w:r w:rsidRPr="000B5377">
        <w:rPr>
          <w:rStyle w:val="FootnoteReference"/>
          <w:rFonts w:ascii="Arial" w:hAnsi="Arial" w:cs="Arial"/>
        </w:rPr>
        <w:footnoteRef/>
      </w:r>
      <w:r w:rsidRPr="000B5377">
        <w:rPr>
          <w:rFonts w:ascii="Arial" w:hAnsi="Arial" w:cs="Arial"/>
        </w:rPr>
        <w:t xml:space="preserve"> Ibid, p. 134.</w:t>
      </w:r>
    </w:p>
  </w:footnote>
  <w:footnote w:id="21">
    <w:p w14:paraId="75DA1FBA" w14:textId="77777777" w:rsidR="00FC3D0F" w:rsidRPr="000B5377" w:rsidRDefault="00FC3D0F" w:rsidP="00FC3D0F">
      <w:pPr>
        <w:pStyle w:val="FootnoteText"/>
        <w:rPr>
          <w:rFonts w:ascii="Arial" w:hAnsi="Arial" w:cs="Arial"/>
        </w:rPr>
      </w:pPr>
      <w:r w:rsidRPr="000B5377">
        <w:rPr>
          <w:rStyle w:val="FootnoteReference"/>
          <w:rFonts w:ascii="Arial" w:hAnsi="Arial" w:cs="Arial"/>
        </w:rPr>
        <w:footnoteRef/>
      </w:r>
      <w:r w:rsidRPr="000B5377">
        <w:rPr>
          <w:rFonts w:ascii="Arial" w:hAnsi="Arial" w:cs="Arial"/>
        </w:rPr>
        <w:t xml:space="preserve"> Ibid, p. 134.</w:t>
      </w:r>
    </w:p>
  </w:footnote>
  <w:footnote w:id="22">
    <w:p w14:paraId="4C002A91" w14:textId="77777777" w:rsidR="00FC3D0F" w:rsidRPr="000B5377" w:rsidRDefault="00FC3D0F" w:rsidP="00FC3D0F">
      <w:pPr>
        <w:pStyle w:val="FootnoteText"/>
        <w:rPr>
          <w:rFonts w:ascii="Arial" w:hAnsi="Arial" w:cs="Arial"/>
        </w:rPr>
      </w:pPr>
      <w:r w:rsidRPr="000B5377">
        <w:rPr>
          <w:rStyle w:val="FootnoteReference"/>
          <w:rFonts w:ascii="Arial" w:hAnsi="Arial" w:cs="Arial"/>
        </w:rPr>
        <w:footnoteRef/>
      </w:r>
      <w:r w:rsidRPr="000B5377">
        <w:rPr>
          <w:rFonts w:ascii="Arial" w:hAnsi="Arial" w:cs="Arial"/>
        </w:rPr>
        <w:t xml:space="preserve"> Ibid, pp. 137-9.</w:t>
      </w:r>
    </w:p>
  </w:footnote>
  <w:footnote w:id="23">
    <w:p w14:paraId="3D6DCA3A" w14:textId="77777777" w:rsidR="00FC3D0F" w:rsidRPr="000B5377" w:rsidRDefault="00FC3D0F" w:rsidP="00FC3D0F">
      <w:pPr>
        <w:pStyle w:val="FootnoteText"/>
        <w:rPr>
          <w:rFonts w:ascii="Arial" w:hAnsi="Arial" w:cs="Arial"/>
        </w:rPr>
      </w:pPr>
      <w:r w:rsidRPr="000B5377">
        <w:rPr>
          <w:rStyle w:val="FootnoteReference"/>
          <w:rFonts w:ascii="Arial" w:hAnsi="Arial" w:cs="Arial"/>
        </w:rPr>
        <w:footnoteRef/>
      </w:r>
      <w:r w:rsidRPr="000B5377">
        <w:rPr>
          <w:rFonts w:ascii="Arial" w:hAnsi="Arial" w:cs="Arial"/>
        </w:rPr>
        <w:t xml:space="preserve"> Ibid, p. 139.</w:t>
      </w:r>
    </w:p>
  </w:footnote>
  <w:footnote w:id="24">
    <w:p w14:paraId="37F3ECD6" w14:textId="77777777" w:rsidR="00FC3D0F" w:rsidRPr="000B5377" w:rsidRDefault="00FC3D0F" w:rsidP="00FC3D0F">
      <w:pPr>
        <w:pStyle w:val="FootnoteText"/>
        <w:rPr>
          <w:rFonts w:ascii="Arial" w:hAnsi="Arial" w:cs="Arial"/>
        </w:rPr>
      </w:pPr>
      <w:r w:rsidRPr="000B5377">
        <w:rPr>
          <w:rStyle w:val="FootnoteReference"/>
          <w:rFonts w:ascii="Arial" w:hAnsi="Arial" w:cs="Arial"/>
        </w:rPr>
        <w:footnoteRef/>
      </w:r>
      <w:r w:rsidRPr="000B5377">
        <w:rPr>
          <w:rFonts w:ascii="Arial" w:hAnsi="Arial" w:cs="Arial"/>
        </w:rPr>
        <w:t xml:space="preserve"> Ibid, p. 141.</w:t>
      </w:r>
    </w:p>
  </w:footnote>
  <w:footnote w:id="25">
    <w:p w14:paraId="23D19873" w14:textId="77777777" w:rsidR="00FC3D0F" w:rsidRPr="000B5377" w:rsidRDefault="00FC3D0F" w:rsidP="00FC3D0F">
      <w:pPr>
        <w:pStyle w:val="FootnoteText"/>
        <w:rPr>
          <w:rFonts w:ascii="Arial" w:hAnsi="Arial" w:cs="Arial"/>
        </w:rPr>
      </w:pPr>
      <w:r w:rsidRPr="000B5377">
        <w:rPr>
          <w:rStyle w:val="FootnoteReference"/>
          <w:rFonts w:ascii="Arial" w:hAnsi="Arial" w:cs="Arial"/>
        </w:rPr>
        <w:footnoteRef/>
      </w:r>
      <w:r w:rsidRPr="000B5377">
        <w:rPr>
          <w:rFonts w:ascii="Arial" w:hAnsi="Arial" w:cs="Arial"/>
        </w:rPr>
        <w:t xml:space="preserve"> Walter and Waterhouse, ‘A Very Private Belief: Reincarnation in Contemporary England’, p.187  </w:t>
      </w:r>
    </w:p>
  </w:footnote>
  <w:footnote w:id="26">
    <w:p w14:paraId="3AD22AED" w14:textId="77777777" w:rsidR="00FC3D0F" w:rsidRPr="000B5377" w:rsidRDefault="00FC3D0F" w:rsidP="00FC3D0F">
      <w:pPr>
        <w:pStyle w:val="FootnoteText"/>
        <w:rPr>
          <w:rFonts w:ascii="Arial" w:hAnsi="Arial" w:cs="Arial"/>
        </w:rPr>
      </w:pPr>
      <w:r w:rsidRPr="000B5377">
        <w:rPr>
          <w:rStyle w:val="FootnoteReference"/>
          <w:rFonts w:ascii="Arial" w:hAnsi="Arial" w:cs="Arial"/>
        </w:rPr>
        <w:footnoteRef/>
      </w:r>
      <w:r w:rsidRPr="000B5377">
        <w:rPr>
          <w:rFonts w:ascii="Arial" w:hAnsi="Arial" w:cs="Arial"/>
        </w:rPr>
        <w:t xml:space="preserve"> Walter and Waterhouse, p.189.</w:t>
      </w:r>
    </w:p>
  </w:footnote>
  <w:footnote w:id="27">
    <w:p w14:paraId="2BC593F3" w14:textId="77777777" w:rsidR="00FC3D0F" w:rsidRPr="000B5377" w:rsidRDefault="00FC3D0F" w:rsidP="00FC3D0F">
      <w:pPr>
        <w:pStyle w:val="FootnoteText"/>
        <w:rPr>
          <w:rFonts w:ascii="Arial" w:hAnsi="Arial" w:cs="Arial"/>
        </w:rPr>
      </w:pPr>
      <w:r w:rsidRPr="000B5377">
        <w:rPr>
          <w:rStyle w:val="FootnoteReference"/>
          <w:rFonts w:ascii="Arial" w:hAnsi="Arial" w:cs="Arial"/>
        </w:rPr>
        <w:footnoteRef/>
      </w:r>
      <w:r w:rsidRPr="000B5377">
        <w:rPr>
          <w:rFonts w:ascii="Arial" w:hAnsi="Arial" w:cs="Arial"/>
        </w:rPr>
        <w:t xml:space="preserve"> Walter and Waterhouse, p. 190.</w:t>
      </w:r>
    </w:p>
  </w:footnote>
  <w:footnote w:id="28">
    <w:p w14:paraId="55C9A08D" w14:textId="77777777" w:rsidR="00FC3D0F" w:rsidRPr="000B5377" w:rsidRDefault="00FC3D0F" w:rsidP="00FC3D0F">
      <w:pPr>
        <w:pStyle w:val="FootnoteText"/>
        <w:rPr>
          <w:rFonts w:ascii="Arial" w:hAnsi="Arial" w:cs="Arial"/>
        </w:rPr>
      </w:pPr>
      <w:r w:rsidRPr="000B5377">
        <w:rPr>
          <w:rStyle w:val="FootnoteReference"/>
          <w:rFonts w:ascii="Arial" w:hAnsi="Arial" w:cs="Arial"/>
        </w:rPr>
        <w:footnoteRef/>
      </w:r>
      <w:r w:rsidRPr="000B5377">
        <w:rPr>
          <w:rFonts w:ascii="Arial" w:hAnsi="Arial" w:cs="Arial"/>
        </w:rPr>
        <w:t xml:space="preserve"> </w:t>
      </w:r>
      <w:r>
        <w:rPr>
          <w:rFonts w:ascii="Arial" w:hAnsi="Arial" w:cs="Arial"/>
        </w:rPr>
        <w:t>Ibid</w:t>
      </w:r>
      <w:r w:rsidRPr="000B5377">
        <w:rPr>
          <w:rFonts w:ascii="Arial" w:hAnsi="Arial" w:cs="Arial"/>
        </w:rPr>
        <w:t>, p. 190.</w:t>
      </w:r>
    </w:p>
  </w:footnote>
  <w:footnote w:id="29">
    <w:p w14:paraId="332121CE" w14:textId="77777777" w:rsidR="00FC3D0F" w:rsidRPr="000B5377" w:rsidRDefault="00FC3D0F" w:rsidP="00FC3D0F">
      <w:pPr>
        <w:pStyle w:val="FootnoteText"/>
        <w:rPr>
          <w:rFonts w:ascii="Arial" w:hAnsi="Arial" w:cs="Arial"/>
        </w:rPr>
      </w:pPr>
      <w:r w:rsidRPr="000B5377">
        <w:rPr>
          <w:rStyle w:val="FootnoteReference"/>
          <w:rFonts w:ascii="Arial" w:hAnsi="Arial" w:cs="Arial"/>
        </w:rPr>
        <w:footnoteRef/>
      </w:r>
      <w:r w:rsidRPr="000B5377">
        <w:rPr>
          <w:rFonts w:ascii="Arial" w:hAnsi="Arial" w:cs="Arial"/>
        </w:rPr>
        <w:t xml:space="preserve"> Ibid, p. 191.</w:t>
      </w:r>
    </w:p>
  </w:footnote>
  <w:footnote w:id="30">
    <w:p w14:paraId="191ABAD9" w14:textId="77777777" w:rsidR="00FC3D0F" w:rsidRPr="000B5377" w:rsidRDefault="00FC3D0F" w:rsidP="00FC3D0F">
      <w:pPr>
        <w:pStyle w:val="FootnoteText"/>
        <w:rPr>
          <w:rFonts w:ascii="Arial" w:hAnsi="Arial" w:cs="Arial"/>
        </w:rPr>
      </w:pPr>
      <w:r w:rsidRPr="000B5377">
        <w:rPr>
          <w:rStyle w:val="FootnoteReference"/>
          <w:rFonts w:ascii="Arial" w:hAnsi="Arial" w:cs="Arial"/>
        </w:rPr>
        <w:footnoteRef/>
      </w:r>
      <w:r w:rsidRPr="000B5377">
        <w:rPr>
          <w:rFonts w:ascii="Arial" w:hAnsi="Arial" w:cs="Arial"/>
        </w:rPr>
        <w:t xml:space="preserve"> Ibid, p. 192.</w:t>
      </w:r>
    </w:p>
  </w:footnote>
  <w:footnote w:id="31">
    <w:p w14:paraId="317ED699" w14:textId="77777777" w:rsidR="00FC3D0F" w:rsidRPr="000B5377" w:rsidRDefault="00FC3D0F" w:rsidP="00FC3D0F">
      <w:pPr>
        <w:pStyle w:val="FootnoteText"/>
        <w:rPr>
          <w:rFonts w:ascii="Arial" w:hAnsi="Arial" w:cs="Arial"/>
        </w:rPr>
      </w:pPr>
      <w:r w:rsidRPr="000B5377">
        <w:rPr>
          <w:rStyle w:val="FootnoteReference"/>
          <w:rFonts w:ascii="Arial" w:hAnsi="Arial" w:cs="Arial"/>
        </w:rPr>
        <w:footnoteRef/>
      </w:r>
      <w:r w:rsidRPr="000B5377">
        <w:rPr>
          <w:rFonts w:ascii="Arial" w:hAnsi="Arial" w:cs="Arial"/>
        </w:rPr>
        <w:t xml:space="preserve"> Ibid, p. 193.</w:t>
      </w:r>
    </w:p>
  </w:footnote>
  <w:footnote w:id="32">
    <w:p w14:paraId="69FB7529" w14:textId="77777777" w:rsidR="00FC3D0F" w:rsidRPr="000B5377" w:rsidRDefault="00FC3D0F" w:rsidP="00FC3D0F">
      <w:pPr>
        <w:pStyle w:val="FootnoteText"/>
        <w:rPr>
          <w:rFonts w:ascii="Arial" w:hAnsi="Arial" w:cs="Arial"/>
        </w:rPr>
      </w:pPr>
      <w:r w:rsidRPr="000B5377">
        <w:rPr>
          <w:rStyle w:val="FootnoteReference"/>
          <w:rFonts w:ascii="Arial" w:hAnsi="Arial" w:cs="Arial"/>
        </w:rPr>
        <w:footnoteRef/>
      </w:r>
      <w:r w:rsidRPr="000B5377">
        <w:rPr>
          <w:rFonts w:ascii="Arial" w:hAnsi="Arial" w:cs="Arial"/>
        </w:rPr>
        <w:t xml:space="preserve"> Ibid, p. 194.</w:t>
      </w:r>
    </w:p>
  </w:footnote>
  <w:footnote w:id="33">
    <w:p w14:paraId="6ECA8DF8" w14:textId="77777777" w:rsidR="00FC3D0F" w:rsidRPr="000B5377" w:rsidRDefault="00FC3D0F" w:rsidP="00FC3D0F">
      <w:pPr>
        <w:pStyle w:val="FootnoteText"/>
        <w:rPr>
          <w:rFonts w:ascii="Arial" w:hAnsi="Arial" w:cs="Arial"/>
        </w:rPr>
      </w:pPr>
      <w:r w:rsidRPr="000B5377">
        <w:rPr>
          <w:rStyle w:val="FootnoteReference"/>
          <w:rFonts w:ascii="Arial" w:hAnsi="Arial" w:cs="Arial"/>
        </w:rPr>
        <w:footnoteRef/>
      </w:r>
      <w:r w:rsidRPr="000B5377">
        <w:rPr>
          <w:rFonts w:ascii="Arial" w:hAnsi="Arial" w:cs="Arial"/>
        </w:rPr>
        <w:t xml:space="preserve"> Ibid, p. 194</w:t>
      </w:r>
    </w:p>
  </w:footnote>
  <w:footnote w:id="34">
    <w:p w14:paraId="6BB54865" w14:textId="77777777" w:rsidR="00FC3D0F" w:rsidRPr="000B5377" w:rsidRDefault="00FC3D0F" w:rsidP="00FC3D0F">
      <w:pPr>
        <w:pStyle w:val="FootnoteText"/>
        <w:rPr>
          <w:rFonts w:ascii="Arial" w:hAnsi="Arial" w:cs="Arial"/>
        </w:rPr>
      </w:pPr>
      <w:r w:rsidRPr="000B5377">
        <w:rPr>
          <w:rStyle w:val="FootnoteReference"/>
          <w:rFonts w:ascii="Arial" w:hAnsi="Arial" w:cs="Arial"/>
        </w:rPr>
        <w:footnoteRef/>
      </w:r>
      <w:r w:rsidRPr="000B5377">
        <w:rPr>
          <w:rFonts w:ascii="Arial" w:hAnsi="Arial" w:cs="Arial"/>
        </w:rPr>
        <w:t xml:space="preserve"> Ibid, pp. 194-5.</w:t>
      </w:r>
    </w:p>
  </w:footnote>
  <w:footnote w:id="35">
    <w:p w14:paraId="24A73AB6" w14:textId="77777777" w:rsidR="00FC3D0F" w:rsidRPr="000B5377" w:rsidRDefault="00FC3D0F" w:rsidP="00FC3D0F">
      <w:pPr>
        <w:pStyle w:val="FootnoteText"/>
        <w:rPr>
          <w:rFonts w:ascii="Arial" w:hAnsi="Arial" w:cs="Arial"/>
        </w:rPr>
      </w:pPr>
      <w:r w:rsidRPr="000B5377">
        <w:rPr>
          <w:rStyle w:val="FootnoteReference"/>
          <w:rFonts w:ascii="Arial" w:hAnsi="Arial" w:cs="Arial"/>
        </w:rPr>
        <w:footnoteRef/>
      </w:r>
      <w:r w:rsidRPr="000B5377">
        <w:rPr>
          <w:rFonts w:ascii="Arial" w:hAnsi="Arial" w:cs="Arial"/>
        </w:rPr>
        <w:t xml:space="preserve"> Ibid, p. 196.</w:t>
      </w:r>
    </w:p>
  </w:footnote>
  <w:footnote w:id="36">
    <w:p w14:paraId="3E8420DF" w14:textId="77777777" w:rsidR="00FC3D0F" w:rsidRPr="000B5377" w:rsidRDefault="00FC3D0F" w:rsidP="00FC3D0F">
      <w:pPr>
        <w:pStyle w:val="FootnoteText"/>
        <w:rPr>
          <w:rFonts w:ascii="Arial" w:hAnsi="Arial" w:cs="Arial"/>
        </w:rPr>
      </w:pPr>
      <w:r w:rsidRPr="000B5377">
        <w:rPr>
          <w:rStyle w:val="FootnoteReference"/>
          <w:rFonts w:ascii="Arial" w:hAnsi="Arial" w:cs="Arial"/>
        </w:rPr>
        <w:footnoteRef/>
      </w:r>
      <w:r w:rsidRPr="000B5377">
        <w:rPr>
          <w:rFonts w:ascii="Arial" w:hAnsi="Arial" w:cs="Arial"/>
        </w:rPr>
        <w:t xml:space="preserve"> Ibid, p. 196.</w:t>
      </w:r>
    </w:p>
  </w:footnote>
  <w:footnote w:id="37">
    <w:p w14:paraId="6DEDF329" w14:textId="77777777" w:rsidR="00FC3D0F" w:rsidRPr="000B5377" w:rsidRDefault="00FC3D0F" w:rsidP="00FC3D0F">
      <w:pPr>
        <w:pStyle w:val="FootnoteText"/>
        <w:rPr>
          <w:rFonts w:ascii="Arial" w:hAnsi="Arial" w:cs="Arial"/>
        </w:rPr>
      </w:pPr>
      <w:r w:rsidRPr="000B5377">
        <w:rPr>
          <w:rStyle w:val="FootnoteReference"/>
          <w:rFonts w:ascii="Arial" w:hAnsi="Arial" w:cs="Arial"/>
        </w:rPr>
        <w:footnoteRef/>
      </w:r>
      <w:r w:rsidRPr="000B5377">
        <w:rPr>
          <w:rFonts w:ascii="Arial" w:hAnsi="Arial" w:cs="Arial"/>
        </w:rPr>
        <w:t xml:space="preserve"> Ibid, p 195</w:t>
      </w:r>
    </w:p>
  </w:footnote>
  <w:footnote w:id="38">
    <w:p w14:paraId="5C96582A" w14:textId="77777777" w:rsidR="00FC3D0F" w:rsidRPr="000B5377" w:rsidRDefault="00FC3D0F" w:rsidP="00FC3D0F">
      <w:pPr>
        <w:pStyle w:val="FootnoteText"/>
        <w:rPr>
          <w:rFonts w:ascii="Arial" w:hAnsi="Arial" w:cs="Arial"/>
        </w:rPr>
      </w:pPr>
      <w:r w:rsidRPr="000B5377">
        <w:rPr>
          <w:rStyle w:val="FootnoteReference"/>
          <w:rFonts w:ascii="Arial" w:hAnsi="Arial" w:cs="Arial"/>
        </w:rPr>
        <w:footnoteRef/>
      </w:r>
      <w:r w:rsidRPr="000B5377">
        <w:rPr>
          <w:rFonts w:ascii="Arial" w:hAnsi="Arial" w:cs="Arial"/>
        </w:rPr>
        <w:t xml:space="preserve"> Ibid, p. 191.</w:t>
      </w:r>
    </w:p>
  </w:footnote>
  <w:footnote w:id="39">
    <w:p w14:paraId="0EC12F3C" w14:textId="77777777" w:rsidR="00FC3D0F" w:rsidRPr="000B5377" w:rsidRDefault="00FC3D0F" w:rsidP="00FC3D0F">
      <w:pPr>
        <w:pStyle w:val="FootnoteText"/>
        <w:rPr>
          <w:rFonts w:ascii="Arial" w:hAnsi="Arial" w:cs="Arial"/>
        </w:rPr>
      </w:pPr>
      <w:r w:rsidRPr="000B5377">
        <w:rPr>
          <w:rStyle w:val="FootnoteReference"/>
          <w:rFonts w:ascii="Arial" w:hAnsi="Arial" w:cs="Arial"/>
        </w:rPr>
        <w:footnoteRef/>
      </w:r>
      <w:r w:rsidRPr="000B5377">
        <w:rPr>
          <w:rFonts w:ascii="Arial" w:hAnsi="Arial" w:cs="Arial"/>
        </w:rPr>
        <w:t xml:space="preserve"> Bennett p.127.</w:t>
      </w:r>
    </w:p>
  </w:footnote>
  <w:footnote w:id="40">
    <w:p w14:paraId="243DBA76" w14:textId="77777777" w:rsidR="00FC3D0F" w:rsidRPr="000B5377" w:rsidRDefault="00FC3D0F" w:rsidP="00FC3D0F">
      <w:pPr>
        <w:pStyle w:val="FootnoteText"/>
        <w:rPr>
          <w:rFonts w:ascii="Arial" w:hAnsi="Arial" w:cs="Arial"/>
        </w:rPr>
      </w:pPr>
      <w:r w:rsidRPr="000B5377">
        <w:rPr>
          <w:rStyle w:val="FootnoteReference"/>
          <w:rFonts w:ascii="Arial" w:hAnsi="Arial" w:cs="Arial"/>
        </w:rPr>
        <w:footnoteRef/>
      </w:r>
      <w:r w:rsidRPr="000B5377">
        <w:rPr>
          <w:rFonts w:ascii="Arial" w:hAnsi="Arial" w:cs="Arial"/>
        </w:rPr>
        <w:t xml:space="preserve"> Walter and Waterhouse, p. 189.</w:t>
      </w:r>
    </w:p>
  </w:footnote>
  <w:footnote w:id="41">
    <w:p w14:paraId="6F26F40A" w14:textId="77777777" w:rsidR="00FC3D0F" w:rsidRPr="008A21AC" w:rsidRDefault="00FC3D0F" w:rsidP="00FC3D0F">
      <w:pPr>
        <w:pStyle w:val="FootnoteText"/>
        <w:rPr>
          <w:rFonts w:ascii="Arial" w:hAnsi="Arial" w:cs="Arial"/>
        </w:rPr>
      </w:pPr>
      <w:r w:rsidRPr="008A21AC">
        <w:rPr>
          <w:rStyle w:val="FootnoteReference"/>
          <w:rFonts w:ascii="Arial" w:hAnsi="Arial" w:cs="Arial"/>
        </w:rPr>
        <w:footnoteRef/>
      </w:r>
      <w:r w:rsidRPr="008A21AC">
        <w:rPr>
          <w:rFonts w:ascii="Arial" w:hAnsi="Arial" w:cs="Arial"/>
        </w:rPr>
        <w:t xml:space="preserve"> Bennett, p. 127.</w:t>
      </w:r>
    </w:p>
  </w:footnote>
  <w:footnote w:id="42">
    <w:p w14:paraId="4B2C20C2" w14:textId="62700C4E" w:rsidR="0063675E" w:rsidRPr="0063675E" w:rsidRDefault="0063675E">
      <w:pPr>
        <w:pStyle w:val="FootnoteText"/>
        <w:rPr>
          <w:i/>
          <w:iCs/>
        </w:rPr>
      </w:pPr>
      <w:r w:rsidRPr="008A21AC">
        <w:rPr>
          <w:rStyle w:val="FootnoteReference"/>
          <w:rFonts w:ascii="Arial" w:hAnsi="Arial" w:cs="Arial"/>
        </w:rPr>
        <w:footnoteRef/>
      </w:r>
      <w:r w:rsidRPr="008A21AC">
        <w:rPr>
          <w:rFonts w:ascii="Arial" w:hAnsi="Arial" w:cs="Arial"/>
        </w:rPr>
        <w:t xml:space="preserve"> </w:t>
      </w:r>
      <w:r w:rsidR="008A21AC" w:rsidRPr="008A21AC">
        <w:rPr>
          <w:rFonts w:ascii="Arial" w:hAnsi="Arial" w:cs="Arial"/>
        </w:rPr>
        <w:t xml:space="preserve">Gillian </w:t>
      </w:r>
      <w:r w:rsidR="00A20BBC" w:rsidRPr="008A21AC">
        <w:rPr>
          <w:rFonts w:ascii="Arial" w:hAnsi="Arial" w:cs="Arial"/>
          <w:color w:val="000000" w:themeColor="text1"/>
          <w:shd w:val="clear" w:color="auto" w:fill="FFFFFF"/>
        </w:rPr>
        <w:t>Bennett,</w:t>
      </w:r>
      <w:r w:rsidR="00A20BBC" w:rsidRPr="008A21AC">
        <w:rPr>
          <w:rStyle w:val="apple-converted-space"/>
          <w:rFonts w:ascii="Arial" w:hAnsi="Arial" w:cs="Arial"/>
          <w:color w:val="000000" w:themeColor="text1"/>
          <w:shd w:val="clear" w:color="auto" w:fill="FFFFFF"/>
        </w:rPr>
        <w:t> </w:t>
      </w:r>
      <w:r w:rsidR="00A20BBC" w:rsidRPr="008A21AC">
        <w:rPr>
          <w:rFonts w:ascii="Arial" w:hAnsi="Arial" w:cs="Arial"/>
          <w:i/>
          <w:iCs/>
          <w:color w:val="000000" w:themeColor="text1"/>
        </w:rPr>
        <w:t>‘Alas, Poor Ghost!’ : Traditions of Belief in Story and Discourse</w:t>
      </w:r>
      <w:r w:rsidR="00A20BBC" w:rsidRPr="008A21AC">
        <w:rPr>
          <w:rFonts w:ascii="Arial" w:hAnsi="Arial" w:cs="Arial"/>
          <w:color w:val="000000" w:themeColor="text1"/>
          <w:shd w:val="clear" w:color="auto" w:fill="FFFFFF"/>
        </w:rPr>
        <w:t>, Revised edition. (Logan: Utah State University Press, 1999)</w:t>
      </w:r>
      <w:r w:rsidR="00A20BBC" w:rsidRPr="008A21AC">
        <w:rPr>
          <w:rFonts w:ascii="Arial" w:hAnsi="Arial" w:cs="Arial"/>
          <w:color w:val="000000" w:themeColor="text1"/>
          <w:shd w:val="clear" w:color="auto" w:fill="FFFFFF"/>
        </w:rPr>
        <w:t xml:space="preserve"> p.12.</w:t>
      </w:r>
      <w:r w:rsidR="008A21AC">
        <w:rPr>
          <w:rFonts w:ascii="Arial" w:hAnsi="Arial" w:cs="Arial"/>
          <w:color w:val="000000" w:themeColor="text1"/>
          <w:shd w:val="clear" w:color="auto" w:fill="FFFFFF"/>
        </w:rPr>
        <w:t xml:space="preserve"> </w:t>
      </w:r>
      <w:r w:rsidR="008A21AC">
        <w:rPr>
          <w:rFonts w:ascii="Arial" w:hAnsi="Arial" w:cs="Arial"/>
          <w:color w:val="000000" w:themeColor="text1"/>
          <w:shd w:val="clear" w:color="auto" w:fill="FFFFFF"/>
        </w:rPr>
        <w:t>&lt;</w:t>
      </w:r>
      <w:r w:rsidR="008A21AC">
        <w:rPr>
          <w:rFonts w:ascii="Helvetica" w:hAnsi="Helvetica"/>
          <w:color w:val="343332"/>
          <w:spacing w:val="-5"/>
        </w:rPr>
        <w:t>https://doi.org/10.2307/j.ctt46nwwn&gt;</w:t>
      </w:r>
    </w:p>
  </w:footnote>
  <w:footnote w:id="43">
    <w:p w14:paraId="446D2628" w14:textId="77777777" w:rsidR="00FC3D0F" w:rsidRPr="000B5377" w:rsidRDefault="00FC3D0F" w:rsidP="00FC3D0F">
      <w:pPr>
        <w:pStyle w:val="FootnoteText"/>
        <w:rPr>
          <w:rFonts w:ascii="Arial" w:hAnsi="Arial" w:cs="Arial"/>
        </w:rPr>
      </w:pPr>
      <w:r w:rsidRPr="000B5377">
        <w:rPr>
          <w:rStyle w:val="FootnoteReference"/>
          <w:rFonts w:ascii="Arial" w:hAnsi="Arial" w:cs="Arial"/>
        </w:rPr>
        <w:footnoteRef/>
      </w:r>
      <w:r>
        <w:rPr>
          <w:rFonts w:ascii="Arial" w:hAnsi="Arial" w:cs="Arial"/>
        </w:rPr>
        <w:t xml:space="preserve"> </w:t>
      </w:r>
      <w:r w:rsidRPr="000B5377">
        <w:rPr>
          <w:rFonts w:ascii="Arial" w:hAnsi="Arial" w:cs="Arial"/>
        </w:rPr>
        <w:t>Bennett, p.127.</w:t>
      </w:r>
    </w:p>
  </w:footnote>
  <w:footnote w:id="44">
    <w:p w14:paraId="2A5DB68E" w14:textId="77777777" w:rsidR="00FC3D0F" w:rsidRPr="000B5377" w:rsidRDefault="00FC3D0F" w:rsidP="00FC3D0F">
      <w:pPr>
        <w:pStyle w:val="FootnoteText"/>
        <w:rPr>
          <w:rFonts w:ascii="Arial" w:hAnsi="Arial" w:cs="Arial"/>
        </w:rPr>
      </w:pPr>
      <w:r w:rsidRPr="000B5377">
        <w:rPr>
          <w:rStyle w:val="FootnoteReference"/>
          <w:rFonts w:ascii="Arial" w:hAnsi="Arial" w:cs="Arial"/>
        </w:rPr>
        <w:footnoteRef/>
      </w:r>
      <w:r w:rsidRPr="000B5377">
        <w:rPr>
          <w:rFonts w:ascii="Arial" w:hAnsi="Arial" w:cs="Arial"/>
        </w:rPr>
        <w:t xml:space="preserve"> Walter and Waterhouse, pp. 189-90.</w:t>
      </w:r>
    </w:p>
  </w:footnote>
  <w:footnote w:id="45">
    <w:p w14:paraId="6831403F" w14:textId="77777777" w:rsidR="00FC3D0F" w:rsidRPr="000B5377" w:rsidRDefault="00FC3D0F" w:rsidP="00FC3D0F">
      <w:pPr>
        <w:pStyle w:val="FootnoteText"/>
        <w:rPr>
          <w:rFonts w:ascii="Arial" w:hAnsi="Arial" w:cs="Arial"/>
        </w:rPr>
      </w:pPr>
      <w:r w:rsidRPr="000B5377">
        <w:rPr>
          <w:rStyle w:val="FootnoteReference"/>
          <w:rFonts w:ascii="Arial" w:hAnsi="Arial" w:cs="Arial"/>
        </w:rPr>
        <w:footnoteRef/>
      </w:r>
      <w:r w:rsidRPr="000B5377">
        <w:rPr>
          <w:rFonts w:ascii="Arial" w:hAnsi="Arial" w:cs="Arial"/>
        </w:rPr>
        <w:t xml:space="preserve"> Bennett, p.127.</w:t>
      </w:r>
    </w:p>
  </w:footnote>
  <w:footnote w:id="46">
    <w:p w14:paraId="447AA8D9" w14:textId="77777777" w:rsidR="00FC3D0F" w:rsidRPr="000B5377" w:rsidRDefault="00FC3D0F" w:rsidP="00FC3D0F">
      <w:pPr>
        <w:pStyle w:val="FootnoteText"/>
        <w:rPr>
          <w:rFonts w:ascii="Arial" w:hAnsi="Arial" w:cs="Arial"/>
        </w:rPr>
      </w:pPr>
      <w:r w:rsidRPr="000B5377">
        <w:rPr>
          <w:rStyle w:val="FootnoteReference"/>
          <w:rFonts w:ascii="Arial" w:hAnsi="Arial" w:cs="Arial"/>
        </w:rPr>
        <w:footnoteRef/>
      </w:r>
      <w:r w:rsidRPr="000B5377">
        <w:rPr>
          <w:rFonts w:ascii="Arial" w:hAnsi="Arial" w:cs="Arial"/>
        </w:rPr>
        <w:t xml:space="preserve"> Bennett, p. 125.</w:t>
      </w:r>
    </w:p>
  </w:footnote>
  <w:footnote w:id="47">
    <w:p w14:paraId="30AC5F41" w14:textId="77777777" w:rsidR="00FC3D0F" w:rsidRPr="000B5377" w:rsidRDefault="00FC3D0F" w:rsidP="00FC3D0F">
      <w:pPr>
        <w:pStyle w:val="FootnoteText"/>
        <w:rPr>
          <w:rFonts w:ascii="Arial" w:hAnsi="Arial" w:cs="Arial"/>
        </w:rPr>
      </w:pPr>
      <w:r w:rsidRPr="000B5377">
        <w:rPr>
          <w:rStyle w:val="FootnoteReference"/>
          <w:rFonts w:ascii="Arial" w:hAnsi="Arial" w:cs="Arial"/>
        </w:rPr>
        <w:footnoteRef/>
      </w:r>
      <w:r w:rsidRPr="000B5377">
        <w:rPr>
          <w:rFonts w:ascii="Arial" w:hAnsi="Arial" w:cs="Arial"/>
        </w:rPr>
        <w:t xml:space="preserve"> Walter and Waterhouse, p. 189.</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212742889"/>
      <w:docPartObj>
        <w:docPartGallery w:val="Page Numbers (Top of Page)"/>
        <w:docPartUnique/>
      </w:docPartObj>
    </w:sdtPr>
    <w:sdtContent>
      <w:p w14:paraId="7F49BC74" w14:textId="196959DC" w:rsidR="00EB7075" w:rsidRDefault="00EB7075" w:rsidP="004E0911">
        <w:pPr>
          <w:pStyle w:val="Head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sdt>
    <w:sdtPr>
      <w:rPr>
        <w:rStyle w:val="PageNumber"/>
      </w:rPr>
      <w:id w:val="161901201"/>
      <w:docPartObj>
        <w:docPartGallery w:val="Page Numbers (Top of Page)"/>
        <w:docPartUnique/>
      </w:docPartObj>
    </w:sdtPr>
    <w:sdtContent>
      <w:p w14:paraId="4DF2BF0D" w14:textId="0E0C317D" w:rsidR="00866B82" w:rsidRDefault="00866B82" w:rsidP="004E0911">
        <w:pPr>
          <w:pStyle w:val="Header"/>
          <w:framePr w:wrap="none" w:vAnchor="text" w:hAnchor="margin" w:xAlign="right" w:y="1"/>
          <w:ind w:right="360"/>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7F5B17B5" w14:textId="77777777" w:rsidR="00866B82" w:rsidRDefault="00866B82" w:rsidP="00866B82">
    <w:pPr>
      <w:pStyle w:val="Header"/>
      <w:ind w:right="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351768188"/>
      <w:docPartObj>
        <w:docPartGallery w:val="Page Numbers (Top of Page)"/>
        <w:docPartUnique/>
      </w:docPartObj>
    </w:sdtPr>
    <w:sdtContent>
      <w:p w14:paraId="7D0F0699" w14:textId="2F3233B6" w:rsidR="004E0911" w:rsidRDefault="004E0911" w:rsidP="007A0446">
        <w:pPr>
          <w:pStyle w:val="Head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2</w:t>
        </w:r>
        <w:r>
          <w:rPr>
            <w:rStyle w:val="PageNumber"/>
          </w:rPr>
          <w:fldChar w:fldCharType="end"/>
        </w:r>
      </w:p>
    </w:sdtContent>
  </w:sdt>
  <w:p w14:paraId="1F5431EA" w14:textId="17A0E922" w:rsidR="004E0911" w:rsidRPr="004E0911" w:rsidRDefault="004E0911" w:rsidP="004E0911">
    <w:pPr>
      <w:pStyle w:val="Header"/>
      <w:ind w:right="360"/>
      <w:rPr>
        <w:rFonts w:cs="Times New Roman (Body CS)"/>
        <w:sz w:val="20"/>
      </w:rPr>
    </w:pPr>
    <w:r w:rsidRPr="009D44C3">
      <w:rPr>
        <w:rFonts w:cs="Times New Roman (Body CS)"/>
        <w:sz w:val="20"/>
      </w:rPr>
      <w:t>Rhian Herbert 1402931</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4390020"/>
      <w:docPartObj>
        <w:docPartGallery w:val="Page Numbers (Top of Page)"/>
        <w:docPartUnique/>
      </w:docPartObj>
    </w:sdtPr>
    <w:sdtContent>
      <w:p w14:paraId="0BAC6C39" w14:textId="41E4DC4E" w:rsidR="004E0911" w:rsidRDefault="004E0911" w:rsidP="007A0446">
        <w:pPr>
          <w:pStyle w:val="Head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4C9028E2" w14:textId="5CEDBC23" w:rsidR="004E0911" w:rsidRPr="004E0911" w:rsidRDefault="004E0911" w:rsidP="004E0911">
    <w:pPr>
      <w:pStyle w:val="Header"/>
      <w:ind w:right="360"/>
      <w:rPr>
        <w:rFonts w:cs="Times New Roman (Body CS)"/>
        <w:sz w:val="20"/>
      </w:rPr>
    </w:pPr>
    <w:r w:rsidRPr="009D44C3">
      <w:rPr>
        <w:rFonts w:cs="Times New Roman (Body CS)"/>
        <w:sz w:val="20"/>
      </w:rPr>
      <w:t>Rhian Herbert 1402931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F8F749C"/>
    <w:multiLevelType w:val="hybridMultilevel"/>
    <w:tmpl w:val="C75A82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8037444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B4F0F"/>
    <w:rsid w:val="000046FC"/>
    <w:rsid w:val="000255A4"/>
    <w:rsid w:val="00032291"/>
    <w:rsid w:val="00042BFB"/>
    <w:rsid w:val="00056939"/>
    <w:rsid w:val="00057A8E"/>
    <w:rsid w:val="00062057"/>
    <w:rsid w:val="00070640"/>
    <w:rsid w:val="000904C3"/>
    <w:rsid w:val="000928D1"/>
    <w:rsid w:val="000941FB"/>
    <w:rsid w:val="000A5716"/>
    <w:rsid w:val="000A7F31"/>
    <w:rsid w:val="000B0FD0"/>
    <w:rsid w:val="000B17B0"/>
    <w:rsid w:val="000E26B4"/>
    <w:rsid w:val="000F2467"/>
    <w:rsid w:val="001114B3"/>
    <w:rsid w:val="001328E4"/>
    <w:rsid w:val="001359C5"/>
    <w:rsid w:val="001445C4"/>
    <w:rsid w:val="00154ED7"/>
    <w:rsid w:val="00167B24"/>
    <w:rsid w:val="001831E4"/>
    <w:rsid w:val="00197530"/>
    <w:rsid w:val="00197F5A"/>
    <w:rsid w:val="001A3EE3"/>
    <w:rsid w:val="001B29E2"/>
    <w:rsid w:val="001B79D4"/>
    <w:rsid w:val="001D4ECA"/>
    <w:rsid w:val="001F1027"/>
    <w:rsid w:val="001F45AD"/>
    <w:rsid w:val="001F6D9E"/>
    <w:rsid w:val="00221B00"/>
    <w:rsid w:val="00235153"/>
    <w:rsid w:val="002407F4"/>
    <w:rsid w:val="00251B94"/>
    <w:rsid w:val="00272492"/>
    <w:rsid w:val="00274E27"/>
    <w:rsid w:val="002860A2"/>
    <w:rsid w:val="002959E8"/>
    <w:rsid w:val="002B2A42"/>
    <w:rsid w:val="002C2C79"/>
    <w:rsid w:val="002D74AE"/>
    <w:rsid w:val="002E2BAC"/>
    <w:rsid w:val="003006F9"/>
    <w:rsid w:val="0030430E"/>
    <w:rsid w:val="00304A37"/>
    <w:rsid w:val="00320AA6"/>
    <w:rsid w:val="0032695E"/>
    <w:rsid w:val="00351EF3"/>
    <w:rsid w:val="00360E35"/>
    <w:rsid w:val="00393989"/>
    <w:rsid w:val="003A32CB"/>
    <w:rsid w:val="003D006F"/>
    <w:rsid w:val="003D145B"/>
    <w:rsid w:val="003D7C5C"/>
    <w:rsid w:val="003E0D3A"/>
    <w:rsid w:val="003E31D7"/>
    <w:rsid w:val="003E64CD"/>
    <w:rsid w:val="003F13DE"/>
    <w:rsid w:val="003F3BE2"/>
    <w:rsid w:val="00403EE8"/>
    <w:rsid w:val="00425F2F"/>
    <w:rsid w:val="00430E54"/>
    <w:rsid w:val="004355F5"/>
    <w:rsid w:val="0043648D"/>
    <w:rsid w:val="004432B5"/>
    <w:rsid w:val="00443887"/>
    <w:rsid w:val="004568B7"/>
    <w:rsid w:val="00482FA9"/>
    <w:rsid w:val="0048632F"/>
    <w:rsid w:val="004877EA"/>
    <w:rsid w:val="004923F2"/>
    <w:rsid w:val="004970D7"/>
    <w:rsid w:val="004A0C1B"/>
    <w:rsid w:val="004A49BD"/>
    <w:rsid w:val="004A6CCA"/>
    <w:rsid w:val="004C4F2F"/>
    <w:rsid w:val="004C56E4"/>
    <w:rsid w:val="004C5A3A"/>
    <w:rsid w:val="004E0911"/>
    <w:rsid w:val="004E5826"/>
    <w:rsid w:val="004F6958"/>
    <w:rsid w:val="004F7BD2"/>
    <w:rsid w:val="00501346"/>
    <w:rsid w:val="005127C2"/>
    <w:rsid w:val="00517CD7"/>
    <w:rsid w:val="00520E57"/>
    <w:rsid w:val="0054663C"/>
    <w:rsid w:val="0055715F"/>
    <w:rsid w:val="00567912"/>
    <w:rsid w:val="00570D72"/>
    <w:rsid w:val="00582680"/>
    <w:rsid w:val="00586579"/>
    <w:rsid w:val="005C467C"/>
    <w:rsid w:val="005C4B55"/>
    <w:rsid w:val="005D0198"/>
    <w:rsid w:val="005D6FA9"/>
    <w:rsid w:val="005E0BE7"/>
    <w:rsid w:val="005F64DB"/>
    <w:rsid w:val="005F7B37"/>
    <w:rsid w:val="00600E19"/>
    <w:rsid w:val="0061678D"/>
    <w:rsid w:val="00624017"/>
    <w:rsid w:val="00631ABF"/>
    <w:rsid w:val="0063675E"/>
    <w:rsid w:val="00657E39"/>
    <w:rsid w:val="00667500"/>
    <w:rsid w:val="00687310"/>
    <w:rsid w:val="006A36C0"/>
    <w:rsid w:val="006B784A"/>
    <w:rsid w:val="006D1906"/>
    <w:rsid w:val="006F292F"/>
    <w:rsid w:val="006F4776"/>
    <w:rsid w:val="0071646D"/>
    <w:rsid w:val="0072363C"/>
    <w:rsid w:val="0073686A"/>
    <w:rsid w:val="00745527"/>
    <w:rsid w:val="00746765"/>
    <w:rsid w:val="0075564A"/>
    <w:rsid w:val="00756B2B"/>
    <w:rsid w:val="00771560"/>
    <w:rsid w:val="007753EC"/>
    <w:rsid w:val="00777C08"/>
    <w:rsid w:val="007812AD"/>
    <w:rsid w:val="00784A84"/>
    <w:rsid w:val="007A78D4"/>
    <w:rsid w:val="007E1547"/>
    <w:rsid w:val="007E4601"/>
    <w:rsid w:val="007F4BDE"/>
    <w:rsid w:val="007F5D62"/>
    <w:rsid w:val="00806D5D"/>
    <w:rsid w:val="00820DA0"/>
    <w:rsid w:val="00821F5E"/>
    <w:rsid w:val="00823DF9"/>
    <w:rsid w:val="00826378"/>
    <w:rsid w:val="008435F8"/>
    <w:rsid w:val="0085190A"/>
    <w:rsid w:val="00866B82"/>
    <w:rsid w:val="0087019B"/>
    <w:rsid w:val="0087098B"/>
    <w:rsid w:val="0088653E"/>
    <w:rsid w:val="00896BEC"/>
    <w:rsid w:val="008A21AC"/>
    <w:rsid w:val="008B3D94"/>
    <w:rsid w:val="008B439D"/>
    <w:rsid w:val="008B7AE5"/>
    <w:rsid w:val="008C12E7"/>
    <w:rsid w:val="008C160F"/>
    <w:rsid w:val="008D5447"/>
    <w:rsid w:val="008E1A92"/>
    <w:rsid w:val="0092655D"/>
    <w:rsid w:val="00956DB9"/>
    <w:rsid w:val="00970C9A"/>
    <w:rsid w:val="009802A7"/>
    <w:rsid w:val="00990533"/>
    <w:rsid w:val="00991B39"/>
    <w:rsid w:val="009A288F"/>
    <w:rsid w:val="009A523F"/>
    <w:rsid w:val="009A77D5"/>
    <w:rsid w:val="009B3785"/>
    <w:rsid w:val="009B4187"/>
    <w:rsid w:val="009D44C3"/>
    <w:rsid w:val="009D5FDB"/>
    <w:rsid w:val="00A04D81"/>
    <w:rsid w:val="00A17A88"/>
    <w:rsid w:val="00A20BBC"/>
    <w:rsid w:val="00A25B09"/>
    <w:rsid w:val="00A3398A"/>
    <w:rsid w:val="00A43F91"/>
    <w:rsid w:val="00A4494D"/>
    <w:rsid w:val="00A47FD5"/>
    <w:rsid w:val="00A50473"/>
    <w:rsid w:val="00A560B8"/>
    <w:rsid w:val="00A6404B"/>
    <w:rsid w:val="00A65E3D"/>
    <w:rsid w:val="00AB3EF0"/>
    <w:rsid w:val="00AB46A2"/>
    <w:rsid w:val="00AC333F"/>
    <w:rsid w:val="00AE1721"/>
    <w:rsid w:val="00AE587D"/>
    <w:rsid w:val="00AF0A20"/>
    <w:rsid w:val="00B03F05"/>
    <w:rsid w:val="00B1614B"/>
    <w:rsid w:val="00B204A6"/>
    <w:rsid w:val="00B262F2"/>
    <w:rsid w:val="00B35636"/>
    <w:rsid w:val="00B37BE5"/>
    <w:rsid w:val="00B46026"/>
    <w:rsid w:val="00B50C51"/>
    <w:rsid w:val="00B70082"/>
    <w:rsid w:val="00B7368C"/>
    <w:rsid w:val="00B76FED"/>
    <w:rsid w:val="00B77BA7"/>
    <w:rsid w:val="00BA6D34"/>
    <w:rsid w:val="00BB67AC"/>
    <w:rsid w:val="00BB6DCA"/>
    <w:rsid w:val="00BB7A86"/>
    <w:rsid w:val="00BD1749"/>
    <w:rsid w:val="00BF3DED"/>
    <w:rsid w:val="00BF58DB"/>
    <w:rsid w:val="00BF782C"/>
    <w:rsid w:val="00C0667E"/>
    <w:rsid w:val="00C167CB"/>
    <w:rsid w:val="00C21312"/>
    <w:rsid w:val="00C218C4"/>
    <w:rsid w:val="00C8065F"/>
    <w:rsid w:val="00C95D01"/>
    <w:rsid w:val="00CA0408"/>
    <w:rsid w:val="00CB1174"/>
    <w:rsid w:val="00CB2ABD"/>
    <w:rsid w:val="00CE0BED"/>
    <w:rsid w:val="00CF2A0B"/>
    <w:rsid w:val="00CF5C1C"/>
    <w:rsid w:val="00D00D46"/>
    <w:rsid w:val="00D4166B"/>
    <w:rsid w:val="00D42EC6"/>
    <w:rsid w:val="00D4548C"/>
    <w:rsid w:val="00D4604B"/>
    <w:rsid w:val="00D51EA9"/>
    <w:rsid w:val="00D73CE5"/>
    <w:rsid w:val="00D74384"/>
    <w:rsid w:val="00D92040"/>
    <w:rsid w:val="00D94AF0"/>
    <w:rsid w:val="00DF5FDD"/>
    <w:rsid w:val="00E06093"/>
    <w:rsid w:val="00E06EA4"/>
    <w:rsid w:val="00E11991"/>
    <w:rsid w:val="00E223F6"/>
    <w:rsid w:val="00E26A61"/>
    <w:rsid w:val="00E42215"/>
    <w:rsid w:val="00E50C5C"/>
    <w:rsid w:val="00E528F8"/>
    <w:rsid w:val="00E6230C"/>
    <w:rsid w:val="00E854A9"/>
    <w:rsid w:val="00E96D91"/>
    <w:rsid w:val="00E97330"/>
    <w:rsid w:val="00EB4F0F"/>
    <w:rsid w:val="00EB7075"/>
    <w:rsid w:val="00EC469D"/>
    <w:rsid w:val="00ED5659"/>
    <w:rsid w:val="00EF1965"/>
    <w:rsid w:val="00F03AEF"/>
    <w:rsid w:val="00F53D93"/>
    <w:rsid w:val="00F56DA0"/>
    <w:rsid w:val="00F70D53"/>
    <w:rsid w:val="00F716D7"/>
    <w:rsid w:val="00F903F9"/>
    <w:rsid w:val="00F90C3D"/>
    <w:rsid w:val="00F93964"/>
    <w:rsid w:val="00FA4DE5"/>
    <w:rsid w:val="00FC3D0F"/>
    <w:rsid w:val="00FC4AAA"/>
    <w:rsid w:val="00FD2D5D"/>
    <w:rsid w:val="00FE2215"/>
    <w:rsid w:val="00FE536A"/>
    <w:rsid w:val="00FE57B4"/>
    <w:rsid w:val="00FF2C22"/>
    <w:rsid w:val="00FF51FA"/>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B33102D"/>
  <w15:chartTrackingRefBased/>
  <w15:docId w15:val="{A52B62D2-4AD3-424E-B12A-1F6C767FDE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ja-JP"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B4F0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EB4F0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EB4F0F"/>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B4F0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B4F0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B4F0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B4F0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B4F0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B4F0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B4F0F"/>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EB4F0F"/>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B4F0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B4F0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B4F0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B4F0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B4F0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B4F0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B4F0F"/>
    <w:rPr>
      <w:rFonts w:eastAsiaTheme="majorEastAsia" w:cstheme="majorBidi"/>
      <w:color w:val="272727" w:themeColor="text1" w:themeTint="D8"/>
    </w:rPr>
  </w:style>
  <w:style w:type="paragraph" w:styleId="Title">
    <w:name w:val="Title"/>
    <w:basedOn w:val="Normal"/>
    <w:next w:val="Normal"/>
    <w:link w:val="TitleChar"/>
    <w:uiPriority w:val="10"/>
    <w:qFormat/>
    <w:rsid w:val="00EB4F0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B4F0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B4F0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B4F0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B4F0F"/>
    <w:pPr>
      <w:spacing w:before="160"/>
      <w:jc w:val="center"/>
    </w:pPr>
    <w:rPr>
      <w:i/>
      <w:iCs/>
      <w:color w:val="404040" w:themeColor="text1" w:themeTint="BF"/>
    </w:rPr>
  </w:style>
  <w:style w:type="character" w:customStyle="1" w:styleId="QuoteChar">
    <w:name w:val="Quote Char"/>
    <w:basedOn w:val="DefaultParagraphFont"/>
    <w:link w:val="Quote"/>
    <w:uiPriority w:val="29"/>
    <w:rsid w:val="00EB4F0F"/>
    <w:rPr>
      <w:i/>
      <w:iCs/>
      <w:color w:val="404040" w:themeColor="text1" w:themeTint="BF"/>
    </w:rPr>
  </w:style>
  <w:style w:type="paragraph" w:styleId="ListParagraph">
    <w:name w:val="List Paragraph"/>
    <w:basedOn w:val="Normal"/>
    <w:link w:val="ListParagraphChar"/>
    <w:uiPriority w:val="34"/>
    <w:qFormat/>
    <w:rsid w:val="00EB4F0F"/>
    <w:pPr>
      <w:ind w:left="720"/>
      <w:contextualSpacing/>
    </w:pPr>
  </w:style>
  <w:style w:type="character" w:styleId="IntenseEmphasis">
    <w:name w:val="Intense Emphasis"/>
    <w:basedOn w:val="DefaultParagraphFont"/>
    <w:uiPriority w:val="21"/>
    <w:qFormat/>
    <w:rsid w:val="00EB4F0F"/>
    <w:rPr>
      <w:i/>
      <w:iCs/>
      <w:color w:val="0F4761" w:themeColor="accent1" w:themeShade="BF"/>
    </w:rPr>
  </w:style>
  <w:style w:type="paragraph" w:styleId="IntenseQuote">
    <w:name w:val="Intense Quote"/>
    <w:basedOn w:val="Normal"/>
    <w:next w:val="Normal"/>
    <w:link w:val="IntenseQuoteChar"/>
    <w:uiPriority w:val="30"/>
    <w:qFormat/>
    <w:rsid w:val="00EB4F0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B4F0F"/>
    <w:rPr>
      <w:i/>
      <w:iCs/>
      <w:color w:val="0F4761" w:themeColor="accent1" w:themeShade="BF"/>
    </w:rPr>
  </w:style>
  <w:style w:type="character" w:styleId="IntenseReference">
    <w:name w:val="Intense Reference"/>
    <w:basedOn w:val="DefaultParagraphFont"/>
    <w:uiPriority w:val="32"/>
    <w:qFormat/>
    <w:rsid w:val="00EB4F0F"/>
    <w:rPr>
      <w:b/>
      <w:bCs/>
      <w:smallCaps/>
      <w:color w:val="0F4761" w:themeColor="accent1" w:themeShade="BF"/>
      <w:spacing w:val="5"/>
    </w:rPr>
  </w:style>
  <w:style w:type="paragraph" w:styleId="NormalWeb">
    <w:name w:val="Normal (Web)"/>
    <w:basedOn w:val="Normal"/>
    <w:unhideWhenUsed/>
    <w:rsid w:val="003D7C5C"/>
    <w:rPr>
      <w:rFonts w:ascii="Times New Roman" w:hAnsi="Times New Roman" w:cs="Times New Roman"/>
    </w:rPr>
  </w:style>
  <w:style w:type="character" w:styleId="Hyperlink">
    <w:name w:val="Hyperlink"/>
    <w:basedOn w:val="DefaultParagraphFont"/>
    <w:uiPriority w:val="99"/>
    <w:unhideWhenUsed/>
    <w:rsid w:val="00C218C4"/>
    <w:rPr>
      <w:color w:val="467886" w:themeColor="hyperlink"/>
      <w:u w:val="single"/>
    </w:rPr>
  </w:style>
  <w:style w:type="character" w:styleId="UnresolvedMention">
    <w:name w:val="Unresolved Mention"/>
    <w:basedOn w:val="DefaultParagraphFont"/>
    <w:uiPriority w:val="99"/>
    <w:semiHidden/>
    <w:unhideWhenUsed/>
    <w:rsid w:val="00C218C4"/>
    <w:rPr>
      <w:color w:val="605E5C"/>
      <w:shd w:val="clear" w:color="auto" w:fill="E1DFDD"/>
    </w:rPr>
  </w:style>
  <w:style w:type="paragraph" w:styleId="Header">
    <w:name w:val="header"/>
    <w:basedOn w:val="Normal"/>
    <w:link w:val="HeaderChar"/>
    <w:uiPriority w:val="99"/>
    <w:unhideWhenUsed/>
    <w:rsid w:val="00866B82"/>
    <w:pPr>
      <w:tabs>
        <w:tab w:val="center" w:pos="4513"/>
        <w:tab w:val="right" w:pos="9026"/>
      </w:tabs>
      <w:spacing w:after="0" w:line="240" w:lineRule="auto"/>
    </w:pPr>
  </w:style>
  <w:style w:type="character" w:customStyle="1" w:styleId="HeaderChar">
    <w:name w:val="Header Char"/>
    <w:basedOn w:val="DefaultParagraphFont"/>
    <w:link w:val="Header"/>
    <w:uiPriority w:val="99"/>
    <w:rsid w:val="00866B82"/>
  </w:style>
  <w:style w:type="paragraph" w:styleId="Footer">
    <w:name w:val="footer"/>
    <w:basedOn w:val="Normal"/>
    <w:link w:val="FooterChar"/>
    <w:uiPriority w:val="99"/>
    <w:unhideWhenUsed/>
    <w:rsid w:val="00866B82"/>
    <w:pPr>
      <w:tabs>
        <w:tab w:val="center" w:pos="4513"/>
        <w:tab w:val="right" w:pos="9026"/>
      </w:tabs>
      <w:spacing w:after="0" w:line="240" w:lineRule="auto"/>
    </w:pPr>
  </w:style>
  <w:style w:type="character" w:customStyle="1" w:styleId="FooterChar">
    <w:name w:val="Footer Char"/>
    <w:basedOn w:val="DefaultParagraphFont"/>
    <w:link w:val="Footer"/>
    <w:uiPriority w:val="99"/>
    <w:rsid w:val="00866B82"/>
  </w:style>
  <w:style w:type="character" w:styleId="PageNumber">
    <w:name w:val="page number"/>
    <w:basedOn w:val="DefaultParagraphFont"/>
    <w:uiPriority w:val="99"/>
    <w:semiHidden/>
    <w:unhideWhenUsed/>
    <w:rsid w:val="00866B82"/>
  </w:style>
  <w:style w:type="paragraph" w:styleId="FootnoteText">
    <w:name w:val="footnote text"/>
    <w:basedOn w:val="Normal"/>
    <w:link w:val="FootnoteTextChar"/>
    <w:uiPriority w:val="99"/>
    <w:unhideWhenUsed/>
    <w:rsid w:val="00D42EC6"/>
    <w:pPr>
      <w:spacing w:after="0" w:line="240" w:lineRule="auto"/>
    </w:pPr>
    <w:rPr>
      <w:sz w:val="20"/>
      <w:szCs w:val="20"/>
    </w:rPr>
  </w:style>
  <w:style w:type="character" w:customStyle="1" w:styleId="FootnoteTextChar">
    <w:name w:val="Footnote Text Char"/>
    <w:basedOn w:val="DefaultParagraphFont"/>
    <w:link w:val="FootnoteText"/>
    <w:uiPriority w:val="99"/>
    <w:rsid w:val="00D42EC6"/>
    <w:rPr>
      <w:sz w:val="20"/>
      <w:szCs w:val="20"/>
    </w:rPr>
  </w:style>
  <w:style w:type="character" w:styleId="FootnoteReference">
    <w:name w:val="footnote reference"/>
    <w:basedOn w:val="DefaultParagraphFont"/>
    <w:uiPriority w:val="99"/>
    <w:semiHidden/>
    <w:unhideWhenUsed/>
    <w:rsid w:val="00D42EC6"/>
    <w:rPr>
      <w:vertAlign w:val="superscript"/>
    </w:rPr>
  </w:style>
  <w:style w:type="character" w:styleId="FollowedHyperlink">
    <w:name w:val="FollowedHyperlink"/>
    <w:basedOn w:val="DefaultParagraphFont"/>
    <w:uiPriority w:val="99"/>
    <w:semiHidden/>
    <w:unhideWhenUsed/>
    <w:rsid w:val="00D42EC6"/>
    <w:rPr>
      <w:color w:val="96607D" w:themeColor="followedHyperlink"/>
      <w:u w:val="single"/>
    </w:rPr>
  </w:style>
  <w:style w:type="paragraph" w:styleId="EndnoteText">
    <w:name w:val="endnote text"/>
    <w:basedOn w:val="Normal"/>
    <w:link w:val="EndnoteTextChar"/>
    <w:uiPriority w:val="99"/>
    <w:semiHidden/>
    <w:unhideWhenUsed/>
    <w:rsid w:val="005C467C"/>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C467C"/>
    <w:rPr>
      <w:sz w:val="20"/>
      <w:szCs w:val="20"/>
    </w:rPr>
  </w:style>
  <w:style w:type="character" w:styleId="EndnoteReference">
    <w:name w:val="endnote reference"/>
    <w:basedOn w:val="DefaultParagraphFont"/>
    <w:uiPriority w:val="99"/>
    <w:semiHidden/>
    <w:unhideWhenUsed/>
    <w:rsid w:val="005C467C"/>
    <w:rPr>
      <w:vertAlign w:val="superscript"/>
    </w:rPr>
  </w:style>
  <w:style w:type="paragraph" w:styleId="Caption">
    <w:name w:val="caption"/>
    <w:basedOn w:val="Normal"/>
    <w:next w:val="Normal"/>
    <w:uiPriority w:val="35"/>
    <w:unhideWhenUsed/>
    <w:qFormat/>
    <w:rsid w:val="005E0BE7"/>
    <w:pPr>
      <w:spacing w:after="200" w:line="240" w:lineRule="auto"/>
    </w:pPr>
    <w:rPr>
      <w:i/>
      <w:iCs/>
      <w:color w:val="0E2841" w:themeColor="text2"/>
      <w:sz w:val="18"/>
      <w:szCs w:val="18"/>
    </w:rPr>
  </w:style>
  <w:style w:type="paragraph" w:customStyle="1" w:styleId="p1">
    <w:name w:val="p1"/>
    <w:basedOn w:val="Normal"/>
    <w:rsid w:val="00360E35"/>
    <w:pPr>
      <w:spacing w:after="0" w:line="240" w:lineRule="auto"/>
    </w:pPr>
    <w:rPr>
      <w:rFonts w:ascii="Arial" w:eastAsia="Times New Roman" w:hAnsi="Arial" w:cs="Arial"/>
      <w:color w:val="000000"/>
      <w:kern w:val="0"/>
      <w:sz w:val="16"/>
      <w:szCs w:val="16"/>
      <w14:ligatures w14:val="none"/>
    </w:rPr>
  </w:style>
  <w:style w:type="character" w:customStyle="1" w:styleId="apple-converted-space">
    <w:name w:val="apple-converted-space"/>
    <w:basedOn w:val="DefaultParagraphFont"/>
    <w:rsid w:val="00360E35"/>
  </w:style>
  <w:style w:type="character" w:customStyle="1" w:styleId="text-smallcaps">
    <w:name w:val="text-smallcaps"/>
    <w:basedOn w:val="DefaultParagraphFont"/>
    <w:rsid w:val="00360E35"/>
  </w:style>
  <w:style w:type="character" w:styleId="Emphasis">
    <w:name w:val="Emphasis"/>
    <w:basedOn w:val="DefaultParagraphFont"/>
    <w:uiPriority w:val="20"/>
    <w:qFormat/>
    <w:rsid w:val="00360E35"/>
    <w:rPr>
      <w:i/>
      <w:iCs/>
    </w:rPr>
  </w:style>
  <w:style w:type="character" w:customStyle="1" w:styleId="ListParagraphChar">
    <w:name w:val="List Paragraph Char"/>
    <w:link w:val="ListParagraph"/>
    <w:uiPriority w:val="34"/>
    <w:qFormat/>
    <w:locked/>
    <w:rsid w:val="00FC3D0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8961165">
      <w:bodyDiv w:val="1"/>
      <w:marLeft w:val="0"/>
      <w:marRight w:val="0"/>
      <w:marTop w:val="0"/>
      <w:marBottom w:val="0"/>
      <w:divBdr>
        <w:top w:val="none" w:sz="0" w:space="0" w:color="auto"/>
        <w:left w:val="none" w:sz="0" w:space="0" w:color="auto"/>
        <w:bottom w:val="none" w:sz="0" w:space="0" w:color="auto"/>
        <w:right w:val="none" w:sz="0" w:space="0" w:color="auto"/>
      </w:divBdr>
      <w:divsChild>
        <w:div w:id="1575504748">
          <w:marLeft w:val="0"/>
          <w:marRight w:val="0"/>
          <w:marTop w:val="0"/>
          <w:marBottom w:val="0"/>
          <w:divBdr>
            <w:top w:val="none" w:sz="0" w:space="0" w:color="auto"/>
            <w:left w:val="none" w:sz="0" w:space="0" w:color="auto"/>
            <w:bottom w:val="none" w:sz="0" w:space="0" w:color="auto"/>
            <w:right w:val="none" w:sz="0" w:space="0" w:color="auto"/>
          </w:divBdr>
          <w:divsChild>
            <w:div w:id="211236106">
              <w:marLeft w:val="0"/>
              <w:marRight w:val="0"/>
              <w:marTop w:val="0"/>
              <w:marBottom w:val="0"/>
              <w:divBdr>
                <w:top w:val="none" w:sz="0" w:space="0" w:color="auto"/>
                <w:left w:val="none" w:sz="0" w:space="0" w:color="auto"/>
                <w:bottom w:val="none" w:sz="0" w:space="0" w:color="auto"/>
                <w:right w:val="none" w:sz="0" w:space="0" w:color="auto"/>
              </w:divBdr>
              <w:divsChild>
                <w:div w:id="20436245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31122738">
      <w:bodyDiv w:val="1"/>
      <w:marLeft w:val="0"/>
      <w:marRight w:val="0"/>
      <w:marTop w:val="0"/>
      <w:marBottom w:val="0"/>
      <w:divBdr>
        <w:top w:val="none" w:sz="0" w:space="0" w:color="auto"/>
        <w:left w:val="none" w:sz="0" w:space="0" w:color="auto"/>
        <w:bottom w:val="none" w:sz="0" w:space="0" w:color="auto"/>
        <w:right w:val="none" w:sz="0" w:space="0" w:color="auto"/>
      </w:divBdr>
      <w:divsChild>
        <w:div w:id="1914315282">
          <w:marLeft w:val="0"/>
          <w:marRight w:val="0"/>
          <w:marTop w:val="0"/>
          <w:marBottom w:val="0"/>
          <w:divBdr>
            <w:top w:val="none" w:sz="0" w:space="0" w:color="auto"/>
            <w:left w:val="none" w:sz="0" w:space="0" w:color="auto"/>
            <w:bottom w:val="none" w:sz="0" w:space="0" w:color="auto"/>
            <w:right w:val="none" w:sz="0" w:space="0" w:color="auto"/>
          </w:divBdr>
          <w:divsChild>
            <w:div w:id="562252264">
              <w:marLeft w:val="0"/>
              <w:marRight w:val="0"/>
              <w:marTop w:val="0"/>
              <w:marBottom w:val="0"/>
              <w:divBdr>
                <w:top w:val="none" w:sz="0" w:space="0" w:color="auto"/>
                <w:left w:val="none" w:sz="0" w:space="0" w:color="auto"/>
                <w:bottom w:val="none" w:sz="0" w:space="0" w:color="auto"/>
                <w:right w:val="none" w:sz="0" w:space="0" w:color="auto"/>
              </w:divBdr>
              <w:divsChild>
                <w:div w:id="13761939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95948526">
      <w:bodyDiv w:val="1"/>
      <w:marLeft w:val="0"/>
      <w:marRight w:val="0"/>
      <w:marTop w:val="0"/>
      <w:marBottom w:val="0"/>
      <w:divBdr>
        <w:top w:val="none" w:sz="0" w:space="0" w:color="auto"/>
        <w:left w:val="none" w:sz="0" w:space="0" w:color="auto"/>
        <w:bottom w:val="none" w:sz="0" w:space="0" w:color="auto"/>
        <w:right w:val="none" w:sz="0" w:space="0" w:color="auto"/>
      </w:divBdr>
      <w:divsChild>
        <w:div w:id="621232491">
          <w:marLeft w:val="0"/>
          <w:marRight w:val="0"/>
          <w:marTop w:val="0"/>
          <w:marBottom w:val="0"/>
          <w:divBdr>
            <w:top w:val="none" w:sz="0" w:space="0" w:color="auto"/>
            <w:left w:val="none" w:sz="0" w:space="0" w:color="auto"/>
            <w:bottom w:val="none" w:sz="0" w:space="0" w:color="auto"/>
            <w:right w:val="none" w:sz="0" w:space="0" w:color="auto"/>
          </w:divBdr>
          <w:divsChild>
            <w:div w:id="366492534">
              <w:marLeft w:val="0"/>
              <w:marRight w:val="0"/>
              <w:marTop w:val="0"/>
              <w:marBottom w:val="0"/>
              <w:divBdr>
                <w:top w:val="none" w:sz="0" w:space="0" w:color="auto"/>
                <w:left w:val="none" w:sz="0" w:space="0" w:color="auto"/>
                <w:bottom w:val="none" w:sz="0" w:space="0" w:color="auto"/>
                <w:right w:val="none" w:sz="0" w:space="0" w:color="auto"/>
              </w:divBdr>
              <w:divsChild>
                <w:div w:id="6908842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73082618">
      <w:bodyDiv w:val="1"/>
      <w:marLeft w:val="0"/>
      <w:marRight w:val="0"/>
      <w:marTop w:val="0"/>
      <w:marBottom w:val="0"/>
      <w:divBdr>
        <w:top w:val="none" w:sz="0" w:space="0" w:color="auto"/>
        <w:left w:val="none" w:sz="0" w:space="0" w:color="auto"/>
        <w:bottom w:val="none" w:sz="0" w:space="0" w:color="auto"/>
        <w:right w:val="none" w:sz="0" w:space="0" w:color="auto"/>
      </w:divBdr>
      <w:divsChild>
        <w:div w:id="505487393">
          <w:marLeft w:val="0"/>
          <w:marRight w:val="0"/>
          <w:marTop w:val="0"/>
          <w:marBottom w:val="0"/>
          <w:divBdr>
            <w:top w:val="none" w:sz="0" w:space="0" w:color="auto"/>
            <w:left w:val="none" w:sz="0" w:space="0" w:color="auto"/>
            <w:bottom w:val="none" w:sz="0" w:space="0" w:color="auto"/>
            <w:right w:val="none" w:sz="0" w:space="0" w:color="auto"/>
          </w:divBdr>
          <w:divsChild>
            <w:div w:id="1946813478">
              <w:marLeft w:val="0"/>
              <w:marRight w:val="0"/>
              <w:marTop w:val="0"/>
              <w:marBottom w:val="0"/>
              <w:divBdr>
                <w:top w:val="none" w:sz="0" w:space="0" w:color="auto"/>
                <w:left w:val="none" w:sz="0" w:space="0" w:color="auto"/>
                <w:bottom w:val="none" w:sz="0" w:space="0" w:color="auto"/>
                <w:right w:val="none" w:sz="0" w:space="0" w:color="auto"/>
              </w:divBdr>
              <w:divsChild>
                <w:div w:id="3500292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15474252">
      <w:bodyDiv w:val="1"/>
      <w:marLeft w:val="0"/>
      <w:marRight w:val="0"/>
      <w:marTop w:val="0"/>
      <w:marBottom w:val="0"/>
      <w:divBdr>
        <w:top w:val="none" w:sz="0" w:space="0" w:color="auto"/>
        <w:left w:val="none" w:sz="0" w:space="0" w:color="auto"/>
        <w:bottom w:val="none" w:sz="0" w:space="0" w:color="auto"/>
        <w:right w:val="none" w:sz="0" w:space="0" w:color="auto"/>
      </w:divBdr>
      <w:divsChild>
        <w:div w:id="393938373">
          <w:marLeft w:val="0"/>
          <w:marRight w:val="0"/>
          <w:marTop w:val="0"/>
          <w:marBottom w:val="0"/>
          <w:divBdr>
            <w:top w:val="none" w:sz="0" w:space="0" w:color="auto"/>
            <w:left w:val="none" w:sz="0" w:space="0" w:color="auto"/>
            <w:bottom w:val="none" w:sz="0" w:space="0" w:color="auto"/>
            <w:right w:val="none" w:sz="0" w:space="0" w:color="auto"/>
          </w:divBdr>
          <w:divsChild>
            <w:div w:id="504327186">
              <w:marLeft w:val="0"/>
              <w:marRight w:val="0"/>
              <w:marTop w:val="0"/>
              <w:marBottom w:val="0"/>
              <w:divBdr>
                <w:top w:val="none" w:sz="0" w:space="0" w:color="auto"/>
                <w:left w:val="none" w:sz="0" w:space="0" w:color="auto"/>
                <w:bottom w:val="none" w:sz="0" w:space="0" w:color="auto"/>
                <w:right w:val="none" w:sz="0" w:space="0" w:color="auto"/>
              </w:divBdr>
              <w:divsChild>
                <w:div w:id="1139113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54357201">
      <w:bodyDiv w:val="1"/>
      <w:marLeft w:val="0"/>
      <w:marRight w:val="0"/>
      <w:marTop w:val="0"/>
      <w:marBottom w:val="0"/>
      <w:divBdr>
        <w:top w:val="none" w:sz="0" w:space="0" w:color="auto"/>
        <w:left w:val="none" w:sz="0" w:space="0" w:color="auto"/>
        <w:bottom w:val="none" w:sz="0" w:space="0" w:color="auto"/>
        <w:right w:val="none" w:sz="0" w:space="0" w:color="auto"/>
      </w:divBdr>
      <w:divsChild>
        <w:div w:id="1964269855">
          <w:marLeft w:val="0"/>
          <w:marRight w:val="0"/>
          <w:marTop w:val="0"/>
          <w:marBottom w:val="0"/>
          <w:divBdr>
            <w:top w:val="none" w:sz="0" w:space="0" w:color="auto"/>
            <w:left w:val="none" w:sz="0" w:space="0" w:color="auto"/>
            <w:bottom w:val="none" w:sz="0" w:space="0" w:color="auto"/>
            <w:right w:val="none" w:sz="0" w:space="0" w:color="auto"/>
          </w:divBdr>
          <w:divsChild>
            <w:div w:id="583496765">
              <w:marLeft w:val="0"/>
              <w:marRight w:val="0"/>
              <w:marTop w:val="0"/>
              <w:marBottom w:val="0"/>
              <w:divBdr>
                <w:top w:val="none" w:sz="0" w:space="0" w:color="auto"/>
                <w:left w:val="none" w:sz="0" w:space="0" w:color="auto"/>
                <w:bottom w:val="none" w:sz="0" w:space="0" w:color="auto"/>
                <w:right w:val="none" w:sz="0" w:space="0" w:color="auto"/>
              </w:divBdr>
              <w:divsChild>
                <w:div w:id="3864161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00365843">
      <w:bodyDiv w:val="1"/>
      <w:marLeft w:val="0"/>
      <w:marRight w:val="0"/>
      <w:marTop w:val="0"/>
      <w:marBottom w:val="0"/>
      <w:divBdr>
        <w:top w:val="none" w:sz="0" w:space="0" w:color="auto"/>
        <w:left w:val="none" w:sz="0" w:space="0" w:color="auto"/>
        <w:bottom w:val="none" w:sz="0" w:space="0" w:color="auto"/>
        <w:right w:val="none" w:sz="0" w:space="0" w:color="auto"/>
      </w:divBdr>
      <w:divsChild>
        <w:div w:id="245381691">
          <w:marLeft w:val="0"/>
          <w:marRight w:val="0"/>
          <w:marTop w:val="0"/>
          <w:marBottom w:val="0"/>
          <w:divBdr>
            <w:top w:val="none" w:sz="0" w:space="0" w:color="auto"/>
            <w:left w:val="none" w:sz="0" w:space="0" w:color="auto"/>
            <w:bottom w:val="none" w:sz="0" w:space="0" w:color="auto"/>
            <w:right w:val="none" w:sz="0" w:space="0" w:color="auto"/>
          </w:divBdr>
          <w:divsChild>
            <w:div w:id="291595088">
              <w:marLeft w:val="0"/>
              <w:marRight w:val="0"/>
              <w:marTop w:val="0"/>
              <w:marBottom w:val="0"/>
              <w:divBdr>
                <w:top w:val="none" w:sz="0" w:space="0" w:color="auto"/>
                <w:left w:val="none" w:sz="0" w:space="0" w:color="auto"/>
                <w:bottom w:val="none" w:sz="0" w:space="0" w:color="auto"/>
                <w:right w:val="none" w:sz="0" w:space="0" w:color="auto"/>
              </w:divBdr>
              <w:divsChild>
                <w:div w:id="7255640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10545779">
      <w:bodyDiv w:val="1"/>
      <w:marLeft w:val="0"/>
      <w:marRight w:val="0"/>
      <w:marTop w:val="0"/>
      <w:marBottom w:val="0"/>
      <w:divBdr>
        <w:top w:val="none" w:sz="0" w:space="0" w:color="auto"/>
        <w:left w:val="none" w:sz="0" w:space="0" w:color="auto"/>
        <w:bottom w:val="none" w:sz="0" w:space="0" w:color="auto"/>
        <w:right w:val="none" w:sz="0" w:space="0" w:color="auto"/>
      </w:divBdr>
      <w:divsChild>
        <w:div w:id="589969642">
          <w:marLeft w:val="0"/>
          <w:marRight w:val="0"/>
          <w:marTop w:val="0"/>
          <w:marBottom w:val="0"/>
          <w:divBdr>
            <w:top w:val="none" w:sz="0" w:space="0" w:color="auto"/>
            <w:left w:val="none" w:sz="0" w:space="0" w:color="auto"/>
            <w:bottom w:val="none" w:sz="0" w:space="0" w:color="auto"/>
            <w:right w:val="none" w:sz="0" w:space="0" w:color="auto"/>
          </w:divBdr>
          <w:divsChild>
            <w:div w:id="1294942700">
              <w:marLeft w:val="0"/>
              <w:marRight w:val="0"/>
              <w:marTop w:val="0"/>
              <w:marBottom w:val="0"/>
              <w:divBdr>
                <w:top w:val="none" w:sz="0" w:space="0" w:color="auto"/>
                <w:left w:val="none" w:sz="0" w:space="0" w:color="auto"/>
                <w:bottom w:val="none" w:sz="0" w:space="0" w:color="auto"/>
                <w:right w:val="none" w:sz="0" w:space="0" w:color="auto"/>
              </w:divBdr>
              <w:divsChild>
                <w:div w:id="781862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doi.org/10.2307/3711748" TargetMode="External"/><Relationship Id="rId14" Type="http://schemas.openxmlformats.org/officeDocument/2006/relationships/theme" Target="theme/theme1.xml"/></Relationships>
</file>

<file path=word/_rels/footnotes.xml.rels><?xml version="1.0" encoding="UTF-8" standalone="yes"?>
<Relationships xmlns="http://schemas.openxmlformats.org/package/2006/relationships"><Relationship Id="rId1" Type="http://schemas.openxmlformats.org/officeDocument/2006/relationships/hyperlink" Target="https://doi.org/10.2307/3711748"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56BAEC-9361-2646-B32C-306FEE5D7EE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47</TotalTime>
  <Pages>10</Pages>
  <Words>2893</Words>
  <Characters>15913</Characters>
  <Application>Microsoft Office Word</Application>
  <DocSecurity>0</DocSecurity>
  <Lines>248</Lines>
  <Paragraphs>54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18752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Rhian Herbert</dc:creator>
  <cp:keywords/>
  <dc:description/>
  <cp:lastModifiedBy>Rhian Herbert</cp:lastModifiedBy>
  <cp:revision>13</cp:revision>
  <cp:lastPrinted>2025-03-17T18:54:00Z</cp:lastPrinted>
  <dcterms:created xsi:type="dcterms:W3CDTF">2025-03-16T21:01:00Z</dcterms:created>
  <dcterms:modified xsi:type="dcterms:W3CDTF">2025-03-17T19:08:00Z</dcterms:modified>
</cp:coreProperties>
</file>