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126F23" w:rsidRDefault="00126F23">
      <w:pPr>
        <w:pStyle w:val="Heading1"/>
      </w:pPr>
      <w:r>
        <w:rPr>
          <w:b w:val="0"/>
          <w:bCs w:val="0"/>
          <w:noProof/>
        </w:rPr>
        <w:drawing>
          <wp:inline distT="0" distB="0" distL="0" distR="0">
            <wp:extent cx="4457700" cy="1775460"/>
            <wp:effectExtent l="0" t="0" r="0" b="0"/>
            <wp:docPr id="1" name="Picture 1" descr="C:\Users\Learner\AppData\Local\Microsoft\Windows\INetCache\Content.MSO\675168DD.tm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Learner\AppData\Local\Microsoft\Windows\INetCache\Content.MSO\675168DD.tmp"/>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4457700" cy="1775460"/>
                    </a:xfrm>
                    <a:prstGeom prst="rect">
                      <a:avLst/>
                    </a:prstGeom>
                    <a:noFill/>
                    <a:ln>
                      <a:noFill/>
                    </a:ln>
                  </pic:spPr>
                </pic:pic>
              </a:graphicData>
            </a:graphic>
          </wp:inline>
        </w:drawing>
      </w:r>
    </w:p>
    <w:p w:rsidR="00126F23" w:rsidRPr="00126F23" w:rsidRDefault="00126F23" w:rsidP="00126F23">
      <w:pPr>
        <w:pStyle w:val="Heading1"/>
        <w:rPr>
          <w:b w:val="0"/>
          <w:color w:val="000000" w:themeColor="text1"/>
          <w:sz w:val="48"/>
          <w:szCs w:val="48"/>
        </w:rPr>
      </w:pPr>
      <w:r w:rsidRPr="00126F23">
        <w:rPr>
          <w:b w:val="0"/>
          <w:color w:val="000000" w:themeColor="text1"/>
          <w:sz w:val="48"/>
          <w:szCs w:val="48"/>
        </w:rPr>
        <w:t>Effective Teamwork and Communication</w:t>
      </w:r>
    </w:p>
    <w:p w:rsidR="00126F23" w:rsidRPr="00126F23" w:rsidRDefault="00126F23" w:rsidP="00126F23">
      <w:pPr>
        <w:rPr>
          <w:color w:val="000000" w:themeColor="text1"/>
          <w:sz w:val="48"/>
          <w:szCs w:val="48"/>
        </w:rPr>
      </w:pPr>
      <w:r w:rsidRPr="00126F23">
        <w:rPr>
          <w:color w:val="000000" w:themeColor="text1"/>
          <w:sz w:val="48"/>
          <w:szCs w:val="48"/>
        </w:rPr>
        <w:t xml:space="preserve">Student Name: Samantha </w:t>
      </w:r>
      <w:proofErr w:type="spellStart"/>
      <w:r>
        <w:rPr>
          <w:color w:val="000000" w:themeColor="text1"/>
          <w:sz w:val="48"/>
          <w:szCs w:val="48"/>
        </w:rPr>
        <w:t>Kilvington</w:t>
      </w:r>
      <w:proofErr w:type="spellEnd"/>
    </w:p>
    <w:p w:rsidR="00126F23" w:rsidRPr="00126F23" w:rsidRDefault="00126F23" w:rsidP="00126F23">
      <w:pPr>
        <w:rPr>
          <w:color w:val="000000" w:themeColor="text1"/>
          <w:sz w:val="48"/>
          <w:szCs w:val="48"/>
        </w:rPr>
      </w:pPr>
      <w:r w:rsidRPr="00126F23">
        <w:rPr>
          <w:color w:val="000000" w:themeColor="text1"/>
          <w:sz w:val="48"/>
          <w:szCs w:val="48"/>
        </w:rPr>
        <w:t xml:space="preserve">Student ID: </w:t>
      </w:r>
      <w:r>
        <w:rPr>
          <w:color w:val="000000" w:themeColor="text1"/>
          <w:sz w:val="48"/>
          <w:szCs w:val="48"/>
        </w:rPr>
        <w:t>2508581</w:t>
      </w:r>
    </w:p>
    <w:p w:rsidR="00126F23" w:rsidRPr="00126F23" w:rsidRDefault="00126F23" w:rsidP="00126F23">
      <w:pPr>
        <w:rPr>
          <w:color w:val="000000" w:themeColor="text1"/>
          <w:sz w:val="48"/>
          <w:szCs w:val="48"/>
        </w:rPr>
      </w:pPr>
      <w:r w:rsidRPr="00126F23">
        <w:rPr>
          <w:color w:val="000000" w:themeColor="text1"/>
          <w:sz w:val="48"/>
          <w:szCs w:val="48"/>
        </w:rPr>
        <w:t>Module: Professional Career Development</w:t>
      </w:r>
    </w:p>
    <w:p w:rsidR="00126F23" w:rsidRPr="00126F23" w:rsidRDefault="00126F23" w:rsidP="00126F23">
      <w:pPr>
        <w:rPr>
          <w:color w:val="000000" w:themeColor="text1"/>
          <w:sz w:val="48"/>
          <w:szCs w:val="48"/>
        </w:rPr>
      </w:pPr>
      <w:r w:rsidRPr="00126F23">
        <w:rPr>
          <w:color w:val="000000" w:themeColor="text1"/>
          <w:sz w:val="48"/>
          <w:szCs w:val="48"/>
        </w:rPr>
        <w:t xml:space="preserve">Module Tutor: </w:t>
      </w:r>
      <w:r>
        <w:rPr>
          <w:color w:val="000000" w:themeColor="text1"/>
          <w:sz w:val="48"/>
          <w:szCs w:val="48"/>
        </w:rPr>
        <w:t>Melanie Squire</w:t>
      </w:r>
    </w:p>
    <w:p w:rsidR="00126F23" w:rsidRPr="00126F23" w:rsidRDefault="00126F23" w:rsidP="00126F23">
      <w:pPr>
        <w:rPr>
          <w:color w:val="000000" w:themeColor="text1"/>
          <w:sz w:val="48"/>
          <w:szCs w:val="48"/>
        </w:rPr>
      </w:pPr>
      <w:r w:rsidRPr="00126F23">
        <w:rPr>
          <w:color w:val="000000" w:themeColor="text1"/>
          <w:sz w:val="48"/>
          <w:szCs w:val="48"/>
        </w:rPr>
        <w:t>Word Count: 1000 words (excluding contents and reference list)</w:t>
      </w:r>
    </w:p>
    <w:p w:rsidR="00126F23" w:rsidRPr="00126F23" w:rsidRDefault="00126F23" w:rsidP="00126F23">
      <w:pPr>
        <w:rPr>
          <w:color w:val="000000" w:themeColor="text1"/>
          <w:sz w:val="48"/>
          <w:szCs w:val="48"/>
        </w:rPr>
      </w:pPr>
      <w:r w:rsidRPr="00126F23">
        <w:rPr>
          <w:color w:val="000000" w:themeColor="text1"/>
          <w:sz w:val="48"/>
          <w:szCs w:val="48"/>
        </w:rPr>
        <w:t>Date: [Insert Date]</w:t>
      </w:r>
    </w:p>
    <w:p w:rsidR="00126F23" w:rsidRDefault="00126F23">
      <w:pPr>
        <w:pStyle w:val="Heading1"/>
      </w:pPr>
    </w:p>
    <w:p w:rsidR="00126F23" w:rsidRDefault="00126F23">
      <w:pPr>
        <w:pStyle w:val="Heading1"/>
      </w:pPr>
    </w:p>
    <w:p w:rsidR="004C144C" w:rsidRDefault="00126F23">
      <w:r>
        <w:br w:type="page"/>
      </w:r>
    </w:p>
    <w:p w:rsidR="004C144C" w:rsidRPr="00126F23" w:rsidRDefault="00126F23">
      <w:pPr>
        <w:pStyle w:val="Heading2"/>
        <w:rPr>
          <w:color w:val="000000" w:themeColor="text1"/>
        </w:rPr>
      </w:pPr>
      <w:r w:rsidRPr="00126F23">
        <w:rPr>
          <w:color w:val="000000" w:themeColor="text1"/>
        </w:rPr>
        <w:lastRenderedPageBreak/>
        <w:t>Contents</w:t>
      </w:r>
    </w:p>
    <w:p w:rsidR="004C144C" w:rsidRDefault="00126F23">
      <w:r>
        <w:t xml:space="preserve">1. </w:t>
      </w:r>
      <w:r>
        <w:t>Introduction</w:t>
      </w:r>
    </w:p>
    <w:p w:rsidR="004C144C" w:rsidRDefault="00126F23">
      <w:r>
        <w:t>2. Findings</w:t>
      </w:r>
    </w:p>
    <w:p w:rsidR="004C144C" w:rsidRDefault="00126F23">
      <w:r>
        <w:t xml:space="preserve">   2.1 Team Development and Collaborative Engagement</w:t>
      </w:r>
    </w:p>
    <w:p w:rsidR="004C144C" w:rsidRDefault="00126F23">
      <w:r>
        <w:t xml:space="preserve">   2.2 Role Awareness and Practical Collaboration</w:t>
      </w:r>
    </w:p>
    <w:p w:rsidR="004C144C" w:rsidRDefault="00126F23">
      <w:r>
        <w:t xml:space="preserve">   2.3 Communication, Trust and Shared Accountability</w:t>
      </w:r>
    </w:p>
    <w:p w:rsidR="004C144C" w:rsidRDefault="00126F23">
      <w:r>
        <w:t xml:space="preserve">   2.4 Self-Efficacy and Collaborative Confidence</w:t>
      </w:r>
    </w:p>
    <w:p w:rsidR="004C144C" w:rsidRDefault="00126F23">
      <w:r>
        <w:t xml:space="preserve">   2.5 Conflict as Colla</w:t>
      </w:r>
      <w:r>
        <w:t>borative Opportunity</w:t>
      </w:r>
    </w:p>
    <w:p w:rsidR="004C144C" w:rsidRDefault="00126F23">
      <w:r>
        <w:t xml:space="preserve">   2.6 Reflection as Sustained Collaborative Practice</w:t>
      </w:r>
    </w:p>
    <w:p w:rsidR="004C144C" w:rsidRDefault="00126F23">
      <w:r>
        <w:t>3. Conclusion</w:t>
      </w:r>
    </w:p>
    <w:p w:rsidR="004C144C" w:rsidRDefault="00126F23">
      <w:r>
        <w:t>4. Reference List</w:t>
      </w:r>
    </w:p>
    <w:p w:rsidR="004C144C" w:rsidRDefault="00126F23">
      <w:r>
        <w:br w:type="page"/>
      </w:r>
    </w:p>
    <w:p w:rsidR="004C144C" w:rsidRPr="00126F23" w:rsidRDefault="00126F23">
      <w:pPr>
        <w:pStyle w:val="Heading2"/>
        <w:rPr>
          <w:color w:val="000000" w:themeColor="text1"/>
        </w:rPr>
      </w:pPr>
      <w:r w:rsidRPr="00126F23">
        <w:rPr>
          <w:color w:val="000000" w:themeColor="text1"/>
        </w:rPr>
        <w:lastRenderedPageBreak/>
        <w:t>1. Introduction</w:t>
      </w:r>
    </w:p>
    <w:p w:rsidR="004C144C" w:rsidRDefault="00126F23">
      <w:r>
        <w:t>Teamwork refers to structured collaboration between individuals working interdependently towards shared objectives through coordina</w:t>
      </w:r>
      <w:r>
        <w:t>ted communication and mutual accountability (West, 2012). In contemporary organisational environments, effective teamwork is directly linked to productivity, innovation, and employee engagement (CIPD, 2023). High-performing teams are characterised by trust</w:t>
      </w:r>
      <w:r>
        <w:t>, psychological safety, complementary skills, and constructive conflict management.</w:t>
      </w:r>
    </w:p>
    <w:p w:rsidR="004C144C" w:rsidRDefault="00126F23">
      <w:r>
        <w:t>Through engagement with the Professional Career Development module, I developed awareness of my natural contribution within teams. Drawing upon Belbin’s (2010) Team Role th</w:t>
      </w:r>
      <w:r>
        <w:t>eory, I identify primarily as an Implementer and secondarily as a Teamworker. Reflection reshaped my understanding of collaboration, recognising reliability and inclusive communication as central to effective teamwork.</w:t>
      </w:r>
    </w:p>
    <w:p w:rsidR="004C144C" w:rsidRPr="00126F23" w:rsidRDefault="00126F23">
      <w:pPr>
        <w:pStyle w:val="Heading2"/>
        <w:rPr>
          <w:color w:val="000000" w:themeColor="text1"/>
        </w:rPr>
      </w:pPr>
      <w:r w:rsidRPr="00126F23">
        <w:rPr>
          <w:color w:val="000000" w:themeColor="text1"/>
        </w:rPr>
        <w:t>2. Findings</w:t>
      </w:r>
    </w:p>
    <w:p w:rsidR="004C144C" w:rsidRPr="00126F23" w:rsidRDefault="00126F23">
      <w:pPr>
        <w:pStyle w:val="Heading3"/>
        <w:rPr>
          <w:color w:val="000000" w:themeColor="text1"/>
        </w:rPr>
      </w:pPr>
      <w:r w:rsidRPr="00126F23">
        <w:rPr>
          <w:color w:val="000000" w:themeColor="text1"/>
        </w:rPr>
        <w:t xml:space="preserve">2.1 Team Development and </w:t>
      </w:r>
      <w:r w:rsidRPr="00126F23">
        <w:rPr>
          <w:color w:val="000000" w:themeColor="text1"/>
        </w:rPr>
        <w:t>Collaborative Engagement</w:t>
      </w:r>
    </w:p>
    <w:p w:rsidR="004C144C" w:rsidRDefault="00126F23">
      <w:r>
        <w:t>Tuckman’s (1965) model of Forming, Storming, Norming, and Performing reframed my understanding of conflict within teams. During a group project, structured dialogue supported progression towards norming and improved performance. Ho</w:t>
      </w:r>
      <w:r>
        <w:t>wever, the model’s linear structure does not fully capture workplace complexity (Salas, Sims and Burke, 2015).</w:t>
      </w:r>
    </w:p>
    <w:p w:rsidR="004C144C" w:rsidRPr="00126F23" w:rsidRDefault="00126F23">
      <w:pPr>
        <w:pStyle w:val="Heading3"/>
        <w:rPr>
          <w:color w:val="000000" w:themeColor="text1"/>
        </w:rPr>
      </w:pPr>
      <w:r w:rsidRPr="00126F23">
        <w:rPr>
          <w:color w:val="000000" w:themeColor="text1"/>
        </w:rPr>
        <w:t>2.2 Role Awareness and Practical Collaboration</w:t>
      </w:r>
    </w:p>
    <w:p w:rsidR="004C144C" w:rsidRDefault="00126F23">
      <w:r>
        <w:t>Belbin (2010) emphasises complementary roles within teams. As an Implementer, I ensured task struc</w:t>
      </w:r>
      <w:r>
        <w:t>ture and deadline adherence. As a Teamworker, I fostered cohesion. I encouraged inclusive dialogue to strengthen collaboration, recognising behavioural flexibility is essential.</w:t>
      </w:r>
    </w:p>
    <w:p w:rsidR="004C144C" w:rsidRPr="00126F23" w:rsidRDefault="00126F23">
      <w:pPr>
        <w:pStyle w:val="Heading3"/>
        <w:rPr>
          <w:color w:val="000000" w:themeColor="text1"/>
        </w:rPr>
      </w:pPr>
      <w:r w:rsidRPr="00126F23">
        <w:rPr>
          <w:color w:val="000000" w:themeColor="text1"/>
        </w:rPr>
        <w:t>2.3 Communication, Trust and Shared Accountability</w:t>
      </w:r>
    </w:p>
    <w:p w:rsidR="004C144C" w:rsidRDefault="00126F23">
      <w:r>
        <w:t xml:space="preserve">Psychological safety </w:t>
      </w:r>
      <w:r>
        <w:t>supports innovation and engagement (West, 2012). I introduced regular check-ins to strengthen communication and transparency. Trust, identified as foundational to team effectiveness (Lencioni, 2002), was reinforced through shared accountability.</w:t>
      </w:r>
    </w:p>
    <w:p w:rsidR="004C144C" w:rsidRPr="00126F23" w:rsidRDefault="00126F23">
      <w:pPr>
        <w:pStyle w:val="Heading3"/>
        <w:rPr>
          <w:color w:val="000000" w:themeColor="text1"/>
        </w:rPr>
      </w:pPr>
      <w:r w:rsidRPr="00126F23">
        <w:rPr>
          <w:color w:val="000000" w:themeColor="text1"/>
        </w:rPr>
        <w:lastRenderedPageBreak/>
        <w:t>2.4 Self-E</w:t>
      </w:r>
      <w:r w:rsidRPr="00126F23">
        <w:rPr>
          <w:color w:val="000000" w:themeColor="text1"/>
        </w:rPr>
        <w:t>fficacy and Collaborative Confidence</w:t>
      </w:r>
    </w:p>
    <w:p w:rsidR="004C144C" w:rsidRDefault="00126F23">
      <w:r>
        <w:t>Bandura’s (1997) theory of self-efficacy explains how belief influences participation. Mastery experiences strengthened both individual and collective efficacy, enhancing engagement.</w:t>
      </w:r>
    </w:p>
    <w:p w:rsidR="004C144C" w:rsidRDefault="00126F23">
      <w:pPr>
        <w:pStyle w:val="Heading3"/>
      </w:pPr>
      <w:r w:rsidRPr="00126F23">
        <w:rPr>
          <w:color w:val="000000" w:themeColor="text1"/>
        </w:rPr>
        <w:t>2.5 Conflict as Collaborative Opport</w:t>
      </w:r>
      <w:r w:rsidRPr="00126F23">
        <w:rPr>
          <w:color w:val="000000" w:themeColor="text1"/>
        </w:rPr>
        <w:t>unity</w:t>
      </w:r>
    </w:p>
    <w:p w:rsidR="004C144C" w:rsidRDefault="00126F23">
      <w:r>
        <w:t>Rahim (2002) identifies integrative conflict management as constructive. Addressing workload imbalances through structured discussion reinforced accountability and cohesion.</w:t>
      </w:r>
    </w:p>
    <w:p w:rsidR="004C144C" w:rsidRPr="00126F23" w:rsidRDefault="00126F23">
      <w:pPr>
        <w:pStyle w:val="Heading3"/>
        <w:rPr>
          <w:color w:val="000000" w:themeColor="text1"/>
        </w:rPr>
      </w:pPr>
      <w:r w:rsidRPr="00126F23">
        <w:rPr>
          <w:color w:val="000000" w:themeColor="text1"/>
        </w:rPr>
        <w:t>2.6 Reflection as Sustained Collaborative Practice</w:t>
      </w:r>
    </w:p>
    <w:p w:rsidR="004C144C" w:rsidRDefault="00126F23">
      <w:r>
        <w:t xml:space="preserve">Gibbs’ (1988) Reflective </w:t>
      </w:r>
      <w:r>
        <w:t>Cycle and Moon’s (2006) reflective framework enabled critical evaluation of collaborative behaviour and continuous professional growth.</w:t>
      </w:r>
    </w:p>
    <w:p w:rsidR="004C144C" w:rsidRPr="00126F23" w:rsidRDefault="00126F23">
      <w:pPr>
        <w:pStyle w:val="Heading2"/>
        <w:rPr>
          <w:color w:val="000000" w:themeColor="text1"/>
        </w:rPr>
      </w:pPr>
      <w:r w:rsidRPr="00126F23">
        <w:rPr>
          <w:color w:val="000000" w:themeColor="text1"/>
        </w:rPr>
        <w:t>3. Conclusion</w:t>
      </w:r>
    </w:p>
    <w:p w:rsidR="004C144C" w:rsidRDefault="00126F23">
      <w:r>
        <w:t>Effective teamwork integrates developmental awareness, complementary roles, psychological safety, shared e</w:t>
      </w:r>
      <w:r>
        <w:t>fficacy, and constructive conflict management. Through theoretical engagement and applied practice, I have developed confidence in facilitating inclusive communication and collaborative accountability within professional contexts.</w:t>
      </w:r>
    </w:p>
    <w:p w:rsidR="004C144C" w:rsidRDefault="00126F23">
      <w:pPr>
        <w:pStyle w:val="Heading2"/>
      </w:pPr>
      <w:r w:rsidRPr="00126F23">
        <w:rPr>
          <w:color w:val="000000" w:themeColor="text1"/>
        </w:rPr>
        <w:t>4. Reference List</w:t>
      </w:r>
    </w:p>
    <w:p w:rsidR="004C144C" w:rsidRDefault="00126F23">
      <w:r>
        <w:rPr>
          <w:i/>
        </w:rPr>
        <w:t>Bandura</w:t>
      </w:r>
      <w:r>
        <w:rPr>
          <w:i/>
        </w:rPr>
        <w:t>, A. (1997) Self-efficacy: The exercise of control. New York: W.H. Freeman.</w:t>
      </w:r>
    </w:p>
    <w:p w:rsidR="004C144C" w:rsidRDefault="00126F23">
      <w:r>
        <w:rPr>
          <w:i/>
        </w:rPr>
        <w:t>Belbin, R.M. (2010) Team Roles at Work. 2nd edn. Oxford: Butterworth-Heinemann.</w:t>
      </w:r>
    </w:p>
    <w:p w:rsidR="004C144C" w:rsidRDefault="00126F23">
      <w:r>
        <w:rPr>
          <w:i/>
        </w:rPr>
        <w:t xml:space="preserve">Chartered Institute of Personnel and Development (CIPD) (2023) Employability and the labour market. </w:t>
      </w:r>
      <w:r>
        <w:rPr>
          <w:i/>
        </w:rPr>
        <w:t>London: CIPD.</w:t>
      </w:r>
    </w:p>
    <w:p w:rsidR="004C144C" w:rsidRDefault="00126F23">
      <w:r>
        <w:rPr>
          <w:i/>
        </w:rPr>
        <w:t>Gibbs, G. (1988) Learning by Doing. Oxford: Oxford Polytechnic.</w:t>
      </w:r>
    </w:p>
    <w:p w:rsidR="004C144C" w:rsidRDefault="00126F23">
      <w:r>
        <w:rPr>
          <w:i/>
        </w:rPr>
        <w:t>Lencioni, P. (2002) The Five Dysfunctions of a Team. San Francisco: Jossey-Bass.</w:t>
      </w:r>
    </w:p>
    <w:p w:rsidR="004C144C" w:rsidRDefault="00126F23">
      <w:r>
        <w:rPr>
          <w:i/>
        </w:rPr>
        <w:t>Moon, J.A. (2006) Learning Journals. 2nd edn. Abingdon: Routledge.</w:t>
      </w:r>
    </w:p>
    <w:p w:rsidR="004C144C" w:rsidRDefault="00126F23">
      <w:r>
        <w:rPr>
          <w:i/>
        </w:rPr>
        <w:t>Rahim, M.A. (2002) Toward a th</w:t>
      </w:r>
      <w:r>
        <w:rPr>
          <w:i/>
        </w:rPr>
        <w:t>eory of managing organizational conflict. International Journal of Conflict Management, 13(3), pp. 206–235.</w:t>
      </w:r>
    </w:p>
    <w:p w:rsidR="004C144C" w:rsidRDefault="00126F23">
      <w:r>
        <w:rPr>
          <w:i/>
        </w:rPr>
        <w:t>Salas, E., Sims, D.E. and Burke, C.S. (2015) Is there a Big Five in teamwork? Small Group Research, 36(5), pp. 555–599.</w:t>
      </w:r>
    </w:p>
    <w:p w:rsidR="004C144C" w:rsidRDefault="00126F23">
      <w:r>
        <w:rPr>
          <w:i/>
        </w:rPr>
        <w:lastRenderedPageBreak/>
        <w:t>Tuckman, B.W. (1965) Develop</w:t>
      </w:r>
      <w:r>
        <w:rPr>
          <w:i/>
        </w:rPr>
        <w:t>mental sequence in small groups. Psychological Bulletin, 63(6), pp. 384–399.</w:t>
      </w:r>
    </w:p>
    <w:p w:rsidR="004C144C" w:rsidRDefault="00126F23">
      <w:pPr>
        <w:rPr>
          <w:i/>
        </w:rPr>
      </w:pPr>
      <w:r>
        <w:rPr>
          <w:i/>
        </w:rPr>
        <w:t>West, M.A. (2012) Effective Teamwork. 3rd edn. Oxford: Wiley-Blackwell.</w:t>
      </w:r>
    </w:p>
    <w:p w:rsidR="00126F23" w:rsidRDefault="00126F23"/>
    <w:p w:rsidR="00126F23" w:rsidRDefault="00126F23" w:rsidP="00126F23">
      <w:pPr>
        <w:pStyle w:val="Heading3"/>
        <w:rPr>
          <w:sz w:val="27"/>
        </w:rPr>
      </w:pPr>
      <w:r>
        <w:t>AI Statement</w:t>
      </w:r>
    </w:p>
    <w:p w:rsidR="00126F23" w:rsidRDefault="00126F23" w:rsidP="00126F23">
      <w:pPr>
        <w:pStyle w:val="NormalWeb"/>
      </w:pPr>
      <w:r>
        <w:t>I confirm that this submission is entirely my own work. No artificial intelligence tools or generative software have been used in the production of this assignment. All research, critical analysis, and written content have been developed independently in accordance with UWTSD academic integrity guidelines.</w:t>
      </w:r>
    </w:p>
    <w:p w:rsidR="00126F23" w:rsidRDefault="00126F23">
      <w:bookmarkStart w:id="0" w:name="_GoBack"/>
      <w:bookmarkEnd w:id="0"/>
    </w:p>
    <w:sectPr w:rsidR="00126F23" w:rsidSect="00034616">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 w:name="Calibri">
    <w:panose1 w:val="020F0502020204030204"/>
    <w:charset w:val="00"/>
    <w:family w:val="swiss"/>
    <w:pitch w:val="variable"/>
    <w:sig w:usb0="E4002EFF" w:usb1="C0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Courier">
    <w:panose1 w:val="02070409020205020404"/>
    <w:charset w:val="00"/>
    <w:family w:val="auto"/>
    <w:pitch w:val="variable"/>
    <w:sig w:usb0="00000003" w:usb1="00000000" w:usb2="00000000" w:usb3="00000000" w:csb0="00000001"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FFFFFF7C"/>
    <w:multiLevelType w:val="singleLevel"/>
    <w:tmpl w:val="C310EC42"/>
    <w:lvl w:ilvl="0">
      <w:start w:val="1"/>
      <w:numFmt w:val="decimal"/>
      <w:lvlText w:val="%1."/>
      <w:lvlJc w:val="left"/>
      <w:pPr>
        <w:tabs>
          <w:tab w:val="num" w:pos="1800"/>
        </w:tabs>
        <w:ind w:left="1800" w:hanging="360"/>
      </w:pPr>
    </w:lvl>
  </w:abstractNum>
  <w:abstractNum w:abstractNumId="1" w15:restartNumberingAfterBreak="0">
    <w:nsid w:val="FFFFFF7D"/>
    <w:multiLevelType w:val="singleLevel"/>
    <w:tmpl w:val="E4089024"/>
    <w:lvl w:ilvl="0">
      <w:start w:val="1"/>
      <w:numFmt w:val="decimal"/>
      <w:lvlText w:val="%1."/>
      <w:lvlJc w:val="left"/>
      <w:pPr>
        <w:tabs>
          <w:tab w:val="num" w:pos="1440"/>
        </w:tabs>
        <w:ind w:left="1440" w:hanging="360"/>
      </w:pPr>
    </w:lvl>
  </w:abstractNum>
  <w:abstractNum w:abstractNumId="2" w15:restartNumberingAfterBreak="0">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15:restartNumberingAfterBreak="0">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15:restartNumberingAfterBreak="0">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15:restartNumberingAfterBreak="0">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15:restartNumberingAfterBreak="0">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15:restartNumberingAfterBreak="0">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15:restartNumberingAfterBreak="0">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47730"/>
    <w:rsid w:val="00034616"/>
    <w:rsid w:val="0006063C"/>
    <w:rsid w:val="00126F23"/>
    <w:rsid w:val="0015074B"/>
    <w:rsid w:val="0029639D"/>
    <w:rsid w:val="00326F90"/>
    <w:rsid w:val="004C144C"/>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14:docId w14:val="6A4C8693"/>
  <w14:defaultImageDpi w14:val="300"/>
  <w15:docId w15:val="{633FB354-C487-466B-A59B-E2B172A2521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Light" w:semiHidden="1" w:unhideWhenUsed="1"/>
    <w:lsdException w:name="Grid Table 1 Light" w:semiHidden="1" w:unhideWhenUsed="1"/>
    <w:lsdException w:name="Grid Table 2" w:semiHidden="1" w:unhideWhenUsed="1"/>
    <w:lsdException w:name="Grid Table 3" w:semiHidden="1" w:unhideWhenUsed="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FC693F"/>
    <w:pPr>
      <w:spacing w:after="0" w:line="360" w:lineRule="auto"/>
    </w:pPr>
    <w:rPr>
      <w:rFonts w:ascii="Times New Roman" w:hAnsi="Times New Roman"/>
      <w:sz w:val="24"/>
    </w:rPr>
  </w:style>
  <w:style w:type="paragraph" w:styleId="Heading1">
    <w:name w:val="heading 1"/>
    <w:basedOn w:val="Normal"/>
    <w:next w:val="Normal"/>
    <w:link w:val="Heading1Char"/>
    <w:uiPriority w:val="9"/>
    <w:qFormat/>
    <w:rsid w:val="00FC693F"/>
    <w:pPr>
      <w:keepNext/>
      <w:keepLines/>
      <w:spacing w:before="48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E618BF"/>
    <w:pPr>
      <w:tabs>
        <w:tab w:val="center" w:pos="4680"/>
        <w:tab w:val="right" w:pos="9360"/>
      </w:tabs>
      <w:spacing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line="240" w:lineRule="auto"/>
    </w:pPr>
  </w:style>
  <w:style w:type="character" w:customStyle="1" w:styleId="FooterChar">
    <w:name w:val="Footer Char"/>
    <w:basedOn w:val="DefaultParagraphFont"/>
    <w:link w:val="Footer"/>
    <w:uiPriority w:val="99"/>
    <w:rsid w:val="00E618BF"/>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Borders>
        <w:top w:val="single" w:sz="8" w:space="0" w:color="000000" w:themeColor="text1"/>
        <w:bottom w:val="single" w:sz="8" w:space="0" w:color="000000" w:themeColor="text1"/>
      </w:tblBorders>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Borders>
        <w:top w:val="single" w:sz="8" w:space="0" w:color="4F81BD" w:themeColor="accent1"/>
        <w:bottom w:val="single" w:sz="8" w:space="0" w:color="4F81BD" w:themeColor="accent1"/>
      </w:tblBorders>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Borders>
        <w:top w:val="single" w:sz="8" w:space="0" w:color="C0504D" w:themeColor="accent2"/>
        <w:bottom w:val="single" w:sz="8" w:space="0" w:color="C0504D" w:themeColor="accent2"/>
      </w:tblBorders>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Borders>
        <w:top w:val="single" w:sz="8" w:space="0" w:color="9BBB59" w:themeColor="accent3"/>
        <w:bottom w:val="single" w:sz="8" w:space="0" w:color="9BBB59" w:themeColor="accent3"/>
      </w:tblBorders>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Borders>
        <w:top w:val="single" w:sz="8" w:space="0" w:color="8064A2" w:themeColor="accent4"/>
        <w:bottom w:val="single" w:sz="8" w:space="0" w:color="8064A2" w:themeColor="accent4"/>
      </w:tblBorders>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Borders>
        <w:top w:val="single" w:sz="8" w:space="0" w:color="4BACC6" w:themeColor="accent5"/>
        <w:bottom w:val="single" w:sz="8" w:space="0" w:color="4BACC6" w:themeColor="accent5"/>
      </w:tblBorders>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Borders>
        <w:top w:val="single" w:sz="8" w:space="0" w:color="F79646" w:themeColor="accent6"/>
        <w:bottom w:val="single" w:sz="8" w:space="0" w:color="F79646" w:themeColor="accent6"/>
      </w:tblBorders>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tblBorders>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tblBorders>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tblBorders>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tblBorders>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tblBorders>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tblBorders>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Borders>
        <w:top w:val="single" w:sz="8" w:space="0" w:color="000000" w:themeColor="text1"/>
        <w:bottom w:val="single" w:sz="8" w:space="0" w:color="000000" w:themeColor="text1"/>
      </w:tblBorders>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Borders>
        <w:top w:val="single" w:sz="8" w:space="0" w:color="4F81BD" w:themeColor="accent1"/>
        <w:bottom w:val="single" w:sz="8" w:space="0" w:color="4F81BD" w:themeColor="accent1"/>
      </w:tblBorders>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Borders>
        <w:top w:val="single" w:sz="8" w:space="0" w:color="C0504D" w:themeColor="accent2"/>
        <w:bottom w:val="single" w:sz="8" w:space="0" w:color="C0504D" w:themeColor="accent2"/>
      </w:tblBorders>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Borders>
        <w:top w:val="single" w:sz="8" w:space="0" w:color="9BBB59" w:themeColor="accent3"/>
        <w:bottom w:val="single" w:sz="8" w:space="0" w:color="9BBB59" w:themeColor="accent3"/>
      </w:tblBorders>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Borders>
        <w:top w:val="single" w:sz="8" w:space="0" w:color="8064A2" w:themeColor="accent4"/>
        <w:bottom w:val="single" w:sz="8" w:space="0" w:color="8064A2" w:themeColor="accent4"/>
      </w:tblBorders>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Borders>
        <w:top w:val="single" w:sz="8" w:space="0" w:color="4BACC6" w:themeColor="accent5"/>
        <w:bottom w:val="single" w:sz="8" w:space="0" w:color="4BACC6" w:themeColor="accent5"/>
      </w:tblBorders>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Borders>
        <w:top w:val="single" w:sz="8" w:space="0" w:color="F79646" w:themeColor="accent6"/>
        <w:bottom w:val="single" w:sz="8" w:space="0" w:color="F79646" w:themeColor="accent6"/>
      </w:tblBorders>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tblBorders>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tblBorders>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tblBorders>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tblBorders>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tblBorders>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tblBorders>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paragraph" w:styleId="NormalWeb">
    <w:name w:val="Normal (Web)"/>
    <w:basedOn w:val="Normal"/>
    <w:uiPriority w:val="99"/>
    <w:semiHidden/>
    <w:unhideWhenUsed/>
    <w:rsid w:val="00126F23"/>
    <w:pPr>
      <w:spacing w:before="100" w:beforeAutospacing="1" w:after="100" w:afterAutospacing="1" w:line="240" w:lineRule="auto"/>
    </w:pPr>
    <w:rPr>
      <w:rFonts w:eastAsia="Times New Roman" w:cs="Times New Roman"/>
      <w:szCs w:val="24"/>
      <w:lang w:val="en-GB"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237400842">
      <w:bodyDiv w:val="1"/>
      <w:marLeft w:val="0"/>
      <w:marRight w:val="0"/>
      <w:marTop w:val="0"/>
      <w:marBottom w:val="0"/>
      <w:divBdr>
        <w:top w:val="none" w:sz="0" w:space="0" w:color="auto"/>
        <w:left w:val="none" w:sz="0" w:space="0" w:color="auto"/>
        <w:bottom w:val="none" w:sz="0" w:space="0" w:color="auto"/>
        <w:right w:val="none" w:sz="0" w:space="0" w:color="auto"/>
      </w:divBdr>
    </w:div>
  </w:divs>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image" Target="media/image1.png"/><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44DA017-7C83-4E28-B70B-CB9DD2CEA25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5</Pages>
  <Words>719</Words>
  <Characters>4104</Characters>
  <Application>Microsoft Office Word</Application>
  <DocSecurity>0</DocSecurity>
  <Lines>34</Lines>
  <Paragraphs>9</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4814</CharactersWithSpaces>
  <SharedDoc>false</SharedDoc>
  <HyperlinkBase/>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Samantha Kilvington (2508581)</cp:lastModifiedBy>
  <cp:revision>2</cp:revision>
  <dcterms:created xsi:type="dcterms:W3CDTF">2026-02-18T09:58:00Z</dcterms:created>
  <dcterms:modified xsi:type="dcterms:W3CDTF">2026-02-18T09:58:00Z</dcterms:modified>
  <cp:category/>
</cp:coreProperties>
</file>