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72F6" w:rsidRDefault="007772F6" w:rsidP="007772F6">
      <w:pPr>
        <w:jc w:val="center"/>
        <w:rPr>
          <w:rFonts w:ascii="Arial" w:hAnsi="Arial" w:cs="Arial"/>
          <w:b/>
          <w:lang w:val="cy-GB"/>
        </w:rPr>
      </w:pPr>
    </w:p>
    <w:p w:rsidR="007772F6" w:rsidRDefault="007772F6" w:rsidP="007772F6">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772F6" w:rsidTr="0050011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7772F6" w:rsidRDefault="007772F6" w:rsidP="00500114">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Student Name: Aaron Jack Barry</w:t>
            </w:r>
          </w:p>
          <w:p w:rsidR="007772F6" w:rsidRDefault="007772F6" w:rsidP="00500114">
            <w:pPr>
              <w:pStyle w:val="NormalWeb"/>
              <w:spacing w:before="0" w:beforeAutospacing="0" w:after="0" w:afterAutospacing="0" w:line="256" w:lineRule="auto"/>
              <w:ind w:right="34"/>
              <w:rPr>
                <w:rFonts w:ascii="Calibri" w:hAnsi="Calibri" w:cs="Tahoma"/>
                <w:i/>
                <w:sz w:val="24"/>
                <w:szCs w:val="24"/>
              </w:rPr>
            </w:pPr>
          </w:p>
        </w:tc>
      </w:tr>
      <w:tr w:rsidR="007772F6" w:rsidTr="0050011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7772F6" w:rsidRDefault="007772F6" w:rsidP="00500114">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Module Code: C</w:t>
            </w:r>
            <w:r>
              <w:rPr>
                <w:rFonts w:ascii="Calibri" w:hAnsi="Calibri" w:cs="Tahoma"/>
                <w:i/>
                <w:sz w:val="24"/>
                <w:szCs w:val="24"/>
              </w:rPr>
              <w:t>LSC6014</w:t>
            </w:r>
          </w:p>
          <w:p w:rsidR="007772F6" w:rsidRDefault="007772F6" w:rsidP="00500114">
            <w:pPr>
              <w:pStyle w:val="NormalWeb"/>
              <w:spacing w:before="0" w:beforeAutospacing="0" w:after="0" w:afterAutospacing="0" w:line="256" w:lineRule="auto"/>
              <w:ind w:right="34"/>
              <w:rPr>
                <w:rFonts w:ascii="Calibri" w:hAnsi="Calibri" w:cs="Tahoma"/>
                <w:i/>
                <w:sz w:val="24"/>
                <w:szCs w:val="24"/>
              </w:rPr>
            </w:pPr>
          </w:p>
          <w:p w:rsidR="007772F6" w:rsidRDefault="007772F6" w:rsidP="00500114">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 xml:space="preserve">Module title: </w:t>
            </w:r>
            <w:r>
              <w:rPr>
                <w:rFonts w:ascii="Calibri" w:hAnsi="Calibri" w:cs="Tahoma"/>
                <w:i/>
                <w:sz w:val="24"/>
                <w:szCs w:val="24"/>
              </w:rPr>
              <w:t>Court and Society</w:t>
            </w:r>
            <w:bookmarkStart w:id="0" w:name="_GoBack"/>
            <w:bookmarkEnd w:id="0"/>
          </w:p>
          <w:p w:rsidR="007772F6" w:rsidRDefault="007772F6" w:rsidP="00500114">
            <w:pPr>
              <w:pStyle w:val="NormalWeb"/>
              <w:spacing w:before="0" w:beforeAutospacing="0" w:after="0" w:afterAutospacing="0" w:line="256" w:lineRule="auto"/>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rsidR="007772F6" w:rsidRDefault="007772F6" w:rsidP="00500114">
            <w:pPr>
              <w:pStyle w:val="NormalWeb"/>
              <w:spacing w:before="0" w:beforeAutospacing="0" w:after="0" w:afterAutospacing="0" w:line="256" w:lineRule="auto"/>
              <w:ind w:right="34"/>
              <w:rPr>
                <w:rFonts w:ascii="Calibri" w:hAnsi="Calibri" w:cs="Tahoma"/>
                <w:i/>
                <w:sz w:val="24"/>
                <w:szCs w:val="24"/>
              </w:rPr>
            </w:pPr>
            <w:r>
              <w:rPr>
                <w:rFonts w:ascii="Calibri" w:hAnsi="Calibri" w:cs="Tahoma"/>
                <w:i/>
                <w:sz w:val="24"/>
                <w:szCs w:val="24"/>
              </w:rPr>
              <w:t>Student number: 1500670</w:t>
            </w:r>
          </w:p>
        </w:tc>
      </w:tr>
      <w:tr w:rsidR="007772F6" w:rsidTr="00500114">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7772F6" w:rsidRDefault="007772F6" w:rsidP="00500114">
            <w:pPr>
              <w:pStyle w:val="NormalWeb"/>
              <w:spacing w:before="0" w:beforeAutospacing="0" w:after="0" w:afterAutospacing="0" w:line="256" w:lineRule="auto"/>
              <w:rPr>
                <w:rFonts w:ascii="Calibri" w:hAnsi="Calibri" w:cs="Tahoma"/>
                <w:i/>
                <w:sz w:val="24"/>
                <w:szCs w:val="24"/>
              </w:rPr>
            </w:pPr>
            <w:r>
              <w:rPr>
                <w:rFonts w:ascii="Calibri" w:hAnsi="Calibri" w:cs="Tahoma"/>
                <w:i/>
                <w:sz w:val="24"/>
                <w:szCs w:val="24"/>
              </w:rPr>
              <w:t>For completion by marker:</w:t>
            </w:r>
          </w:p>
          <w:p w:rsidR="007772F6" w:rsidRDefault="007772F6" w:rsidP="00500114">
            <w:pPr>
              <w:pStyle w:val="NormalWeb"/>
              <w:spacing w:line="256" w:lineRule="auto"/>
              <w:rPr>
                <w:rFonts w:ascii="Calibri" w:hAnsi="Calibri" w:cs="Tahoma"/>
                <w:i/>
                <w:sz w:val="24"/>
                <w:szCs w:val="24"/>
              </w:rPr>
            </w:pPr>
            <w:r>
              <w:rPr>
                <w:rFonts w:ascii="Calibri" w:hAnsi="Calibri" w:cs="Tahoma"/>
                <w:i/>
                <w:sz w:val="24"/>
                <w:szCs w:val="24"/>
              </w:rPr>
              <w:t>Comments:</w:t>
            </w: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p w:rsidR="007772F6" w:rsidRDefault="007772F6" w:rsidP="00500114">
            <w:pPr>
              <w:pStyle w:val="NormalWeb"/>
              <w:spacing w:line="256" w:lineRule="auto"/>
              <w:rPr>
                <w:rFonts w:ascii="Calibri" w:hAnsi="Calibri" w:cs="Tahoma"/>
                <w:i/>
                <w:sz w:val="24"/>
                <w:szCs w:val="24"/>
              </w:rPr>
            </w:pPr>
          </w:p>
        </w:tc>
      </w:tr>
      <w:tr w:rsidR="007772F6" w:rsidTr="00500114">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7772F6" w:rsidRDefault="007772F6" w:rsidP="00500114">
            <w:pPr>
              <w:pStyle w:val="NormalWeb"/>
              <w:spacing w:beforeAutospacing="0" w:afterAutospacing="0" w:line="256" w:lineRule="auto"/>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7772F6" w:rsidRDefault="007772F6" w:rsidP="00500114">
            <w:pPr>
              <w:pStyle w:val="NormalWeb"/>
              <w:spacing w:beforeAutospacing="0" w:after="0" w:afterAutospacing="0" w:line="256" w:lineRule="auto"/>
              <w:ind w:left="142" w:right="34"/>
              <w:rPr>
                <w:rFonts w:ascii="Calibri" w:hAnsi="Calibri" w:cs="Tahoma"/>
                <w:i/>
                <w:sz w:val="24"/>
                <w:szCs w:val="24"/>
              </w:rPr>
            </w:pPr>
            <w:r>
              <w:rPr>
                <w:rFonts w:ascii="Calibri" w:hAnsi="Calibri" w:cs="Tahoma"/>
                <w:i/>
                <w:sz w:val="24"/>
                <w:szCs w:val="24"/>
              </w:rPr>
              <w:t>Date:</w:t>
            </w:r>
          </w:p>
        </w:tc>
      </w:tr>
      <w:tr w:rsidR="007772F6" w:rsidTr="00500114">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7772F6" w:rsidRDefault="007772F6" w:rsidP="00500114">
            <w:pPr>
              <w:pStyle w:val="NormalWeb"/>
              <w:spacing w:before="0" w:beforeAutospacing="0" w:after="0" w:afterAutospacing="0" w:line="256" w:lineRule="auto"/>
              <w:ind w:left="142" w:right="34"/>
              <w:rPr>
                <w:rFonts w:ascii="Calibri" w:hAnsi="Calibri" w:cs="Tahoma"/>
                <w:i/>
                <w:sz w:val="24"/>
                <w:szCs w:val="24"/>
              </w:rPr>
            </w:pPr>
            <w:r>
              <w:rPr>
                <w:rFonts w:ascii="Calibri" w:hAnsi="Calibri" w:cs="Tahoma"/>
                <w:i/>
                <w:sz w:val="24"/>
                <w:szCs w:val="24"/>
              </w:rPr>
              <w:t xml:space="preserve">Provisional mark: </w:t>
            </w:r>
          </w:p>
          <w:p w:rsidR="007772F6" w:rsidRDefault="007772F6" w:rsidP="00500114">
            <w:pPr>
              <w:pStyle w:val="NormalWeb"/>
              <w:spacing w:before="0" w:beforeAutospacing="0" w:after="0" w:afterAutospacing="0" w:line="256" w:lineRule="auto"/>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rsidR="007772F6" w:rsidRDefault="007772F6" w:rsidP="007772F6">
      <w:pPr>
        <w:jc w:val="center"/>
        <w:rPr>
          <w:b/>
          <w:sz w:val="28"/>
          <w:u w:val="single"/>
        </w:rPr>
      </w:pPr>
    </w:p>
    <w:p w:rsidR="007772F6" w:rsidRDefault="007772F6" w:rsidP="007772F6">
      <w:pPr>
        <w:jc w:val="center"/>
        <w:rPr>
          <w:b/>
          <w:sz w:val="28"/>
          <w:u w:val="single"/>
        </w:rPr>
      </w:pPr>
    </w:p>
    <w:p w:rsidR="007772F6" w:rsidRDefault="007772F6" w:rsidP="003F5B50">
      <w:pPr>
        <w:jc w:val="center"/>
        <w:rPr>
          <w:b/>
          <w:sz w:val="28"/>
          <w:u w:val="single"/>
        </w:rPr>
      </w:pPr>
    </w:p>
    <w:p w:rsidR="007772F6" w:rsidRDefault="007772F6" w:rsidP="003F5B50">
      <w:pPr>
        <w:jc w:val="center"/>
        <w:rPr>
          <w:b/>
          <w:sz w:val="28"/>
          <w:u w:val="single"/>
        </w:rPr>
      </w:pPr>
    </w:p>
    <w:p w:rsidR="007772F6" w:rsidRDefault="007772F6" w:rsidP="003F5B50">
      <w:pPr>
        <w:jc w:val="center"/>
        <w:rPr>
          <w:b/>
          <w:sz w:val="28"/>
          <w:u w:val="single"/>
        </w:rPr>
      </w:pPr>
    </w:p>
    <w:p w:rsidR="00580CE3" w:rsidRDefault="003F5B50" w:rsidP="003F5B50">
      <w:pPr>
        <w:jc w:val="center"/>
        <w:rPr>
          <w:b/>
          <w:sz w:val="28"/>
          <w:u w:val="single"/>
        </w:rPr>
      </w:pPr>
      <w:r w:rsidRPr="003F5B50">
        <w:rPr>
          <w:b/>
          <w:sz w:val="28"/>
          <w:u w:val="single"/>
        </w:rPr>
        <w:lastRenderedPageBreak/>
        <w:t>Court and Society Character Dossier</w:t>
      </w:r>
    </w:p>
    <w:p w:rsidR="003F5B50" w:rsidRDefault="003F5B50" w:rsidP="00762DE6">
      <w:pPr>
        <w:spacing w:line="360" w:lineRule="auto"/>
        <w:rPr>
          <w:sz w:val="24"/>
        </w:rPr>
      </w:pPr>
      <w:r>
        <w:rPr>
          <w:sz w:val="24"/>
        </w:rPr>
        <w:t xml:space="preserve">  My character will be playing as the ruler of Coele-Syria and</w:t>
      </w:r>
      <w:r w:rsidR="00764A96">
        <w:rPr>
          <w:sz w:val="24"/>
        </w:rPr>
        <w:t xml:space="preserve"> High P</w:t>
      </w:r>
      <w:r>
        <w:rPr>
          <w:sz w:val="24"/>
        </w:rPr>
        <w:t>riest of the Temple of Astarte in the region of Coele-Syria, based in Damascus. My character will be a Greek male, due to the fact that Coele-Syria is both a puppet of the Ptolemaic dynasty in Egypt, who are Greek descendants of Alexander’s conquests, and that the word ‘Coele’ is a Greek word literally translated as ‘Hollow’</w:t>
      </w:r>
      <w:r w:rsidR="00BD0DEE">
        <w:rPr>
          <w:sz w:val="24"/>
        </w:rPr>
        <w:t xml:space="preserve"> but originally from the Aramaic for ‘All Syria’</w:t>
      </w:r>
      <w:r w:rsidR="001D77E7">
        <w:rPr>
          <w:sz w:val="24"/>
        </w:rPr>
        <w:t>.</w:t>
      </w:r>
      <w:r w:rsidR="00BD0DEE">
        <w:rPr>
          <w:rStyle w:val="FootnoteReference"/>
          <w:sz w:val="24"/>
        </w:rPr>
        <w:footnoteReference w:id="1"/>
      </w:r>
      <w:r>
        <w:rPr>
          <w:sz w:val="24"/>
        </w:rPr>
        <w:t xml:space="preserve"> </w:t>
      </w:r>
      <w:r w:rsidR="00343158">
        <w:rPr>
          <w:sz w:val="24"/>
        </w:rPr>
        <w:t xml:space="preserve">It is important that my character is a Greek, </w:t>
      </w:r>
      <w:r w:rsidR="000654C7">
        <w:rPr>
          <w:sz w:val="24"/>
        </w:rPr>
        <w:t xml:space="preserve">both </w:t>
      </w:r>
      <w:r w:rsidR="00343158">
        <w:rPr>
          <w:sz w:val="24"/>
        </w:rPr>
        <w:t>due to the</w:t>
      </w:r>
      <w:r w:rsidR="000654C7">
        <w:rPr>
          <w:sz w:val="24"/>
        </w:rPr>
        <w:t xml:space="preserve"> fact that Coele-Syria and Phoenicia are pupp</w:t>
      </w:r>
      <w:r w:rsidR="00904E4F">
        <w:rPr>
          <w:sz w:val="24"/>
        </w:rPr>
        <w:t>ets of Egypt, and that</w:t>
      </w:r>
      <w:r w:rsidR="000654C7">
        <w:rPr>
          <w:sz w:val="24"/>
        </w:rPr>
        <w:t xml:space="preserve"> there are</w:t>
      </w:r>
      <w:r w:rsidR="00343158">
        <w:rPr>
          <w:sz w:val="24"/>
        </w:rPr>
        <w:t xml:space="preserve"> tensions between Egypt and Seleucia, both Greek territories,</w:t>
      </w:r>
      <w:r w:rsidR="00FF6842">
        <w:rPr>
          <w:sz w:val="24"/>
        </w:rPr>
        <w:t xml:space="preserve"> at this</w:t>
      </w:r>
      <w:r w:rsidR="00343158">
        <w:rPr>
          <w:sz w:val="24"/>
        </w:rPr>
        <w:t xml:space="preserve"> point in time</w:t>
      </w:r>
      <w:r w:rsidR="00FF6842">
        <w:rPr>
          <w:sz w:val="24"/>
        </w:rPr>
        <w:t xml:space="preserve"> (225 BC)</w:t>
      </w:r>
      <w:r w:rsidR="00343158">
        <w:rPr>
          <w:sz w:val="24"/>
        </w:rPr>
        <w:t>, after both have already fought wars over Coele-Syria and Phoenicia</w:t>
      </w:r>
      <w:r w:rsidR="00FF6842">
        <w:rPr>
          <w:sz w:val="24"/>
        </w:rPr>
        <w:t>, and would continue to fight over the territory until the Romans intervened, according to Livy</w:t>
      </w:r>
      <w:r w:rsidR="001D77E7">
        <w:rPr>
          <w:sz w:val="24"/>
        </w:rPr>
        <w:t>.</w:t>
      </w:r>
      <w:r w:rsidR="00343158">
        <w:rPr>
          <w:rStyle w:val="FootnoteReference"/>
          <w:sz w:val="24"/>
        </w:rPr>
        <w:footnoteReference w:id="2"/>
      </w:r>
    </w:p>
    <w:p w:rsidR="001528E4" w:rsidRDefault="001528E4" w:rsidP="00762DE6">
      <w:pPr>
        <w:spacing w:line="360" w:lineRule="auto"/>
        <w:rPr>
          <w:sz w:val="24"/>
        </w:rPr>
      </w:pPr>
      <w:r>
        <w:rPr>
          <w:sz w:val="24"/>
        </w:rPr>
        <w:t xml:space="preserve">  I have created my character to appear what I think a typical citizen of the Middle East would look like in the period of 225 BC. My character is a</w:t>
      </w:r>
      <w:r w:rsidR="00261347">
        <w:rPr>
          <w:sz w:val="24"/>
        </w:rPr>
        <w:t xml:space="preserve"> thirty five year old</w:t>
      </w:r>
      <w:r>
        <w:rPr>
          <w:sz w:val="24"/>
        </w:rPr>
        <w:t xml:space="preserve"> Greek male</w:t>
      </w:r>
      <w:r w:rsidR="00A22F9C">
        <w:rPr>
          <w:sz w:val="24"/>
        </w:rPr>
        <w:t xml:space="preserve"> measuring</w:t>
      </w:r>
      <w:r>
        <w:rPr>
          <w:sz w:val="24"/>
        </w:rPr>
        <w:t xml:space="preserve"> at about 5’8</w:t>
      </w:r>
      <w:r w:rsidR="00A22F9C">
        <w:rPr>
          <w:sz w:val="24"/>
        </w:rPr>
        <w:t xml:space="preserve">. He is called Apollonius as many of the </w:t>
      </w:r>
      <w:r w:rsidR="00550EA1">
        <w:rPr>
          <w:sz w:val="24"/>
        </w:rPr>
        <w:t>provincial</w:t>
      </w:r>
      <w:r w:rsidR="00A22F9C">
        <w:rPr>
          <w:sz w:val="24"/>
        </w:rPr>
        <w:t xml:space="preserve"> </w:t>
      </w:r>
      <w:r w:rsidR="00550EA1">
        <w:rPr>
          <w:sz w:val="24"/>
        </w:rPr>
        <w:t>governors</w:t>
      </w:r>
      <w:r w:rsidR="00A22F9C">
        <w:rPr>
          <w:sz w:val="24"/>
        </w:rPr>
        <w:t xml:space="preserve"> of Coele-Syria were named as such according to the Bible in 1 Maccabees</w:t>
      </w:r>
      <w:r w:rsidR="001D77E7">
        <w:rPr>
          <w:sz w:val="24"/>
        </w:rPr>
        <w:t>.</w:t>
      </w:r>
      <w:r w:rsidR="00A22F9C">
        <w:rPr>
          <w:rStyle w:val="FootnoteReference"/>
          <w:sz w:val="24"/>
        </w:rPr>
        <w:footnoteReference w:id="3"/>
      </w:r>
      <w:r w:rsidR="00A22F9C">
        <w:rPr>
          <w:sz w:val="24"/>
        </w:rPr>
        <w:t xml:space="preserve"> As he spends much of the day indoors at the temple, he does not have as dark a complexion as somebody who works outdoors, but he is still olive skinned as he was born in the region. Due to working at</w:t>
      </w:r>
      <w:r w:rsidR="00E9273E">
        <w:rPr>
          <w:sz w:val="24"/>
        </w:rPr>
        <w:t xml:space="preserve"> both</w:t>
      </w:r>
      <w:r w:rsidR="00A22F9C">
        <w:rPr>
          <w:sz w:val="24"/>
        </w:rPr>
        <w:t xml:space="preserve"> the temple</w:t>
      </w:r>
      <w:r w:rsidR="00E9273E">
        <w:rPr>
          <w:sz w:val="24"/>
        </w:rPr>
        <w:t xml:space="preserve"> and court</w:t>
      </w:r>
      <w:r w:rsidR="00A22F9C">
        <w:rPr>
          <w:sz w:val="24"/>
        </w:rPr>
        <w:t xml:space="preserve"> on a daily basis, he is not a slim man and feels he must start going outside more.</w:t>
      </w:r>
    </w:p>
    <w:p w:rsidR="00764A96" w:rsidRDefault="00764A96" w:rsidP="00762DE6">
      <w:pPr>
        <w:spacing w:line="360" w:lineRule="auto"/>
        <w:rPr>
          <w:sz w:val="24"/>
        </w:rPr>
      </w:pPr>
      <w:r>
        <w:rPr>
          <w:sz w:val="24"/>
        </w:rPr>
        <w:t xml:space="preserve">  My character is the ruler and High Priest of Astarte in the region of Coele-Syria</w:t>
      </w:r>
      <w:r w:rsidR="002C3095">
        <w:rPr>
          <w:sz w:val="24"/>
        </w:rPr>
        <w:t xml:space="preserve">. As the ruler of Coele-Syria, it is my job to keep the region stable and safe from any threats that may harm the region, be they from the Seleucids, the Egyptians, or internal; from the satrap within Coele-Syria or my partner in Phoenicia. </w:t>
      </w:r>
      <w:r w:rsidR="00F47A0D">
        <w:rPr>
          <w:sz w:val="24"/>
        </w:rPr>
        <w:t>This concern comes from the history of betrayal surrounding the Ptolemy’s and the fact that, as we are a puppet of them, they may try to influence our politics to gain full control of the region</w:t>
      </w:r>
      <w:r w:rsidR="001D77E7">
        <w:rPr>
          <w:sz w:val="24"/>
        </w:rPr>
        <w:t>.</w:t>
      </w:r>
      <w:r w:rsidR="0021040D">
        <w:rPr>
          <w:rStyle w:val="FootnoteReference"/>
          <w:sz w:val="24"/>
        </w:rPr>
        <w:footnoteReference w:id="4"/>
      </w:r>
      <w:r w:rsidR="00F47A0D">
        <w:rPr>
          <w:sz w:val="24"/>
        </w:rPr>
        <w:t xml:space="preserve"> </w:t>
      </w:r>
      <w:r w:rsidR="00732DB6">
        <w:rPr>
          <w:sz w:val="24"/>
        </w:rPr>
        <w:t xml:space="preserve">My other concern as a ruler is the management of the region. It is my job to manage the affairs of the court and lower </w:t>
      </w:r>
      <w:r w:rsidR="00732DB6">
        <w:rPr>
          <w:sz w:val="24"/>
        </w:rPr>
        <w:lastRenderedPageBreak/>
        <w:t>ranks alike, be it political concerns over trade and expansionism down to sorting disputes between farm</w:t>
      </w:r>
      <w:r w:rsidR="00035FCF">
        <w:rPr>
          <w:sz w:val="24"/>
        </w:rPr>
        <w:t>ers</w:t>
      </w:r>
      <w:r w:rsidR="00904E4F">
        <w:rPr>
          <w:sz w:val="24"/>
        </w:rPr>
        <w:t>,</w:t>
      </w:r>
      <w:r w:rsidR="00C87353">
        <w:rPr>
          <w:sz w:val="24"/>
        </w:rPr>
        <w:t xml:space="preserve"> as many rulers have been expected to throughout history.</w:t>
      </w:r>
    </w:p>
    <w:p w:rsidR="00261347" w:rsidRDefault="00E84788" w:rsidP="00762DE6">
      <w:pPr>
        <w:spacing w:line="360" w:lineRule="auto"/>
        <w:rPr>
          <w:sz w:val="24"/>
        </w:rPr>
      </w:pPr>
      <w:r>
        <w:rPr>
          <w:sz w:val="24"/>
        </w:rPr>
        <w:t xml:space="preserve">  My other job is to serve my deity as High Priest of Astarte</w:t>
      </w:r>
      <w:r w:rsidR="004A187B">
        <w:rPr>
          <w:sz w:val="24"/>
        </w:rPr>
        <w:t>, as religion and faith are very important to a healthy society</w:t>
      </w:r>
      <w:r>
        <w:rPr>
          <w:sz w:val="24"/>
        </w:rPr>
        <w:t>. Astarte is a goddess descended from Ishtar, a Babylonian</w:t>
      </w:r>
      <w:r w:rsidR="004105AE">
        <w:rPr>
          <w:sz w:val="24"/>
        </w:rPr>
        <w:t xml:space="preserve"> deity, and it is my job to</w:t>
      </w:r>
      <w:r w:rsidR="00C13688">
        <w:rPr>
          <w:sz w:val="24"/>
        </w:rPr>
        <w:t>,</w:t>
      </w:r>
      <w:r w:rsidR="004105AE">
        <w:rPr>
          <w:sz w:val="24"/>
        </w:rPr>
        <w:t xml:space="preserve"> firstly, minister to the</w:t>
      </w:r>
      <w:r w:rsidR="00C13688">
        <w:rPr>
          <w:sz w:val="24"/>
        </w:rPr>
        <w:t xml:space="preserve"> followers of the religion, and to, secondly</w:t>
      </w:r>
      <w:r w:rsidR="00340E6C">
        <w:rPr>
          <w:sz w:val="24"/>
        </w:rPr>
        <w:t>, faithfully</w:t>
      </w:r>
      <w:r w:rsidR="00C13688">
        <w:rPr>
          <w:sz w:val="24"/>
        </w:rPr>
        <w:t xml:space="preserve"> serve Astarte in life at the temple and in court</w:t>
      </w:r>
      <w:r w:rsidR="001D77E7">
        <w:rPr>
          <w:sz w:val="24"/>
        </w:rPr>
        <w:t>.</w:t>
      </w:r>
      <w:r w:rsidR="00340E6C">
        <w:rPr>
          <w:rStyle w:val="FootnoteReference"/>
          <w:sz w:val="24"/>
        </w:rPr>
        <w:footnoteReference w:id="5"/>
      </w:r>
      <w:r w:rsidR="00407CAB">
        <w:rPr>
          <w:sz w:val="24"/>
        </w:rPr>
        <w:t xml:space="preserve"> It will be my job to organise and oversee any festivals held in her name and to keep track of her religious </w:t>
      </w:r>
      <w:r w:rsidR="004A187B">
        <w:rPr>
          <w:sz w:val="24"/>
        </w:rPr>
        <w:t>occasions during the year.</w:t>
      </w:r>
    </w:p>
    <w:p w:rsidR="00261347" w:rsidRDefault="00261347" w:rsidP="00762DE6">
      <w:pPr>
        <w:spacing w:line="360" w:lineRule="auto"/>
        <w:rPr>
          <w:sz w:val="24"/>
        </w:rPr>
      </w:pPr>
      <w:r>
        <w:rPr>
          <w:sz w:val="24"/>
        </w:rPr>
        <w:t xml:space="preserve">  My character has three aims and objectives he wishes to accomplish in his life. </w:t>
      </w:r>
      <w:r w:rsidR="000045AD">
        <w:rPr>
          <w:sz w:val="24"/>
        </w:rPr>
        <w:t>Firstly, as Coele-Syria has historically been fought over many times before, he wishes to stop that fighting and turn the region into a prosperous trade route between two empires. The</w:t>
      </w:r>
      <w:r w:rsidR="0006223E">
        <w:rPr>
          <w:sz w:val="24"/>
        </w:rPr>
        <w:t xml:space="preserve"> historical precedence for creating a trade route between two great empires is the ‘Silk Road’, stretching from China to Turkey.</w:t>
      </w:r>
      <w:r w:rsidR="0006223E">
        <w:rPr>
          <w:rStyle w:val="FootnoteReference"/>
          <w:sz w:val="24"/>
        </w:rPr>
        <w:footnoteReference w:id="6"/>
      </w:r>
      <w:r w:rsidR="00EA304E">
        <w:rPr>
          <w:sz w:val="24"/>
        </w:rPr>
        <w:t>My character believes that prosperous trade will make the region a target of foreign invasions, but due to both the Seleucid Empire</w:t>
      </w:r>
      <w:r w:rsidR="001947E9">
        <w:rPr>
          <w:sz w:val="24"/>
        </w:rPr>
        <w:t xml:space="preserve"> and Ptolemaic Kingdom</w:t>
      </w:r>
      <w:r w:rsidR="00EA304E">
        <w:rPr>
          <w:sz w:val="24"/>
        </w:rPr>
        <w:t xml:space="preserve"> benefitting from the trade route, they will help Coele-Syria and Phoenicia in times of need.</w:t>
      </w:r>
    </w:p>
    <w:p w:rsidR="0072200F" w:rsidRDefault="00830752" w:rsidP="00762DE6">
      <w:pPr>
        <w:spacing w:line="360" w:lineRule="auto"/>
        <w:rPr>
          <w:sz w:val="24"/>
        </w:rPr>
      </w:pPr>
      <w:r>
        <w:rPr>
          <w:sz w:val="24"/>
        </w:rPr>
        <w:t xml:space="preserve">  My character’s second aim is to fortify the parts of the region on the Euphrates River that the Seleucid Empire borders next to Coele-Syria, as the threat of Seleucid invasion is very real and potentially imminent. The river will act as a brilliant barrier and deterrent against the Seleucids invading through Coele-Syria and disrupting both the trade and infrastructure of the region.</w:t>
      </w:r>
      <w:r w:rsidR="00ED374E">
        <w:rPr>
          <w:rStyle w:val="FootnoteReference"/>
          <w:sz w:val="24"/>
        </w:rPr>
        <w:footnoteReference w:id="7"/>
      </w:r>
      <w:r w:rsidR="00EF0ECA">
        <w:rPr>
          <w:sz w:val="24"/>
        </w:rPr>
        <w:t xml:space="preserve"> However, my character understands that this will take far more money and manpower than Coele-Syria has, therefore he will look to the Ptolemy’s for aid, as this benefits them as well.</w:t>
      </w:r>
      <w:r w:rsidR="00615250">
        <w:rPr>
          <w:sz w:val="24"/>
        </w:rPr>
        <w:t xml:space="preserve"> Historical precedence for fortifying </w:t>
      </w:r>
      <w:r w:rsidR="007075A9">
        <w:rPr>
          <w:sz w:val="24"/>
        </w:rPr>
        <w:t>this area of the region can be seen in the Roman fortress of Zenobia and the more recent fortification</w:t>
      </w:r>
      <w:r w:rsidR="00904E4F">
        <w:rPr>
          <w:sz w:val="24"/>
        </w:rPr>
        <w:t>s</w:t>
      </w:r>
      <w:r w:rsidR="0072200F">
        <w:rPr>
          <w:sz w:val="24"/>
        </w:rPr>
        <w:t xml:space="preserve"> built by NATO forces in Syria.</w:t>
      </w:r>
    </w:p>
    <w:p w:rsidR="0072200F" w:rsidRDefault="0072200F" w:rsidP="00762DE6">
      <w:pPr>
        <w:spacing w:line="360" w:lineRule="auto"/>
        <w:rPr>
          <w:sz w:val="24"/>
        </w:rPr>
      </w:pPr>
    </w:p>
    <w:p w:rsidR="0072200F" w:rsidRDefault="0072200F" w:rsidP="00762DE6">
      <w:pPr>
        <w:spacing w:line="360" w:lineRule="auto"/>
        <w:rPr>
          <w:sz w:val="24"/>
        </w:rPr>
      </w:pPr>
    </w:p>
    <w:p w:rsidR="00ED374E" w:rsidRDefault="00ED374E" w:rsidP="00762DE6">
      <w:pPr>
        <w:spacing w:line="360" w:lineRule="auto"/>
        <w:rPr>
          <w:sz w:val="24"/>
        </w:rPr>
      </w:pPr>
      <w:r>
        <w:rPr>
          <w:sz w:val="24"/>
        </w:rPr>
        <w:lastRenderedPageBreak/>
        <w:t xml:space="preserve">  My character’s third and final aim is to make sure that Coele-Syria and Phoenicia survive to become prosperous nations. Coele-Syria has been treated like a battlefield between the Sele</w:t>
      </w:r>
      <w:r w:rsidR="001947E9">
        <w:rPr>
          <w:sz w:val="24"/>
        </w:rPr>
        <w:t>ucid Empire and Ptolemaic Kingdom</w:t>
      </w:r>
      <w:r>
        <w:rPr>
          <w:sz w:val="24"/>
        </w:rPr>
        <w:t xml:space="preserve"> for far too long, and he wishes to see his homeland free </w:t>
      </w:r>
      <w:r w:rsidR="001947E9">
        <w:rPr>
          <w:sz w:val="24"/>
        </w:rPr>
        <w:t xml:space="preserve">from both of the neighbouring powers. Therefore, he will attempt to free Coele-Syria through either diplomatic means or subterfuge and espionage against the Ptolemaic </w:t>
      </w:r>
      <w:r w:rsidR="00E02FE7">
        <w:rPr>
          <w:sz w:val="24"/>
        </w:rPr>
        <w:t>Kingdom</w:t>
      </w:r>
      <w:r w:rsidR="001947E9">
        <w:rPr>
          <w:sz w:val="24"/>
        </w:rPr>
        <w:t xml:space="preserve">. My character understands that, once this has happened, there will be nothing to stop the Seleucid Empire from taking Coele-Syria and Phoenicia by force, which is why my character will bide his time and wait for another conflict to erupt between the Seleucids and Ptolemy’s, then use the ensuing turmoil to break free. The Romans could also be convinced to help in this endeavour, </w:t>
      </w:r>
      <w:r w:rsidR="00595131">
        <w:rPr>
          <w:sz w:val="24"/>
        </w:rPr>
        <w:t xml:space="preserve">probably for a steep price. The historical precedence for this action </w:t>
      </w:r>
      <w:r w:rsidR="001D2FAD">
        <w:rPr>
          <w:sz w:val="24"/>
        </w:rPr>
        <w:t>can be seen one hundred years earlier when Macedon conquered Athens</w:t>
      </w:r>
      <w:r w:rsidR="004E4448">
        <w:rPr>
          <w:sz w:val="24"/>
        </w:rPr>
        <w:t xml:space="preserve"> and then had to face revolts from A</w:t>
      </w:r>
      <w:r w:rsidR="001C6AEF">
        <w:rPr>
          <w:sz w:val="24"/>
        </w:rPr>
        <w:t>thenians who wanted to be free.</w:t>
      </w:r>
      <w:r w:rsidR="001C6AEF">
        <w:rPr>
          <w:rStyle w:val="FootnoteReference"/>
          <w:sz w:val="24"/>
        </w:rPr>
        <w:footnoteReference w:id="8"/>
      </w:r>
    </w:p>
    <w:p w:rsidR="001C6AEF" w:rsidRDefault="001C6AEF" w:rsidP="00762DE6">
      <w:pPr>
        <w:spacing w:line="360" w:lineRule="auto"/>
        <w:rPr>
          <w:sz w:val="24"/>
        </w:rPr>
      </w:pPr>
      <w:r>
        <w:rPr>
          <w:sz w:val="24"/>
        </w:rPr>
        <w:t xml:space="preserve">  As stated earlier, my character wishes to build fortification</w:t>
      </w:r>
      <w:r w:rsidR="00DD76B0">
        <w:rPr>
          <w:sz w:val="24"/>
        </w:rPr>
        <w:t>s</w:t>
      </w:r>
      <w:r>
        <w:rPr>
          <w:sz w:val="24"/>
        </w:rPr>
        <w:t xml:space="preserve"> along the Euphrates </w:t>
      </w:r>
      <w:r w:rsidR="00DD76B0">
        <w:rPr>
          <w:sz w:val="24"/>
        </w:rPr>
        <w:t>River</w:t>
      </w:r>
      <w:r>
        <w:rPr>
          <w:sz w:val="24"/>
        </w:rPr>
        <w:t xml:space="preserve"> that borders the Seleucid Empire, therefor</w:t>
      </w:r>
      <w:r w:rsidR="00DD76B0">
        <w:rPr>
          <w:sz w:val="24"/>
        </w:rPr>
        <w:t xml:space="preserve">e, he will petition the Ptolemaic </w:t>
      </w:r>
      <w:r>
        <w:rPr>
          <w:sz w:val="24"/>
        </w:rPr>
        <w:t>royal court to give him aid and manpower to undertake the project</w:t>
      </w:r>
      <w:r w:rsidR="00675565">
        <w:rPr>
          <w:sz w:val="24"/>
        </w:rPr>
        <w:t xml:space="preserve">, as it will help slow down any Seleucid invasion and also allow more Egyptian soldiers to be stationed on the border against the Seleucids, if they so wish. In exchange, the Ptolemy’s will get </w:t>
      </w:r>
      <w:r>
        <w:rPr>
          <w:sz w:val="24"/>
        </w:rPr>
        <w:t xml:space="preserve">a greater share of the profits that are made from the trade route through Coele-Syria and Phoenicia. </w:t>
      </w:r>
    </w:p>
    <w:p w:rsidR="001C6AEF" w:rsidRDefault="001C6AEF" w:rsidP="003F5B50">
      <w:pPr>
        <w:rPr>
          <w:sz w:val="24"/>
        </w:rPr>
      </w:pPr>
    </w:p>
    <w:p w:rsidR="001C6AEF" w:rsidRDefault="001C6AEF" w:rsidP="003F5B50">
      <w:pPr>
        <w:rPr>
          <w:sz w:val="24"/>
        </w:rPr>
      </w:pPr>
    </w:p>
    <w:p w:rsidR="00762DE6" w:rsidRDefault="00762DE6" w:rsidP="003F5B50">
      <w:pPr>
        <w:rPr>
          <w:b/>
          <w:sz w:val="24"/>
          <w:u w:val="single"/>
        </w:rPr>
      </w:pPr>
    </w:p>
    <w:p w:rsidR="00762DE6" w:rsidRDefault="00762DE6" w:rsidP="003F5B50">
      <w:pPr>
        <w:rPr>
          <w:b/>
          <w:sz w:val="24"/>
          <w:u w:val="single"/>
        </w:rPr>
      </w:pPr>
    </w:p>
    <w:p w:rsidR="00762DE6" w:rsidRDefault="00762DE6" w:rsidP="003F5B50">
      <w:pPr>
        <w:rPr>
          <w:b/>
          <w:sz w:val="24"/>
          <w:u w:val="single"/>
        </w:rPr>
      </w:pPr>
    </w:p>
    <w:p w:rsidR="00762DE6" w:rsidRDefault="00762DE6" w:rsidP="003F5B50">
      <w:pPr>
        <w:rPr>
          <w:b/>
          <w:sz w:val="24"/>
          <w:u w:val="single"/>
        </w:rPr>
      </w:pPr>
    </w:p>
    <w:p w:rsidR="00762DE6" w:rsidRDefault="00762DE6" w:rsidP="003F5B50">
      <w:pPr>
        <w:rPr>
          <w:b/>
          <w:sz w:val="24"/>
          <w:u w:val="single"/>
        </w:rPr>
      </w:pPr>
    </w:p>
    <w:p w:rsidR="00762DE6" w:rsidRDefault="00762DE6" w:rsidP="003F5B50">
      <w:pPr>
        <w:rPr>
          <w:b/>
          <w:sz w:val="24"/>
          <w:u w:val="single"/>
        </w:rPr>
      </w:pPr>
    </w:p>
    <w:p w:rsidR="00762DE6" w:rsidRDefault="00762DE6" w:rsidP="003F5B50">
      <w:pPr>
        <w:rPr>
          <w:b/>
          <w:sz w:val="24"/>
          <w:u w:val="single"/>
        </w:rPr>
      </w:pPr>
    </w:p>
    <w:p w:rsidR="00762DE6" w:rsidRDefault="00762DE6" w:rsidP="003F5B50">
      <w:pPr>
        <w:rPr>
          <w:b/>
          <w:sz w:val="24"/>
          <w:u w:val="single"/>
        </w:rPr>
      </w:pPr>
    </w:p>
    <w:p w:rsidR="00BD0DEE" w:rsidRDefault="00BD0DEE" w:rsidP="003F5B50">
      <w:pPr>
        <w:rPr>
          <w:b/>
          <w:sz w:val="24"/>
          <w:u w:val="single"/>
        </w:rPr>
      </w:pPr>
      <w:r w:rsidRPr="00BD0DEE">
        <w:rPr>
          <w:b/>
          <w:sz w:val="24"/>
          <w:u w:val="single"/>
        </w:rPr>
        <w:lastRenderedPageBreak/>
        <w:t>Bibliography</w:t>
      </w:r>
    </w:p>
    <w:p w:rsidR="001C6AEF" w:rsidRPr="001C6AEF" w:rsidRDefault="001C6AEF" w:rsidP="003F5B50">
      <w:pPr>
        <w:rPr>
          <w:b/>
          <w:color w:val="000000" w:themeColor="text1"/>
          <w:sz w:val="32"/>
          <w:u w:val="single"/>
        </w:rPr>
      </w:pPr>
      <w:r w:rsidRPr="001C6AEF">
        <w:rPr>
          <w:rFonts w:cs="Open Sans"/>
          <w:color w:val="000000" w:themeColor="text1"/>
          <w:sz w:val="24"/>
          <w:szCs w:val="20"/>
          <w:shd w:val="clear" w:color="auto" w:fill="FFFFFF"/>
        </w:rPr>
        <w:t>Atkinson, J. (1981). MACEDON AND ATHENIAN POLITICS IN THE PERIOD 338 TO 323 BC. </w:t>
      </w:r>
      <w:proofErr w:type="spellStart"/>
      <w:r w:rsidRPr="001C6AEF">
        <w:rPr>
          <w:rFonts w:cs="Open Sans"/>
          <w:i/>
          <w:iCs/>
          <w:color w:val="000000" w:themeColor="text1"/>
          <w:sz w:val="24"/>
          <w:szCs w:val="20"/>
          <w:shd w:val="clear" w:color="auto" w:fill="FFFFFF"/>
        </w:rPr>
        <w:t>Acta</w:t>
      </w:r>
      <w:proofErr w:type="spellEnd"/>
      <w:r w:rsidRPr="001C6AEF">
        <w:rPr>
          <w:rFonts w:cs="Open Sans"/>
          <w:i/>
          <w:iCs/>
          <w:color w:val="000000" w:themeColor="text1"/>
          <w:sz w:val="24"/>
          <w:szCs w:val="20"/>
          <w:shd w:val="clear" w:color="auto" w:fill="FFFFFF"/>
        </w:rPr>
        <w:t xml:space="preserve"> </w:t>
      </w:r>
      <w:proofErr w:type="spellStart"/>
      <w:r w:rsidRPr="001C6AEF">
        <w:rPr>
          <w:rFonts w:cs="Open Sans"/>
          <w:i/>
          <w:iCs/>
          <w:color w:val="000000" w:themeColor="text1"/>
          <w:sz w:val="24"/>
          <w:szCs w:val="20"/>
          <w:shd w:val="clear" w:color="auto" w:fill="FFFFFF"/>
        </w:rPr>
        <w:t>Classica</w:t>
      </w:r>
      <w:proofErr w:type="spellEnd"/>
      <w:r w:rsidRPr="001C6AEF">
        <w:rPr>
          <w:rFonts w:cs="Open Sans"/>
          <w:color w:val="000000" w:themeColor="text1"/>
          <w:sz w:val="24"/>
          <w:szCs w:val="20"/>
          <w:shd w:val="clear" w:color="auto" w:fill="FFFFFF"/>
        </w:rPr>
        <w:t>. [</w:t>
      </w:r>
      <w:proofErr w:type="gramStart"/>
      <w:r w:rsidRPr="001C6AEF">
        <w:rPr>
          <w:rFonts w:cs="Open Sans"/>
          <w:color w:val="000000" w:themeColor="text1"/>
          <w:sz w:val="24"/>
          <w:szCs w:val="20"/>
          <w:shd w:val="clear" w:color="auto" w:fill="FFFFFF"/>
        </w:rPr>
        <w:t>online</w:t>
      </w:r>
      <w:proofErr w:type="gramEnd"/>
      <w:r w:rsidRPr="001C6AEF">
        <w:rPr>
          <w:rFonts w:cs="Open Sans"/>
          <w:color w:val="000000" w:themeColor="text1"/>
          <w:sz w:val="24"/>
          <w:szCs w:val="20"/>
          <w:shd w:val="clear" w:color="auto" w:fill="FFFFFF"/>
        </w:rPr>
        <w:t>] Available at: http://www.casa-kvsa.org.za/1981/AC24-02-Atkinson.pdf [Accessed 6 Feb. 2018].</w:t>
      </w:r>
    </w:p>
    <w:p w:rsidR="00407CAB" w:rsidRDefault="00407CAB" w:rsidP="003F5B50">
      <w:pPr>
        <w:rPr>
          <w:rFonts w:cs="Open Sans"/>
          <w:color w:val="000000" w:themeColor="text1"/>
          <w:sz w:val="24"/>
          <w:szCs w:val="20"/>
          <w:shd w:val="clear" w:color="auto" w:fill="FFFFFF"/>
        </w:rPr>
      </w:pPr>
      <w:proofErr w:type="spellStart"/>
      <w:r w:rsidRPr="00407CAB">
        <w:rPr>
          <w:rFonts w:cs="Open Sans"/>
          <w:color w:val="000000" w:themeColor="text1"/>
          <w:sz w:val="24"/>
          <w:szCs w:val="20"/>
          <w:shd w:val="clear" w:color="auto" w:fill="FFFFFF"/>
        </w:rPr>
        <w:t>Budin</w:t>
      </w:r>
      <w:proofErr w:type="spellEnd"/>
      <w:r w:rsidRPr="00407CAB">
        <w:rPr>
          <w:rFonts w:cs="Open Sans"/>
          <w:color w:val="000000" w:themeColor="text1"/>
          <w:sz w:val="24"/>
          <w:szCs w:val="20"/>
          <w:shd w:val="clear" w:color="auto" w:fill="FFFFFF"/>
        </w:rPr>
        <w:t>, S. (2004). A Reconsideration of the Aphrodite-</w:t>
      </w:r>
      <w:proofErr w:type="spellStart"/>
      <w:r w:rsidRPr="00407CAB">
        <w:rPr>
          <w:rFonts w:cs="Open Sans"/>
          <w:color w:val="000000" w:themeColor="text1"/>
          <w:sz w:val="24"/>
          <w:szCs w:val="20"/>
          <w:shd w:val="clear" w:color="auto" w:fill="FFFFFF"/>
        </w:rPr>
        <w:t>Ashtart</w:t>
      </w:r>
      <w:proofErr w:type="spellEnd"/>
      <w:r w:rsidRPr="00407CAB">
        <w:rPr>
          <w:rFonts w:cs="Open Sans"/>
          <w:color w:val="000000" w:themeColor="text1"/>
          <w:sz w:val="24"/>
          <w:szCs w:val="20"/>
          <w:shd w:val="clear" w:color="auto" w:fill="FFFFFF"/>
        </w:rPr>
        <w:t xml:space="preserve"> Syncretism. </w:t>
      </w:r>
      <w:r w:rsidRPr="00407CAB">
        <w:rPr>
          <w:rFonts w:cs="Open Sans"/>
          <w:i/>
          <w:iCs/>
          <w:color w:val="000000" w:themeColor="text1"/>
          <w:sz w:val="24"/>
          <w:szCs w:val="20"/>
          <w:shd w:val="clear" w:color="auto" w:fill="FFFFFF"/>
        </w:rPr>
        <w:t>Numen</w:t>
      </w:r>
      <w:r w:rsidRPr="00407CAB">
        <w:rPr>
          <w:rFonts w:cs="Open Sans"/>
          <w:color w:val="000000" w:themeColor="text1"/>
          <w:sz w:val="24"/>
          <w:szCs w:val="20"/>
          <w:shd w:val="clear" w:color="auto" w:fill="FFFFFF"/>
        </w:rPr>
        <w:t>, 51(2), pp.95-145.</w:t>
      </w:r>
    </w:p>
    <w:p w:rsidR="0006223E" w:rsidRPr="0006223E" w:rsidRDefault="0006223E" w:rsidP="003F5B50">
      <w:pPr>
        <w:rPr>
          <w:b/>
          <w:color w:val="000000" w:themeColor="text1"/>
          <w:sz w:val="40"/>
          <w:u w:val="single"/>
        </w:rPr>
      </w:pPr>
      <w:proofErr w:type="spellStart"/>
      <w:r w:rsidRPr="0006223E">
        <w:rPr>
          <w:rFonts w:cs="Open Sans"/>
          <w:color w:val="000000" w:themeColor="text1"/>
          <w:sz w:val="24"/>
          <w:szCs w:val="20"/>
          <w:shd w:val="clear" w:color="auto" w:fill="FFFFFF"/>
        </w:rPr>
        <w:t>Elisseeff</w:t>
      </w:r>
      <w:proofErr w:type="spellEnd"/>
      <w:r w:rsidRPr="0006223E">
        <w:rPr>
          <w:rFonts w:cs="Open Sans"/>
          <w:color w:val="000000" w:themeColor="text1"/>
          <w:sz w:val="24"/>
          <w:szCs w:val="20"/>
          <w:shd w:val="clear" w:color="auto" w:fill="FFFFFF"/>
        </w:rPr>
        <w:t>, V. (2000). </w:t>
      </w:r>
      <w:r w:rsidRPr="0006223E">
        <w:rPr>
          <w:rFonts w:cs="Open Sans"/>
          <w:i/>
          <w:iCs/>
          <w:color w:val="000000" w:themeColor="text1"/>
          <w:sz w:val="24"/>
          <w:szCs w:val="20"/>
          <w:shd w:val="clear" w:color="auto" w:fill="FFFFFF"/>
        </w:rPr>
        <w:t>The silk roads highways of culture and commerce</w:t>
      </w:r>
      <w:r w:rsidRPr="0006223E">
        <w:rPr>
          <w:rFonts w:cs="Open Sans"/>
          <w:color w:val="000000" w:themeColor="text1"/>
          <w:sz w:val="24"/>
          <w:szCs w:val="20"/>
          <w:shd w:val="clear" w:color="auto" w:fill="FFFFFF"/>
        </w:rPr>
        <w:t>. Paris: UNESCO.</w:t>
      </w:r>
    </w:p>
    <w:p w:rsidR="00BD0DEE" w:rsidRDefault="00BD0DEE" w:rsidP="00BD0DEE">
      <w:pPr>
        <w:rPr>
          <w:sz w:val="24"/>
        </w:rPr>
      </w:pPr>
      <w:proofErr w:type="spellStart"/>
      <w:r w:rsidRPr="00A22F9C">
        <w:rPr>
          <w:sz w:val="24"/>
        </w:rPr>
        <w:t>Grabbe</w:t>
      </w:r>
      <w:proofErr w:type="spellEnd"/>
      <w:r w:rsidRPr="00A22F9C">
        <w:rPr>
          <w:sz w:val="24"/>
        </w:rPr>
        <w:t>, L. (2006). </w:t>
      </w:r>
      <w:r w:rsidRPr="00A22F9C">
        <w:rPr>
          <w:i/>
          <w:sz w:val="24"/>
        </w:rPr>
        <w:t>A history of the Jews and Judaism in the Second Temple period</w:t>
      </w:r>
      <w:r w:rsidRPr="00A22F9C">
        <w:rPr>
          <w:sz w:val="24"/>
        </w:rPr>
        <w:t>. London: T &amp; T Clark, p.173.</w:t>
      </w:r>
    </w:p>
    <w:p w:rsidR="001F2B74" w:rsidRDefault="001F2B74" w:rsidP="001F2B74">
      <w:pPr>
        <w:rPr>
          <w:color w:val="000000" w:themeColor="text1"/>
          <w:sz w:val="24"/>
        </w:rPr>
      </w:pPr>
      <w:proofErr w:type="spellStart"/>
      <w:r w:rsidRPr="001F2B74">
        <w:rPr>
          <w:color w:val="000000" w:themeColor="text1"/>
          <w:sz w:val="24"/>
        </w:rPr>
        <w:t>Justinus</w:t>
      </w:r>
      <w:proofErr w:type="spellEnd"/>
      <w:r w:rsidRPr="001F2B74">
        <w:rPr>
          <w:color w:val="000000" w:themeColor="text1"/>
          <w:sz w:val="24"/>
        </w:rPr>
        <w:t xml:space="preserve">, M., Yardley, J., Wheatley, P. and </w:t>
      </w:r>
      <w:proofErr w:type="spellStart"/>
      <w:r w:rsidRPr="001F2B74">
        <w:rPr>
          <w:color w:val="000000" w:themeColor="text1"/>
          <w:sz w:val="24"/>
        </w:rPr>
        <w:t>Heckel</w:t>
      </w:r>
      <w:proofErr w:type="spellEnd"/>
      <w:r w:rsidRPr="001F2B74">
        <w:rPr>
          <w:color w:val="000000" w:themeColor="text1"/>
          <w:sz w:val="24"/>
        </w:rPr>
        <w:t>, W. (2011). </w:t>
      </w:r>
      <w:r w:rsidRPr="001F2B74">
        <w:rPr>
          <w:i/>
          <w:color w:val="000000" w:themeColor="text1"/>
          <w:sz w:val="24"/>
        </w:rPr>
        <w:t xml:space="preserve">Epitome of the Philippic history of </w:t>
      </w:r>
      <w:proofErr w:type="spellStart"/>
      <w:r w:rsidRPr="001F2B74">
        <w:rPr>
          <w:i/>
          <w:color w:val="000000" w:themeColor="text1"/>
          <w:sz w:val="24"/>
        </w:rPr>
        <w:t>Pompeius</w:t>
      </w:r>
      <w:proofErr w:type="spellEnd"/>
      <w:r w:rsidRPr="001F2B74">
        <w:rPr>
          <w:i/>
          <w:color w:val="000000" w:themeColor="text1"/>
          <w:sz w:val="24"/>
        </w:rPr>
        <w:t xml:space="preserve"> </w:t>
      </w:r>
      <w:proofErr w:type="spellStart"/>
      <w:r w:rsidRPr="001F2B74">
        <w:rPr>
          <w:i/>
          <w:color w:val="000000" w:themeColor="text1"/>
          <w:sz w:val="24"/>
        </w:rPr>
        <w:t>Trogus</w:t>
      </w:r>
      <w:proofErr w:type="spellEnd"/>
      <w:r w:rsidRPr="001F2B74">
        <w:rPr>
          <w:color w:val="000000" w:themeColor="text1"/>
          <w:sz w:val="24"/>
        </w:rPr>
        <w:t>. Oxford: Oxford University Press.</w:t>
      </w:r>
    </w:p>
    <w:p w:rsidR="00ED374E" w:rsidRPr="00ED374E" w:rsidRDefault="00ED374E" w:rsidP="001F2B74">
      <w:pPr>
        <w:rPr>
          <w:color w:val="000000" w:themeColor="text1"/>
          <w:sz w:val="32"/>
        </w:rPr>
      </w:pPr>
      <w:r w:rsidRPr="00ED374E">
        <w:rPr>
          <w:rFonts w:cs="Open Sans"/>
          <w:color w:val="000000" w:themeColor="text1"/>
          <w:sz w:val="24"/>
          <w:szCs w:val="20"/>
          <w:shd w:val="clear" w:color="auto" w:fill="FFFFFF"/>
        </w:rPr>
        <w:t>Lawrence, A. (1979). </w:t>
      </w:r>
      <w:r w:rsidRPr="00ED374E">
        <w:rPr>
          <w:rFonts w:cs="Open Sans"/>
          <w:i/>
          <w:iCs/>
          <w:color w:val="000000" w:themeColor="text1"/>
          <w:sz w:val="24"/>
          <w:szCs w:val="20"/>
          <w:shd w:val="clear" w:color="auto" w:fill="FFFFFF"/>
        </w:rPr>
        <w:t>Greek aims in fortification</w:t>
      </w:r>
      <w:r w:rsidRPr="00ED374E">
        <w:rPr>
          <w:rFonts w:cs="Open Sans"/>
          <w:color w:val="000000" w:themeColor="text1"/>
          <w:sz w:val="24"/>
          <w:szCs w:val="20"/>
          <w:shd w:val="clear" w:color="auto" w:fill="FFFFFF"/>
        </w:rPr>
        <w:t>. Oxford: Clarendon Press.</w:t>
      </w:r>
    </w:p>
    <w:p w:rsidR="00FF6842" w:rsidRPr="00A22F9C" w:rsidRDefault="00FF6842" w:rsidP="00BD0DEE">
      <w:pPr>
        <w:rPr>
          <w:rFonts w:cs="Open Sans"/>
          <w:color w:val="000000" w:themeColor="text1"/>
          <w:sz w:val="24"/>
          <w:szCs w:val="20"/>
          <w:shd w:val="clear" w:color="auto" w:fill="FFFFFF"/>
        </w:rPr>
      </w:pPr>
      <w:proofErr w:type="spellStart"/>
      <w:r w:rsidRPr="00A22F9C">
        <w:rPr>
          <w:rFonts w:cs="Open Sans"/>
          <w:color w:val="000000" w:themeColor="text1"/>
          <w:sz w:val="24"/>
          <w:szCs w:val="20"/>
          <w:shd w:val="clear" w:color="auto" w:fill="FFFFFF"/>
        </w:rPr>
        <w:t>Livius</w:t>
      </w:r>
      <w:proofErr w:type="spellEnd"/>
      <w:r w:rsidRPr="00A22F9C">
        <w:rPr>
          <w:rFonts w:cs="Open Sans"/>
          <w:color w:val="000000" w:themeColor="text1"/>
          <w:sz w:val="24"/>
          <w:szCs w:val="20"/>
          <w:shd w:val="clear" w:color="auto" w:fill="FFFFFF"/>
        </w:rPr>
        <w:t xml:space="preserve"> </w:t>
      </w:r>
      <w:proofErr w:type="spellStart"/>
      <w:r w:rsidRPr="00A22F9C">
        <w:rPr>
          <w:rFonts w:cs="Open Sans"/>
          <w:color w:val="000000" w:themeColor="text1"/>
          <w:sz w:val="24"/>
          <w:szCs w:val="20"/>
          <w:shd w:val="clear" w:color="auto" w:fill="FFFFFF"/>
        </w:rPr>
        <w:t>Patavinus</w:t>
      </w:r>
      <w:proofErr w:type="spellEnd"/>
      <w:r w:rsidRPr="00A22F9C">
        <w:rPr>
          <w:rFonts w:cs="Open Sans"/>
          <w:color w:val="000000" w:themeColor="text1"/>
          <w:sz w:val="24"/>
          <w:szCs w:val="20"/>
          <w:shd w:val="clear" w:color="auto" w:fill="FFFFFF"/>
        </w:rPr>
        <w:t>, T. and Yardley, J. (2017). </w:t>
      </w:r>
      <w:r w:rsidRPr="00A22F9C">
        <w:rPr>
          <w:rFonts w:cs="Open Sans"/>
          <w:i/>
          <w:iCs/>
          <w:color w:val="000000" w:themeColor="text1"/>
          <w:sz w:val="24"/>
          <w:szCs w:val="20"/>
          <w:shd w:val="clear" w:color="auto" w:fill="FFFFFF"/>
        </w:rPr>
        <w:t>History of Rome</w:t>
      </w:r>
      <w:r w:rsidRPr="00A22F9C">
        <w:rPr>
          <w:rFonts w:cs="Open Sans"/>
          <w:color w:val="000000" w:themeColor="text1"/>
          <w:sz w:val="24"/>
          <w:szCs w:val="20"/>
          <w:shd w:val="clear" w:color="auto" w:fill="FFFFFF"/>
        </w:rPr>
        <w:t>. Cambridge, Massachusetts: Harvard University Press.</w:t>
      </w:r>
    </w:p>
    <w:p w:rsidR="00A22F9C" w:rsidRPr="00A22F9C" w:rsidRDefault="00A22F9C" w:rsidP="00BD0DEE">
      <w:pPr>
        <w:rPr>
          <w:color w:val="000000" w:themeColor="text1"/>
          <w:sz w:val="32"/>
        </w:rPr>
      </w:pPr>
      <w:r w:rsidRPr="00A22F9C">
        <w:rPr>
          <w:rFonts w:cs="Open Sans"/>
          <w:color w:val="000000" w:themeColor="text1"/>
          <w:sz w:val="24"/>
          <w:szCs w:val="20"/>
          <w:shd w:val="clear" w:color="auto" w:fill="FFFFFF"/>
        </w:rPr>
        <w:t xml:space="preserve">The </w:t>
      </w:r>
      <w:r w:rsidR="000045AD" w:rsidRPr="00A22F9C">
        <w:rPr>
          <w:rFonts w:cs="Open Sans"/>
          <w:color w:val="000000" w:themeColor="text1"/>
          <w:sz w:val="24"/>
          <w:szCs w:val="20"/>
          <w:shd w:val="clear" w:color="auto" w:fill="FFFFFF"/>
        </w:rPr>
        <w:t>New</w:t>
      </w:r>
      <w:r w:rsidRPr="00A22F9C">
        <w:rPr>
          <w:rFonts w:cs="Open Sans"/>
          <w:color w:val="000000" w:themeColor="text1"/>
          <w:sz w:val="24"/>
          <w:szCs w:val="20"/>
          <w:shd w:val="clear" w:color="auto" w:fill="FFFFFF"/>
        </w:rPr>
        <w:t xml:space="preserve"> English Bible. (2009). London: Oxford University Press.</w:t>
      </w:r>
    </w:p>
    <w:sectPr w:rsidR="00A22F9C" w:rsidRPr="00A22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6D8F" w:rsidRDefault="006F6D8F" w:rsidP="00BD0DEE">
      <w:pPr>
        <w:spacing w:after="0" w:line="240" w:lineRule="auto"/>
      </w:pPr>
      <w:r>
        <w:separator/>
      </w:r>
    </w:p>
  </w:endnote>
  <w:endnote w:type="continuationSeparator" w:id="0">
    <w:p w:rsidR="006F6D8F" w:rsidRDefault="006F6D8F" w:rsidP="00BD0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6D8F" w:rsidRDefault="006F6D8F" w:rsidP="00BD0DEE">
      <w:pPr>
        <w:spacing w:after="0" w:line="240" w:lineRule="auto"/>
      </w:pPr>
      <w:r>
        <w:separator/>
      </w:r>
    </w:p>
  </w:footnote>
  <w:footnote w:type="continuationSeparator" w:id="0">
    <w:p w:rsidR="006F6D8F" w:rsidRDefault="006F6D8F" w:rsidP="00BD0DEE">
      <w:pPr>
        <w:spacing w:after="0" w:line="240" w:lineRule="auto"/>
      </w:pPr>
      <w:r>
        <w:continuationSeparator/>
      </w:r>
    </w:p>
  </w:footnote>
  <w:footnote w:id="1">
    <w:p w:rsidR="00BD0DEE" w:rsidRDefault="00BD0DEE" w:rsidP="00340E6C">
      <w:pPr>
        <w:pStyle w:val="FootnoteText"/>
      </w:pPr>
      <w:r>
        <w:rPr>
          <w:rStyle w:val="FootnoteReference"/>
        </w:rPr>
        <w:footnoteRef/>
      </w:r>
      <w:r>
        <w:t xml:space="preserve"> </w:t>
      </w:r>
      <w:proofErr w:type="spellStart"/>
      <w:r>
        <w:t>Grabbe</w:t>
      </w:r>
      <w:proofErr w:type="spellEnd"/>
      <w:r>
        <w:t>, 2006</w:t>
      </w:r>
    </w:p>
  </w:footnote>
  <w:footnote w:id="2">
    <w:p w:rsidR="00343158" w:rsidRDefault="00343158" w:rsidP="00340E6C">
      <w:pPr>
        <w:pStyle w:val="FootnoteText"/>
      </w:pPr>
      <w:r>
        <w:rPr>
          <w:rStyle w:val="FootnoteReference"/>
        </w:rPr>
        <w:footnoteRef/>
      </w:r>
      <w:r>
        <w:t xml:space="preserve"> </w:t>
      </w:r>
      <w:proofErr w:type="spellStart"/>
      <w:r w:rsidR="00FF6842" w:rsidRPr="00FF6842">
        <w:rPr>
          <w:rFonts w:cs="Open Sans"/>
          <w:color w:val="000000" w:themeColor="text1"/>
          <w:shd w:val="clear" w:color="auto" w:fill="FFFFFF"/>
        </w:rPr>
        <w:t>Livius</w:t>
      </w:r>
      <w:proofErr w:type="spellEnd"/>
      <w:r w:rsidR="00FF6842" w:rsidRPr="00FF6842">
        <w:rPr>
          <w:rFonts w:cs="Open Sans"/>
          <w:color w:val="000000" w:themeColor="text1"/>
          <w:shd w:val="clear" w:color="auto" w:fill="FFFFFF"/>
        </w:rPr>
        <w:t xml:space="preserve"> </w:t>
      </w:r>
      <w:proofErr w:type="spellStart"/>
      <w:r w:rsidR="00FF6842" w:rsidRPr="00FF6842">
        <w:rPr>
          <w:rFonts w:cs="Open Sans"/>
          <w:color w:val="000000" w:themeColor="text1"/>
          <w:shd w:val="clear" w:color="auto" w:fill="FFFFFF"/>
        </w:rPr>
        <w:t>Patavinus</w:t>
      </w:r>
      <w:proofErr w:type="spellEnd"/>
      <w:r w:rsidR="00FF6842" w:rsidRPr="00FF6842">
        <w:rPr>
          <w:rFonts w:cs="Open Sans"/>
          <w:color w:val="000000" w:themeColor="text1"/>
          <w:shd w:val="clear" w:color="auto" w:fill="FFFFFF"/>
        </w:rPr>
        <w:t xml:space="preserve"> and Yardley, 2017</w:t>
      </w:r>
    </w:p>
  </w:footnote>
  <w:footnote w:id="3">
    <w:p w:rsidR="00A22F9C" w:rsidRDefault="00A22F9C" w:rsidP="00340E6C">
      <w:pPr>
        <w:pStyle w:val="FootnoteText"/>
      </w:pPr>
      <w:r>
        <w:rPr>
          <w:rStyle w:val="FootnoteReference"/>
        </w:rPr>
        <w:footnoteRef/>
      </w:r>
      <w:r>
        <w:t xml:space="preserve"> </w:t>
      </w:r>
      <w:r w:rsidR="000045AD">
        <w:rPr>
          <w:color w:val="000000" w:themeColor="text1"/>
        </w:rPr>
        <w:t>The N</w:t>
      </w:r>
      <w:r w:rsidRPr="00A22F9C">
        <w:rPr>
          <w:color w:val="000000" w:themeColor="text1"/>
        </w:rPr>
        <w:t xml:space="preserve">ew </w:t>
      </w:r>
      <w:r w:rsidR="00035FCF">
        <w:rPr>
          <w:color w:val="000000" w:themeColor="text1"/>
        </w:rPr>
        <w:t>English Bible, 2009</w:t>
      </w:r>
    </w:p>
  </w:footnote>
  <w:footnote w:id="4">
    <w:p w:rsidR="0021040D" w:rsidRDefault="0021040D" w:rsidP="00340E6C">
      <w:pPr>
        <w:pStyle w:val="FootnoteText"/>
      </w:pPr>
      <w:r>
        <w:rPr>
          <w:rStyle w:val="FootnoteReference"/>
        </w:rPr>
        <w:footnoteRef/>
      </w:r>
      <w:r w:rsidR="00035FCF">
        <w:rPr>
          <w:color w:val="000000" w:themeColor="text1"/>
        </w:rPr>
        <w:t xml:space="preserve"> </w:t>
      </w:r>
      <w:proofErr w:type="spellStart"/>
      <w:r w:rsidR="00035FCF">
        <w:rPr>
          <w:color w:val="000000" w:themeColor="text1"/>
        </w:rPr>
        <w:t>Justinus</w:t>
      </w:r>
      <w:proofErr w:type="spellEnd"/>
      <w:r w:rsidR="00035FCF">
        <w:rPr>
          <w:color w:val="000000" w:themeColor="text1"/>
        </w:rPr>
        <w:t xml:space="preserve"> et al., 2011</w:t>
      </w:r>
    </w:p>
  </w:footnote>
  <w:footnote w:id="5">
    <w:p w:rsidR="00340E6C" w:rsidRDefault="00340E6C">
      <w:pPr>
        <w:pStyle w:val="FootnoteText"/>
      </w:pPr>
      <w:r>
        <w:rPr>
          <w:rStyle w:val="FootnoteReference"/>
        </w:rPr>
        <w:footnoteRef/>
      </w:r>
      <w:r>
        <w:t xml:space="preserve"> </w:t>
      </w:r>
      <w:proofErr w:type="spellStart"/>
      <w:r w:rsidR="00407CAB">
        <w:t>Budin</w:t>
      </w:r>
      <w:proofErr w:type="spellEnd"/>
      <w:r w:rsidR="00407CAB">
        <w:t>, 2004</w:t>
      </w:r>
    </w:p>
  </w:footnote>
  <w:footnote w:id="6">
    <w:p w:rsidR="0006223E" w:rsidRDefault="0006223E">
      <w:pPr>
        <w:pStyle w:val="FootnoteText"/>
      </w:pPr>
      <w:r>
        <w:rPr>
          <w:rStyle w:val="FootnoteReference"/>
        </w:rPr>
        <w:footnoteRef/>
      </w:r>
      <w:r>
        <w:t xml:space="preserve"> </w:t>
      </w:r>
      <w:proofErr w:type="spellStart"/>
      <w:r w:rsidRPr="0006223E">
        <w:rPr>
          <w:rFonts w:cs="Open Sans"/>
          <w:color w:val="000000" w:themeColor="text1"/>
          <w:shd w:val="clear" w:color="auto" w:fill="FFFFFF"/>
        </w:rPr>
        <w:t>Elisseeff</w:t>
      </w:r>
      <w:proofErr w:type="spellEnd"/>
      <w:r w:rsidRPr="0006223E">
        <w:rPr>
          <w:rFonts w:cs="Open Sans"/>
          <w:color w:val="000000" w:themeColor="text1"/>
          <w:shd w:val="clear" w:color="auto" w:fill="FFFFFF"/>
        </w:rPr>
        <w:t>, 2000</w:t>
      </w:r>
    </w:p>
  </w:footnote>
  <w:footnote w:id="7">
    <w:p w:rsidR="00ED374E" w:rsidRDefault="00ED374E">
      <w:pPr>
        <w:pStyle w:val="FootnoteText"/>
      </w:pPr>
      <w:r>
        <w:rPr>
          <w:rStyle w:val="FootnoteReference"/>
        </w:rPr>
        <w:footnoteRef/>
      </w:r>
      <w:r>
        <w:t xml:space="preserve"> </w:t>
      </w:r>
      <w:r>
        <w:rPr>
          <w:color w:val="000000" w:themeColor="text1"/>
        </w:rPr>
        <w:t>Lawrence, 1979</w:t>
      </w:r>
    </w:p>
  </w:footnote>
  <w:footnote w:id="8">
    <w:p w:rsidR="001C6AEF" w:rsidRDefault="001C6AEF">
      <w:pPr>
        <w:pStyle w:val="FootnoteText"/>
      </w:pPr>
      <w:r>
        <w:rPr>
          <w:rStyle w:val="FootnoteReference"/>
        </w:rPr>
        <w:footnoteRef/>
      </w:r>
      <w:r>
        <w:t xml:space="preserve"> </w:t>
      </w:r>
      <w:r w:rsidRPr="001C6AEF">
        <w:rPr>
          <w:rFonts w:cs="Open Sans"/>
          <w:color w:val="000000" w:themeColor="text1"/>
          <w:shd w:val="clear" w:color="auto" w:fill="FFFFFF"/>
        </w:rPr>
        <w:t>Atkinson, 1981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DEA2680"/>
    <w:multiLevelType w:val="hybridMultilevel"/>
    <w:tmpl w:val="90327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B50"/>
    <w:rsid w:val="000045AD"/>
    <w:rsid w:val="00035FCF"/>
    <w:rsid w:val="0006223E"/>
    <w:rsid w:val="000654C7"/>
    <w:rsid w:val="001528E4"/>
    <w:rsid w:val="001947E9"/>
    <w:rsid w:val="001C6AEF"/>
    <w:rsid w:val="001D2FAD"/>
    <w:rsid w:val="001D77E7"/>
    <w:rsid w:val="001F2B74"/>
    <w:rsid w:val="0021040D"/>
    <w:rsid w:val="00261347"/>
    <w:rsid w:val="002C3095"/>
    <w:rsid w:val="00340E6C"/>
    <w:rsid w:val="00343158"/>
    <w:rsid w:val="003F5B50"/>
    <w:rsid w:val="00407CAB"/>
    <w:rsid w:val="004105AE"/>
    <w:rsid w:val="004A187B"/>
    <w:rsid w:val="004E4448"/>
    <w:rsid w:val="00550EA1"/>
    <w:rsid w:val="00580CE3"/>
    <w:rsid w:val="00595131"/>
    <w:rsid w:val="00615250"/>
    <w:rsid w:val="00621F3A"/>
    <w:rsid w:val="00675565"/>
    <w:rsid w:val="006F6D8F"/>
    <w:rsid w:val="007075A9"/>
    <w:rsid w:val="0072200F"/>
    <w:rsid w:val="00732DB6"/>
    <w:rsid w:val="00762DE6"/>
    <w:rsid w:val="00764A96"/>
    <w:rsid w:val="007772F6"/>
    <w:rsid w:val="007A077B"/>
    <w:rsid w:val="00830752"/>
    <w:rsid w:val="00904E4F"/>
    <w:rsid w:val="00A22F9C"/>
    <w:rsid w:val="00A85106"/>
    <w:rsid w:val="00BD0DEE"/>
    <w:rsid w:val="00C13688"/>
    <w:rsid w:val="00C87353"/>
    <w:rsid w:val="00DD76B0"/>
    <w:rsid w:val="00E02FE7"/>
    <w:rsid w:val="00E84788"/>
    <w:rsid w:val="00E9273E"/>
    <w:rsid w:val="00EA304E"/>
    <w:rsid w:val="00ED374E"/>
    <w:rsid w:val="00EF0ECA"/>
    <w:rsid w:val="00F47A0D"/>
    <w:rsid w:val="00F86556"/>
    <w:rsid w:val="00FF6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98C6BF-AFF9-4997-A8AA-E7C71DC5F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7772F6"/>
    <w:pPr>
      <w:keepNext/>
      <w:keepLines/>
      <w:spacing w:before="40" w:after="0" w:line="25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D0D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0DEE"/>
    <w:rPr>
      <w:sz w:val="20"/>
      <w:szCs w:val="20"/>
    </w:rPr>
  </w:style>
  <w:style w:type="character" w:styleId="FootnoteReference">
    <w:name w:val="footnote reference"/>
    <w:basedOn w:val="DefaultParagraphFont"/>
    <w:uiPriority w:val="99"/>
    <w:semiHidden/>
    <w:unhideWhenUsed/>
    <w:rsid w:val="00BD0DEE"/>
    <w:rPr>
      <w:vertAlign w:val="superscript"/>
    </w:rPr>
  </w:style>
  <w:style w:type="character" w:customStyle="1" w:styleId="Heading3Char">
    <w:name w:val="Heading 3 Char"/>
    <w:basedOn w:val="DefaultParagraphFont"/>
    <w:link w:val="Heading3"/>
    <w:uiPriority w:val="9"/>
    <w:semiHidden/>
    <w:rsid w:val="007772F6"/>
    <w:rPr>
      <w:rFonts w:asciiTheme="majorHAnsi" w:eastAsiaTheme="majorEastAsia" w:hAnsiTheme="majorHAnsi" w:cstheme="majorBidi"/>
      <w:color w:val="1F4D78" w:themeColor="accent1" w:themeShade="7F"/>
      <w:sz w:val="24"/>
      <w:szCs w:val="24"/>
    </w:rPr>
  </w:style>
  <w:style w:type="paragraph" w:styleId="NormalWeb">
    <w:name w:val="Normal (Web)"/>
    <w:basedOn w:val="Normal"/>
    <w:semiHidden/>
    <w:unhideWhenUsed/>
    <w:rsid w:val="007772F6"/>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4A67BC-C87F-490E-8B12-3A8B07C5B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5</Pages>
  <Words>1041</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37</cp:revision>
  <dcterms:created xsi:type="dcterms:W3CDTF">2018-02-12T12:00:00Z</dcterms:created>
  <dcterms:modified xsi:type="dcterms:W3CDTF">2018-02-13T12:43:00Z</dcterms:modified>
</cp:coreProperties>
</file>