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Name: Rashida Bibi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Module Code: BMHP6026</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Component 1: Written Report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Lecturer: Chloe Harris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Student Number: 2220777</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Module – Digital Transformation in the Health and Care Professions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The Role and Impact of Digital Mental Health Applications in UK Health and Social Care</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6" w:lineRule="auto"/>
        <w:ind w:left="0" w:right="0" w:firstLine="0"/>
        <w:jc w:val="left"/>
        <w:rPr>
          <w:rFonts w:ascii="Arial" w:cs="Arial" w:eastAsia="Arial" w:hAnsi="Arial"/>
          <w:b w:val="0"/>
          <w:i w:val="0"/>
          <w:smallCaps w:val="0"/>
          <w:strike w:val="0"/>
          <w:color w:val="000000"/>
          <w:sz w:val="32"/>
          <w:szCs w:val="32"/>
          <w:u w:val="none"/>
          <w:shd w:fill="auto" w:val="clear"/>
          <w:vertAlign w:val="baseline"/>
        </w:rPr>
      </w:pP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Contents</w:t>
      </w:r>
    </w:p>
    <w:sdt>
      <w:sdtPr>
        <w:id w:val="1102820233"/>
        <w:docPartObj>
          <w:docPartGallery w:val="Table of Contents"/>
          <w:docPartUnique w:val="1"/>
        </w:docPartObj>
      </w:sdtPr>
      <w:sdtContent>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9lpk1jv88aa">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Introduction</w:t>
            </w:r>
          </w:hyperlink>
          <w:hyperlink w:anchor="_h9lpk1jv88aa">
            <w:r w:rsidDel="00000000" w:rsidR="00000000" w:rsidRPr="00000000">
              <w:rPr>
                <w:rFonts w:ascii="Aptos" w:cs="Aptos" w:eastAsia="Aptos" w:hAnsi="Aptos"/>
                <w:b w:val="0"/>
                <w:i w:val="0"/>
                <w:smallCaps w:val="0"/>
                <w:strike w:val="0"/>
                <w:color w:val="000080"/>
                <w:sz w:val="24"/>
                <w:szCs w:val="24"/>
                <w:u w:val="singl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a3w3q3z2f6sk">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Background: Digital Mental Health Apps in the UK</w:t>
            </w:r>
          </w:hyperlink>
          <w:hyperlink w:anchor="_a3w3q3z2f6sk">
            <w:r w:rsidDel="00000000" w:rsidR="00000000" w:rsidRPr="00000000">
              <w:rPr>
                <w:rFonts w:ascii="Aptos" w:cs="Aptos" w:eastAsia="Aptos" w:hAnsi="Aptos"/>
                <w:b w:val="0"/>
                <w:i w:val="0"/>
                <w:smallCaps w:val="0"/>
                <w:strike w:val="0"/>
                <w:color w:val="000080"/>
                <w:sz w:val="24"/>
                <w:szCs w:val="24"/>
                <w:u w:val="singl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11b80x18xpov">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Impact on Workforce</w:t>
            </w:r>
          </w:hyperlink>
          <w:hyperlink w:anchor="_11b80x18xpov">
            <w:r w:rsidDel="00000000" w:rsidR="00000000" w:rsidRPr="00000000">
              <w:rPr>
                <w:rFonts w:ascii="Aptos" w:cs="Aptos" w:eastAsia="Aptos" w:hAnsi="Aptos"/>
                <w:b w:val="0"/>
                <w:i w:val="0"/>
                <w:smallCaps w:val="0"/>
                <w:strike w:val="0"/>
                <w:color w:val="000080"/>
                <w:sz w:val="24"/>
                <w:szCs w:val="24"/>
                <w:u w:val="singl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vrjdv3gqhr7">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Impact on Service Delivery</w:t>
            </w:r>
          </w:hyperlink>
          <w:hyperlink w:anchor="_vrjdv3gqhr7">
            <w:r w:rsidDel="00000000" w:rsidR="00000000" w:rsidRPr="00000000">
              <w:rPr>
                <w:rFonts w:ascii="Aptos" w:cs="Aptos" w:eastAsia="Aptos" w:hAnsi="Aptos"/>
                <w:b w:val="0"/>
                <w:i w:val="0"/>
                <w:smallCaps w:val="0"/>
                <w:strike w:val="0"/>
                <w:color w:val="000080"/>
                <w:sz w:val="24"/>
                <w:szCs w:val="24"/>
                <w:u w:val="singl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yytfcmeyq5p3">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Effects on Patients and Service Users</w:t>
            </w:r>
          </w:hyperlink>
          <w:hyperlink w:anchor="_yytfcmeyq5p3">
            <w:r w:rsidDel="00000000" w:rsidR="00000000" w:rsidRPr="00000000">
              <w:rPr>
                <w:rFonts w:ascii="Aptos" w:cs="Aptos" w:eastAsia="Aptos" w:hAnsi="Aptos"/>
                <w:b w:val="0"/>
                <w:i w:val="0"/>
                <w:smallCaps w:val="0"/>
                <w:strike w:val="0"/>
                <w:color w:val="000080"/>
                <w:sz w:val="24"/>
                <w:szCs w:val="24"/>
                <w:u w:val="singl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vpyoxcpb7jyl">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Impact on the Community</w:t>
            </w:r>
          </w:hyperlink>
          <w:hyperlink w:anchor="_vpyoxcpb7jyl">
            <w:r w:rsidDel="00000000" w:rsidR="00000000" w:rsidRPr="00000000">
              <w:rPr>
                <w:rFonts w:ascii="Aptos" w:cs="Aptos" w:eastAsia="Aptos" w:hAnsi="Aptos"/>
                <w:b w:val="0"/>
                <w:i w:val="0"/>
                <w:smallCaps w:val="0"/>
                <w:strike w:val="0"/>
                <w:color w:val="000080"/>
                <w:sz w:val="24"/>
                <w:szCs w:val="24"/>
                <w:u w:val="singl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w3ija37qtido">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Critical Evaluation of Digital Transformation</w:t>
            </w:r>
          </w:hyperlink>
          <w:hyperlink w:anchor="_w3ija37qtido">
            <w:r w:rsidDel="00000000" w:rsidR="00000000" w:rsidRPr="00000000">
              <w:rPr>
                <w:rFonts w:ascii="Aptos" w:cs="Aptos" w:eastAsia="Aptos" w:hAnsi="Aptos"/>
                <w:b w:val="0"/>
                <w:i w:val="0"/>
                <w:smallCaps w:val="0"/>
                <w:strike w:val="0"/>
                <w:color w:val="000080"/>
                <w:sz w:val="24"/>
                <w:szCs w:val="24"/>
                <w:u w:val="singl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c05y28z0ddjg">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Conclusion</w:t>
            </w:r>
          </w:hyperlink>
          <w:hyperlink w:anchor="_c05y28z0ddjg">
            <w:r w:rsidDel="00000000" w:rsidR="00000000" w:rsidRPr="00000000">
              <w:rPr>
                <w:rFonts w:ascii="Aptos" w:cs="Aptos" w:eastAsia="Aptos" w:hAnsi="Aptos"/>
                <w:b w:val="0"/>
                <w:i w:val="0"/>
                <w:smallCaps w:val="0"/>
                <w:strike w:val="0"/>
                <w:color w:val="000080"/>
                <w:sz w:val="24"/>
                <w:szCs w:val="24"/>
                <w:u w:val="singl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xjorpcw1hhgv">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References</w:t>
            </w:r>
          </w:hyperlink>
          <w:hyperlink w:anchor="_xjorpcw1hhgv">
            <w:r w:rsidDel="00000000" w:rsidR="00000000" w:rsidRPr="00000000">
              <w:rPr>
                <w:rFonts w:ascii="Aptos" w:cs="Aptos" w:eastAsia="Aptos" w:hAnsi="Aptos"/>
                <w:b w:val="0"/>
                <w:i w:val="0"/>
                <w:smallCaps w:val="0"/>
                <w:strike w:val="0"/>
                <w:color w:val="000080"/>
                <w:sz w:val="24"/>
                <w:szCs w:val="24"/>
                <w:u w:val="single"/>
                <w:shd w:fill="auto" w:val="clear"/>
                <w:vertAlign w:val="baseline"/>
                <w:rtl w:val="0"/>
              </w:rPr>
              <w:tab/>
              <w:t xml:space="preserve">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pStyle w:val="Heading1"/>
        <w:numPr>
          <w:ilvl w:val="0"/>
          <w:numId w:val="1"/>
        </w:numPr>
        <w:tabs>
          <w:tab w:val="left" w:leader="none" w:pos="0"/>
        </w:tabs>
        <w:ind w:left="0" w:firstLine="0"/>
        <w:rPr>
          <w:b w:val="1"/>
        </w:rPr>
      </w:pPr>
      <w:bookmarkStart w:colFirst="0" w:colLast="0" w:name="_h9lpk1jv88aa" w:id="0"/>
      <w:bookmarkEnd w:id="0"/>
      <w:r w:rsidDel="00000000" w:rsidR="00000000" w:rsidRPr="00000000">
        <w:rPr>
          <w:b w:val="1"/>
          <w:rtl w:val="0"/>
        </w:rPr>
        <w:t xml:space="preserve">Introduction</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last decade has seen higher levels of digital innovation more deeply embedded in UK health and social care. Under the impetus of forces including a workforce crisis, growing demand and affordability of service delivery, technology has been firmly placed as a transformational enabler. Digital health forms a key part of policy infrastructure, such as in the NHS Long Term Plan (NHS England, 2019) and NHS digital vision which highlight how technology can enhance access and outcomes.</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Mental health has now become a particular priority, reflecting an increasing understanding of the extent of unmet needs and the significant economic and social cost of mental ill-health. One of the major step advancements in his context are digital mental health Applications (apps) which - through an easy handheld device like a smartphone or online platform – offer therapeutic intervention, well being assistance and self-management skill set.</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Apps such as SilverCloud, Wysa and Headspace Health are now commonly used across NHS Improving Access to Psychological Therapies (IAPT) services and beyond, inculcating evidence- based approaches such as Cognitive Behavioural Therapy (CBT) and mindfulness based interventions with the potential of expanding psychological therapy availability to broader community (NHS Digital, 2021). Such tools are designed to bring mental health care to scale, decrease stigma and empower service users. But it also raises issues of digital exclusion, professional adjustment and long term sustainability.</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report is a challenging examination of the use in UK health and social care of digital mental health apps. It takes account of their implications for employees, services, patients and service users, and the broader community. The new content touches on the good and bad as is often the case on tech topics. The paper suggests that, while digital mental health apps are an important development with huge promise, the extent to which they will be effective will hinge on thoughtful integration, good evidence and approaches to inclusiveness.</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pStyle w:val="Heading1"/>
        <w:numPr>
          <w:ilvl w:val="0"/>
          <w:numId w:val="1"/>
        </w:numPr>
        <w:tabs>
          <w:tab w:val="left" w:leader="none" w:pos="0"/>
        </w:tabs>
        <w:ind w:left="0" w:firstLine="0"/>
        <w:rPr>
          <w:b w:val="1"/>
          <w:sz w:val="22"/>
          <w:szCs w:val="22"/>
        </w:rPr>
      </w:pPr>
      <w:bookmarkStart w:colFirst="0" w:colLast="0" w:name="_a3w3q3z2f6sk" w:id="1"/>
      <w:bookmarkEnd w:id="1"/>
      <w:r w:rsidDel="00000000" w:rsidR="00000000" w:rsidRPr="00000000">
        <w:rPr>
          <w:b w:val="1"/>
          <w:sz w:val="22"/>
          <w:szCs w:val="22"/>
          <w:rtl w:val="0"/>
        </w:rPr>
        <w:t xml:space="preserve">Background: Digital Mental Health Apps in the UK</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Digital mental health apps were developed within the broader scope of digital health which has been driven by commitments to modernising mental health services and by technology developments in mobile health. The NHS Long Term Plan (2019) identified digital first care as critical to enabling growing demand, with mental health in which service pressure is particularly high. The provision of digital technologies is now an integral component of the Improving Access to Psychological Therapies (IAPT) program which was designed to increase access to evidence-based therapy and includes direct delivery through digital channels, with SilverCloud being one of the initial apps recommended by NHS England for routine usage (Donker et al., 2019).</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COVID-19 pandemic accelerated adoption. Lockdowns eliminated face-to-face contact and drove a rush to invest in digital alternatives. NHS (2020) also noted use of mental health apps in 2020 had surged, with marked increases in people using CBT platforms and wellbeing apps. These tools offered continuity of care for many users when in-person services were not accessible.</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Apps in use in the UK SilverCloud provides online therapeutic programmes based on a CBT structure, which free up time for patients and mental health practitioners so they can focus on more complex cases. They show up in many forms as standalone tools for people with mild to moderate symptoms, within a blended care model where healthcare providers and patients use digital programmes alongside in person treatment sessions, or as population based mental health resources available to the public.</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Despite this pledge, questions persist regarding inequitable uptake, clinical efficacy and data governance. NICE (2022) has developed these levels of evidence to ensure the balance between innovation and safety/quality. The following sections have described the effects of digital mental health apps in terms of workforce, service delivery, patient experience and community impact.</w:t>
      </w:r>
    </w:p>
    <w:p w:rsidR="00000000" w:rsidDel="00000000" w:rsidP="00000000" w:rsidRDefault="00000000" w:rsidRPr="00000000" w14:paraId="00000049">
      <w:pPr>
        <w:pStyle w:val="Heading1"/>
        <w:numPr>
          <w:ilvl w:val="0"/>
          <w:numId w:val="1"/>
        </w:numPr>
        <w:tabs>
          <w:tab w:val="left" w:leader="none" w:pos="0"/>
        </w:tabs>
        <w:ind w:left="0" w:firstLine="0"/>
        <w:rPr>
          <w:b w:val="1"/>
          <w:sz w:val="24"/>
          <w:szCs w:val="24"/>
        </w:rPr>
      </w:pPr>
      <w:bookmarkStart w:colFirst="0" w:colLast="0" w:name="_11b80x18xpov" w:id="2"/>
      <w:bookmarkEnd w:id="2"/>
      <w:r w:rsidDel="00000000" w:rsidR="00000000" w:rsidRPr="00000000">
        <w:rPr>
          <w:b w:val="1"/>
          <w:sz w:val="24"/>
          <w:szCs w:val="24"/>
          <w:rtl w:val="0"/>
        </w:rPr>
        <w:t xml:space="preserve">Impact on Workforce</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Digital mental health apps have conducted a reframing of the roles and skills that staff in health and social care services should possess. On the plus side, these technologies help to increase workforce capacity at a time when there are huge staffing shortfalls. The UK mental health system has been long plagued by a shortage of trained therapists and lengthy waits for therapy (Mind, 2022). Through allowing service users to self-manage and independently participate in digital CBT interventions, apps like SilverCloud help reduce strain on clinicians such as DRs and MHPs and let resources be directed towards higher acuities (Richards et al., 2020).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Further, digital apps act as enabler for creation of new workforce skills. Clinicians are also increasingly tasked with remotely tracking patient progress, understanding data derived from app usage and integrating digital interventions into personalised care plans. In fact some clinicians suffer from digital fatigue as well as extra administrative workload to keep track of multiple platforms and users they follow up with (Foley et al., 2021). As you’ve learned, some digital tools create rather than eliminate hidden work. Moreover, not all the health professionals have been working confidently with digital mediums and differences in capacity to use technology amongst staff can hinder its adoption (Royal College of Psychiatrists, 2020). Worries have also focused on possible damage to therapeutic alliances. Therapists may fear that apps pose as replacements for meaningful in person care, eroding professional identity and the currency of human contact (Blease et al 2019).</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Altogether, the workforce effects of digital mental health apps are a mixed bag. They offer opportunities for skill development and efficiency but also challenges regarding workload, confidence and professional identity. Key to successful implementation will be investment in training, organisational support for the innovation and assurance that apps are a complement rather than a substitute for therapeutic skills.</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pStyle w:val="Heading1"/>
        <w:numPr>
          <w:ilvl w:val="0"/>
          <w:numId w:val="1"/>
        </w:numPr>
        <w:tabs>
          <w:tab w:val="left" w:leader="none" w:pos="0"/>
        </w:tabs>
        <w:ind w:left="0" w:firstLine="0"/>
        <w:rPr>
          <w:b w:val="1"/>
          <w:sz w:val="24"/>
          <w:szCs w:val="24"/>
        </w:rPr>
      </w:pPr>
      <w:bookmarkStart w:colFirst="0" w:colLast="0" w:name="_vrjdv3gqhr7" w:id="3"/>
      <w:bookmarkEnd w:id="3"/>
      <w:r w:rsidDel="00000000" w:rsidR="00000000" w:rsidRPr="00000000">
        <w:rPr>
          <w:b w:val="1"/>
          <w:sz w:val="24"/>
          <w:szCs w:val="24"/>
          <w:rtl w:val="0"/>
        </w:rPr>
        <w:t xml:space="preserve">Impact on Service Delivery</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Digital mental health apps have drastically changed the way care is delivered in mental health. Perhaps most important has been the increase in access. Apps are accessible round the clock making interventions available at times when users can participate in them. This removes geographical and time constraints, which leads to an increase in accessibility of mental health support (Torous et al., 2021). NHS evaluations into SilverCloud in IAPT (Assessing the Efficacy of SilverCloud Conditions Under Real Life Depression Treatment, ASDENT) have demonstrated reductions in therapy waiting times as people can start a digital programme straight away, rather than waiting weeks for face to face sessions (NHS Digital 2021).</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Service delivery has also been more scalable and cost effective. A digital platform connects thousands of people all at once, you can’t do that with traditional therapy. This scalability is especially important for mild to moderate mental health conditions at a population level, releasing limited capacity in individuals with more clinically severe needs (Hollis et al., 2019). By bringing digital interventions they also encourage a proactive care. They also promote early self management, which can prevent deterioration of symptoms and burden on crisis/inpatient services (Nicholas et al., 2020).</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change in the service delivery model has not been without difficulties, however. Digital exclusion continues to be a big issue, with not everyone having the same access to smartphones, stable internet connection or the digital literacy required for them to use apps effectively. Older and disabled, and people from low income households are more likely to be left behind (ONS, 2021). This can widen health inequalities, especially where services take digital access for granted. Integration also presents difficulties. Many of the apps are not fully compatible with NHS systems and data collected by digital platforms may not end up in medical records, making for disjointed care (Ingram et al., 2022). Moreover, the mental health apps marketplace is crowded with great variation in quality and degree of evidence base. A minority of apps have evidence by clinical trials, which raises issues about the dependability and safety of the majority of products (Larsen et al.,2019).</w:t>
      </w:r>
    </w:p>
    <w:p w:rsidR="00000000" w:rsidDel="00000000" w:rsidP="00000000" w:rsidRDefault="00000000" w:rsidRPr="00000000" w14:paraId="00000052">
      <w:pPr>
        <w:pStyle w:val="Heading1"/>
        <w:numPr>
          <w:ilvl w:val="0"/>
          <w:numId w:val="1"/>
        </w:numPr>
        <w:tabs>
          <w:tab w:val="left" w:leader="none" w:pos="0"/>
        </w:tabs>
        <w:ind w:left="0" w:firstLine="0"/>
        <w:rPr>
          <w:b w:val="1"/>
          <w:sz w:val="24"/>
          <w:szCs w:val="24"/>
        </w:rPr>
      </w:pPr>
      <w:bookmarkStart w:colFirst="0" w:colLast="0" w:name="_yytfcmeyq5p3" w:id="4"/>
      <w:bookmarkEnd w:id="4"/>
      <w:r w:rsidDel="00000000" w:rsidR="00000000" w:rsidRPr="00000000">
        <w:rPr>
          <w:b w:val="1"/>
          <w:sz w:val="24"/>
          <w:szCs w:val="24"/>
          <w:rtl w:val="0"/>
        </w:rPr>
        <w:t xml:space="preserve">Effects on Patients and Service Users</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Patients and service users are the focus of digital mental health innovation, and their experiences bring both opportunities and challenges. Apps provide an ease and autonomy for many people. Self involvement in therapy on private terms and at one’s own pace makes people feel more in control of and responsible for the course of care (Berry et al., 2020). Apps can also reduce stigma. It is possible that an app based environment would be less stigmatizing or embarrassing than going to a clinic (which may only apply to younger adults who are comfortable with technology) (Naslund et al., 2020). Apps that are intuitive, evidence based and responsive usually have high levels of user satisfaction. Trials of SilverCloud indicate that it leads to increased well-being, and alleviates anxiety and depressive symptoms among users; many app-based therapy clients also appreciate the flexibility and ease of use offered by this form factor (Richards et al., 2020).</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Engagement and adherence are, however, significant issues. App based intervention retention rates are often relatively poor, with many users ceasing use after a short period of time (Linardon and Fuller-Tyszkiewicz, 2020). But in practice that constrains the utility of these apps. Service users may also feel anxious or inadequate when using self-monitoring instruments, especially if they are not managing to move forward (Firth et al., 2019b). Dependency on electronic reminders, for some, may be detrimental to selfefficacy. Privacy and information security are additional concerns. Mental health information is extremely personal, and users may be hesitant to provide private data to commercial sources (O’Loughlin et al., 2019).</w:t>
      </w:r>
    </w:p>
    <w:p w:rsidR="00000000" w:rsidDel="00000000" w:rsidP="00000000" w:rsidRDefault="00000000" w:rsidRPr="00000000" w14:paraId="00000055">
      <w:pPr>
        <w:pStyle w:val="Heading1"/>
        <w:numPr>
          <w:ilvl w:val="0"/>
          <w:numId w:val="1"/>
        </w:numPr>
        <w:tabs>
          <w:tab w:val="left" w:leader="none" w:pos="0"/>
        </w:tabs>
        <w:ind w:left="0" w:firstLine="0"/>
        <w:rPr>
          <w:b w:val="1"/>
          <w:sz w:val="24"/>
          <w:szCs w:val="24"/>
        </w:rPr>
      </w:pPr>
      <w:bookmarkStart w:colFirst="0" w:colLast="0" w:name="_vpyoxcpb7jyl" w:id="5"/>
      <w:bookmarkEnd w:id="5"/>
      <w:r w:rsidDel="00000000" w:rsidR="00000000" w:rsidRPr="00000000">
        <w:rPr>
          <w:b w:val="1"/>
          <w:sz w:val="24"/>
          <w:szCs w:val="24"/>
          <w:rtl w:val="0"/>
        </w:rPr>
        <w:t xml:space="preserve">Impact on the Community</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the community, digital mental health apps may be able to promote wellbeing more widely, although effects are inconsistent. One positive effect is on the assistance for families and carers. In empowering individuals to take care of their own mental health in a more self-directed manner, they may decrease caregiver burden and offer peace of mind to family members (Berry et al., 2020). At the population level, digital apps support public health through dissemination of interventions and encouraging wellness activities such as mindfulness and stress reduction. Down the marketing funnel, one of the most pressing issues facing those who are promoting digital mental health interventions is ensuring access to such low-cost or free interventions in order to increase prevention and early intervention opportunities that will ultimately reduce the societal costs associated with untreated mental illness (Hollis et al., 2019). Access for rural and underprivileged populations in specific can be enhanced by the availability of digital tools as mobile apps can alleviate geographic impediments to accessing face clinical services (Naslund et al., 2020).</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Yet challenges persist. There is a risk that digital exclusion is unevenly distributed among marginalised groups such as individuals on low incomes and in low connectivity areas (ONS, 2021). This has the potential to exacerbate health inequalities, at a community level, with marginalised populations left behind by digital first approaches. Cultural factors also influence uptake. In societies where stigmatisation of mental health is high, the opportunity to use apps may not be seized due to unwillingness or fear, leaving much untapped potential (Foley et al., 2021). Lastly, the growing dependence on commercial vendors raises issues of profit driven incentives in community health. It has been suggested that vulnerable groups may be particularly susceptible to being "exploited" regarding (monetising) mental health data (O’Loughlin et al.While digital mental health tools can build community resilience and wellbeing, a key factor in their effectiveness is accessibility, relevance and ethical oversight.</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pStyle w:val="Heading1"/>
        <w:numPr>
          <w:ilvl w:val="0"/>
          <w:numId w:val="1"/>
        </w:numPr>
        <w:tabs>
          <w:tab w:val="left" w:leader="none" w:pos="0"/>
        </w:tabs>
        <w:ind w:left="0" w:firstLine="0"/>
        <w:rPr>
          <w:b w:val="1"/>
          <w:sz w:val="24"/>
          <w:szCs w:val="24"/>
        </w:rPr>
      </w:pPr>
      <w:bookmarkStart w:colFirst="0" w:colLast="0" w:name="_w3ija37qtido" w:id="6"/>
      <w:bookmarkEnd w:id="6"/>
      <w:r w:rsidDel="00000000" w:rsidR="00000000" w:rsidRPr="00000000">
        <w:rPr>
          <w:b w:val="1"/>
          <w:sz w:val="24"/>
          <w:szCs w:val="24"/>
          <w:rtl w:val="0"/>
        </w:rPr>
        <w:t xml:space="preserve">Critical Evaluation of Digital Transformation</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Together, this reflects the hightech promise and reality of digital innovation in health and social care. On the workforce side, apps extend capacity and enable new skills, but they also add to workloads and question professional identity. Regarding service provision, they encourage accessibility, scalability and preventive care but with uneven levels of use because of digital exclusion, quality variation and difficulties in integrating. For patients, apps provide empowerment, flexibility and reduced stigma, but effectiveness often depends on levels of engagement, digital literacy and trust. In the community they may benefit public health and reduce caregiver burden but also have potential to further disadvantage the most vulnerable and affect ethical issues regarding commercialisation.</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data implies that DMH apps are more likely to be complementary than substitutive to traditional care. They are most effective as part of blended models, that is, the combination of digital intervention and professional support. Sustainability relies on mainstreaming digital literacy among staff and patients, robust quality and privacy regulation, and the development of policies to mitigate digital exclusion. Without such action, the rewards of innovation in digital mental health may be unevenly distributed with little corresponding transformative impact.</w:t>
      </w:r>
    </w:p>
    <w:p w:rsidR="00000000" w:rsidDel="00000000" w:rsidP="00000000" w:rsidRDefault="00000000" w:rsidRPr="00000000" w14:paraId="0000005C">
      <w:pPr>
        <w:pStyle w:val="Heading1"/>
        <w:numPr>
          <w:ilvl w:val="0"/>
          <w:numId w:val="1"/>
        </w:numPr>
        <w:tabs>
          <w:tab w:val="left" w:leader="none" w:pos="0"/>
        </w:tabs>
        <w:ind w:left="0" w:firstLine="0"/>
        <w:rPr>
          <w:b w:val="1"/>
          <w:sz w:val="24"/>
          <w:szCs w:val="24"/>
        </w:rPr>
      </w:pPr>
      <w:bookmarkStart w:colFirst="0" w:colLast="0" w:name="_c05y28z0ddjg" w:id="7"/>
      <w:bookmarkEnd w:id="7"/>
      <w:r w:rsidDel="00000000" w:rsidR="00000000" w:rsidRPr="00000000">
        <w:rPr>
          <w:b w:val="1"/>
          <w:sz w:val="24"/>
          <w:szCs w:val="24"/>
          <w:rtl w:val="0"/>
        </w:rPr>
        <w:t xml:space="preserve">Conclusion</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Digital mental health apps are one of the most important technological advances in UK health and social care of the past 10 years. Their incorporation into services has transformed workforce roles, service models of care, patient experience and community health. They present solutions that can open up access, reduce stigma and empower people as well as efficiencies and scalability in overburdened systems. Nevertheless, such advances are weighed by challenges regarding engagement, access equality and workforce upskilling and ethical stewardship.There is a need to invest in digital infrastructure, training the workforce and patient codesign. If this kind of regulation and oversight was enacted, digital mental health apps could be an efficient and equitable addition to the UK’s mental health plan catering for escalating requirement while promoting community resilience.</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0">
      <w:pPr>
        <w:pStyle w:val="Heading1"/>
        <w:numPr>
          <w:ilvl w:val="0"/>
          <w:numId w:val="1"/>
        </w:numPr>
        <w:tabs>
          <w:tab w:val="left" w:leader="none" w:pos="0"/>
        </w:tabs>
        <w:ind w:left="0" w:firstLine="0"/>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pStyle w:val="Heading1"/>
        <w:numPr>
          <w:ilvl w:val="0"/>
          <w:numId w:val="1"/>
        </w:numPr>
        <w:tabs>
          <w:tab w:val="left" w:leader="none" w:pos="0"/>
        </w:tabs>
        <w:ind w:left="0" w:firstLine="0"/>
        <w:rPr>
          <w:b w:val="1"/>
        </w:rPr>
      </w:pPr>
      <w:bookmarkStart w:colFirst="0" w:colLast="0" w:name="_xjorpcw1hhgv" w:id="8"/>
      <w:bookmarkEnd w:id="8"/>
      <w:r w:rsidDel="00000000" w:rsidR="00000000" w:rsidRPr="00000000">
        <w:rPr>
          <w:b w:val="1"/>
          <w:rtl w:val="0"/>
        </w:rPr>
        <w:t xml:space="preserve">References</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Berry, N., Lobban, F. and Bucci, S. (2020) ‘A qualitative exploration of service user views about using digital health interventions for self-management in severe mental health problems’, BMC Psychiatry, 20(1), pp. 1–13.</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Blease, C., Kaptchuk, T., Bernstein, M. and Mandl, K. (2019) ‘Artificial intelligence and the future of psychiatry: Insights from a global physician survey’, Digital Medicine, 2(1), pp. 1–6.</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Donker, T., Petrie, K., Proudfoot, J., Clarke, J., Birch, M. and Christensen, H. (2019) ‘Smartphones for smarter delivery of mental health programs: A systematic review’, Journal of Medical Internet Research, 15(11), pp. 247–255.</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Firth, J., Torous, J., Nicholas, J., Carney, R., Pratap, A., Rosenbaum, S. and Sarris, J. (2019) ‘The efficacy of smartphone-based mental health interventions for depressive symptoms: A meta-analysis of randomized controlled trials’, World Psychiatry, 18(3), pp. 325–336.</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Foley, T., Woollard, J. and Foy, R. (2021) ‘Digital mental health and primary care: A UK perspective’, BJGP Open, 5(2), pp. 1–5.</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Hollis, C., Morriss, R., Martin, J., Amani, S., Cotton, R., Denis, M. and Lewis, S. (2019) ‘Technological innovations in mental healthcare: Harnessing the digital revolution’, British Journal of Psychiatry, 215(3), pp. 504–507.</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Ingram, E., Lederman, R. and Bosua, R. (2022) ‘Interoperability of digital health systems: Challenges and opportunities for integrated care’, Health Informatics Journal, 28(2), pp. 1–13.</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Larsen, M., Nicholas, J., Christensen, H. and Bennett, K. (2019) ‘A systematic assessment of smartphone tools for suicide prevention’, PLOS ONE, 11(4), e0152285.</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Linardon, J. and Fuller-Tyszkiewicz, M. (2020) ‘Attrition and adherence in smartphone-delivered interventions for mental health problems: A systematic and meta-analytic review’, Journal of Consulting and Clinical Psychology, 88(1), pp. 1–13.</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Mind (2022) Mental Health Workforce Shortages. Available at: https://www.mind.org.uk(Accessed: 10 September 2025).</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Naslund, J., Aschbrenner, K. and Bartels, S. (2020) ‘Digital technology for health promotion: Opportunities to address excess mortality in persons living with severe mental disorders’, Evidence-Based Mental Health, 19(1), pp. 10–16.</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NHS Digital (2021) Digital Mental Health Evidence Review. Available at: https://digital.nhs.uk (Accessed: 10 September 2025).</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NHS England (2019) The NHS Long Term Plan. London: NHS England.</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NHSX (2020) Digital Health during COVID-19. Available at: https://www.nhsx.nhs.uk (Accessed: 10 September 2025).</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Nicholas, J., Fogarty, A. and Boydell, K. (2020) ‘The role of digital technologies in youth mental health services’, JMIR Mental Health, 7(8), e17496.</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O’Loughlin, K., Neary, M., Adkins, E. and Schueller, S. (2019) ‘Review of mobile apps for suicide prevention: Content analysis and quality assessment’, JMIR Mental Health, 6(1), e12589.</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ONS (2021) Exploring the UK’s Digital Divide. Office for National Statistics. Available at: https://www.ons.gov.uk (Accessed: 11 September 2025).</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Royal College of Psychiatrists (2020) Digital Mental Health and the Workforce. London: RCPsych.</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Torous, J., Lipschitz, J., Ng, M. and Firth, J. (2021) ‘Dropout rates in digital mental health interventions: Evidence and implications’, World Psychiatry, 20(2), pp. 291–293.</w:t>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sectPr>
      <w:footerReference r:id="rId6" w:type="default"/>
      <w:pgSz w:h="16838" w:w="11906" w:orient="portrait"/>
      <w:pgMar w:bottom="1440" w:top="708" w:left="1440" w:right="1440" w:header="0"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
      <w:lvlJc w:val="left"/>
      <w:pPr>
        <w:ind w:left="0" w:firstLine="0"/>
      </w:pPr>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Arial" w:cs="Arial" w:eastAsia="Arial" w:hAnsi="Arial"/>
      <w:b w:val="0"/>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160" w:line="276" w:lineRule="auto"/>
      <w:ind w:left="0" w:right="0" w:firstLine="0"/>
      <w:jc w:val="left"/>
    </w:pPr>
    <w:rPr>
      <w:rFonts w:ascii="Play" w:cs="Play" w:eastAsia="Play" w:hAnsi="Play"/>
      <w:b w:val="0"/>
      <w:i w:val="0"/>
      <w:smallCaps w:val="0"/>
      <w:strike w:val="0"/>
      <w:color w:val="0f4761"/>
      <w:sz w:val="32"/>
      <w:szCs w:val="32"/>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160" w:line="276" w:lineRule="auto"/>
      <w:ind w:left="0" w:right="0" w:firstLine="0"/>
      <w:jc w:val="left"/>
    </w:pPr>
    <w:rPr>
      <w:rFonts w:ascii="Aptos" w:cs="Aptos" w:eastAsia="Aptos" w:hAnsi="Aptos"/>
      <w:b w:val="0"/>
      <w:i w:val="0"/>
      <w:smallCaps w:val="0"/>
      <w:strike w:val="0"/>
      <w:color w:val="0f4761"/>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80" w:line="276" w:lineRule="auto"/>
      <w:ind w:left="0" w:right="0" w:firstLine="0"/>
      <w:jc w:val="left"/>
    </w:pPr>
    <w:rPr>
      <w:rFonts w:ascii="Aptos" w:cs="Aptos" w:eastAsia="Aptos" w:hAnsi="Aptos"/>
      <w:b w:val="0"/>
      <w:i w:val="1"/>
      <w:smallCaps w:val="0"/>
      <w:strike w:val="0"/>
      <w:color w:val="0f4761"/>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80" w:line="276" w:lineRule="auto"/>
      <w:ind w:left="0" w:right="0" w:firstLine="0"/>
      <w:jc w:val="left"/>
    </w:pPr>
    <w:rPr>
      <w:rFonts w:ascii="Aptos" w:cs="Aptos" w:eastAsia="Aptos" w:hAnsi="Aptos"/>
      <w:b w:val="0"/>
      <w:i w:val="0"/>
      <w:smallCaps w:val="0"/>
      <w:strike w:val="0"/>
      <w:color w:val="0f4761"/>
      <w:sz w:val="24"/>
      <w:szCs w:val="24"/>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pPr>
    <w:rPr>
      <w:rFonts w:ascii="Aptos" w:cs="Aptos" w:eastAsia="Aptos" w:hAnsi="Aptos"/>
      <w:b w:val="0"/>
      <w:i w:val="1"/>
      <w:smallCaps w:val="0"/>
      <w:strike w:val="0"/>
      <w:color w:val="595959"/>
      <w:sz w:val="24"/>
      <w:szCs w:val="24"/>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pPr>
    <w:rPr>
      <w:rFonts w:ascii="Play" w:cs="Play" w:eastAsia="Play" w:hAnsi="Play"/>
      <w:b w:val="0"/>
      <w:i w:val="0"/>
      <w:smallCaps w:val="0"/>
      <w:strike w:val="0"/>
      <w:color w:val="000000"/>
      <w:sz w:val="56"/>
      <w:szCs w:val="56"/>
      <w:u w:val="none"/>
      <w:shd w:fill="auto" w:val="clear"/>
      <w:vertAlign w:val="baseline"/>
    </w:r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pPr>
    <w:rPr>
      <w:rFonts w:ascii="Aptos" w:cs="Aptos" w:eastAsia="Aptos" w:hAnsi="Aptos"/>
      <w:b w:val="0"/>
      <w:i w:val="0"/>
      <w:smallCaps w:val="0"/>
      <w:strike w:val="0"/>
      <w:color w:val="595959"/>
      <w:sz w:val="28"/>
      <w:szCs w:val="2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