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EBCA2" w14:textId="6C923224" w:rsidR="00464440" w:rsidRPr="00E45841" w:rsidRDefault="003F4A17" w:rsidP="003F4A17">
      <w:pPr>
        <w:jc w:val="left"/>
        <w:rPr>
          <w:rFonts w:ascii="Arial" w:hAnsi="Arial" w:cs="Arial"/>
          <w:sz w:val="22"/>
        </w:rPr>
      </w:pPr>
      <w:r>
        <w:rPr>
          <w:noProof/>
        </w:rPr>
        <w:drawing>
          <wp:inline distT="0" distB="0" distL="0" distR="0" wp14:anchorId="3F9A8C22" wp14:editId="113BA667">
            <wp:extent cx="1876425" cy="720645"/>
            <wp:effectExtent l="0" t="0" r="0" b="3810"/>
            <wp:docPr id="1975504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04789" name="Picture 1975504789"/>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0104" cy="722058"/>
                    </a:xfrm>
                    <a:prstGeom prst="rect">
                      <a:avLst/>
                    </a:prstGeom>
                  </pic:spPr>
                </pic:pic>
              </a:graphicData>
            </a:graphic>
          </wp:inline>
        </w:drawing>
      </w:r>
    </w:p>
    <w:p w14:paraId="37BEC8E8" w14:textId="77777777" w:rsidR="00464440" w:rsidRPr="00E45841" w:rsidRDefault="00464440" w:rsidP="00E45841">
      <w:pPr>
        <w:jc w:val="center"/>
        <w:rPr>
          <w:rFonts w:ascii="Arial" w:hAnsi="Arial" w:cs="Arial"/>
          <w:sz w:val="22"/>
        </w:rPr>
      </w:pPr>
    </w:p>
    <w:p w14:paraId="6483F694" w14:textId="77777777" w:rsidR="00464440" w:rsidRPr="00E45841" w:rsidRDefault="00464440" w:rsidP="00E45841">
      <w:pPr>
        <w:jc w:val="center"/>
        <w:rPr>
          <w:rFonts w:ascii="Arial" w:hAnsi="Arial" w:cs="Arial"/>
          <w:sz w:val="22"/>
        </w:rPr>
      </w:pPr>
    </w:p>
    <w:p w14:paraId="0C8098B7" w14:textId="77777777" w:rsidR="00464440" w:rsidRPr="00E45841" w:rsidRDefault="00464440" w:rsidP="00E45841">
      <w:pPr>
        <w:jc w:val="center"/>
        <w:rPr>
          <w:rFonts w:ascii="Arial" w:hAnsi="Arial" w:cs="Arial"/>
          <w:b/>
          <w:bCs/>
          <w:sz w:val="22"/>
        </w:rPr>
      </w:pPr>
    </w:p>
    <w:p w14:paraId="78473F87" w14:textId="475792BB" w:rsidR="00E26C2D" w:rsidRPr="00E45841" w:rsidRDefault="00E26C2D" w:rsidP="00E45841">
      <w:pPr>
        <w:jc w:val="center"/>
        <w:rPr>
          <w:rFonts w:ascii="Arial" w:hAnsi="Arial" w:cs="Arial"/>
          <w:b/>
          <w:bCs/>
          <w:sz w:val="22"/>
        </w:rPr>
      </w:pPr>
      <w:r w:rsidRPr="00E45841">
        <w:rPr>
          <w:rFonts w:ascii="Arial" w:hAnsi="Arial" w:cs="Arial"/>
          <w:b/>
          <w:bCs/>
          <w:sz w:val="22"/>
        </w:rPr>
        <w:t>Title:</w:t>
      </w:r>
      <w:r w:rsidR="00F87B43" w:rsidRPr="00E45841">
        <w:rPr>
          <w:rFonts w:ascii="Arial" w:hAnsi="Arial" w:cs="Arial"/>
          <w:b/>
          <w:bCs/>
          <w:sz w:val="22"/>
        </w:rPr>
        <w:t xml:space="preserve"> Impact of SDG 3 and SDG 10 on Health, Wellbeing and Inequalities in the UK: A Birmingham-Based Analysis</w:t>
      </w:r>
    </w:p>
    <w:p w14:paraId="605D1AF2" w14:textId="2D2FDC88" w:rsidR="00E26C2D" w:rsidRPr="00E45841" w:rsidRDefault="00E26C2D" w:rsidP="00E45841">
      <w:pPr>
        <w:jc w:val="center"/>
        <w:rPr>
          <w:rFonts w:ascii="Arial" w:hAnsi="Arial" w:cs="Arial"/>
          <w:b/>
          <w:bCs/>
          <w:sz w:val="22"/>
        </w:rPr>
      </w:pPr>
      <w:r w:rsidRPr="00E45841">
        <w:rPr>
          <w:rFonts w:ascii="Arial" w:hAnsi="Arial" w:cs="Arial"/>
          <w:b/>
          <w:bCs/>
          <w:sz w:val="22"/>
        </w:rPr>
        <w:t xml:space="preserve">Name: </w:t>
      </w:r>
      <w:r w:rsidR="003F4A17">
        <w:rPr>
          <w:rFonts w:ascii="Arial" w:hAnsi="Arial" w:cs="Arial"/>
          <w:b/>
          <w:bCs/>
          <w:sz w:val="22"/>
        </w:rPr>
        <w:t>Anum Abid</w:t>
      </w:r>
    </w:p>
    <w:p w14:paraId="6EDFAE52" w14:textId="2DCE71A2" w:rsidR="00E26C2D" w:rsidRPr="00E45841" w:rsidRDefault="003F4A17" w:rsidP="00E45841">
      <w:pPr>
        <w:jc w:val="center"/>
        <w:rPr>
          <w:rFonts w:ascii="Arial" w:hAnsi="Arial" w:cs="Arial"/>
          <w:b/>
          <w:bCs/>
          <w:sz w:val="22"/>
        </w:rPr>
      </w:pPr>
      <w:r>
        <w:rPr>
          <w:rFonts w:ascii="Arial" w:hAnsi="Arial" w:cs="Arial"/>
          <w:b/>
          <w:bCs/>
          <w:sz w:val="22"/>
        </w:rPr>
        <w:t xml:space="preserve">Student </w:t>
      </w:r>
      <w:r w:rsidR="00E26C2D" w:rsidRPr="00E45841">
        <w:rPr>
          <w:rFonts w:ascii="Arial" w:hAnsi="Arial" w:cs="Arial"/>
          <w:b/>
          <w:bCs/>
          <w:sz w:val="22"/>
        </w:rPr>
        <w:t xml:space="preserve">Number: </w:t>
      </w:r>
      <w:r>
        <w:rPr>
          <w:rFonts w:ascii="Arial" w:hAnsi="Arial" w:cs="Arial"/>
          <w:b/>
          <w:bCs/>
          <w:sz w:val="22"/>
        </w:rPr>
        <w:t>2313820</w:t>
      </w:r>
    </w:p>
    <w:p w14:paraId="0E53E411" w14:textId="7DC1DCAC" w:rsidR="00D21AF7" w:rsidRPr="00E45841" w:rsidRDefault="00E26C2D" w:rsidP="00E45841">
      <w:pPr>
        <w:jc w:val="center"/>
        <w:rPr>
          <w:rFonts w:ascii="Arial" w:hAnsi="Arial" w:cs="Arial"/>
          <w:sz w:val="22"/>
        </w:rPr>
      </w:pPr>
      <w:r w:rsidRPr="00E45841">
        <w:rPr>
          <w:rFonts w:ascii="Arial" w:hAnsi="Arial" w:cs="Arial"/>
          <w:b/>
          <w:bCs/>
          <w:sz w:val="22"/>
        </w:rPr>
        <w:t>Tutor’s Name:</w:t>
      </w:r>
      <w:r w:rsidR="003F4A17">
        <w:rPr>
          <w:rFonts w:ascii="Arial" w:hAnsi="Arial" w:cs="Arial"/>
          <w:b/>
          <w:bCs/>
          <w:sz w:val="22"/>
        </w:rPr>
        <w:t xml:space="preserve"> Phillip Jones</w:t>
      </w:r>
      <w:r w:rsidRPr="00E45841">
        <w:rPr>
          <w:rFonts w:ascii="Arial" w:hAnsi="Arial" w:cs="Arial"/>
          <w:b/>
          <w:bCs/>
          <w:sz w:val="22"/>
        </w:rPr>
        <w:t xml:space="preserve"> </w:t>
      </w:r>
      <w:r w:rsidR="00335184" w:rsidRPr="00E45841">
        <w:rPr>
          <w:rFonts w:ascii="Arial" w:hAnsi="Arial" w:cs="Arial"/>
          <w:sz w:val="22"/>
        </w:rPr>
        <w:br w:type="page"/>
      </w:r>
    </w:p>
    <w:sdt>
      <w:sdtPr>
        <w:rPr>
          <w:rFonts w:ascii="Arial" w:eastAsiaTheme="minorHAnsi" w:hAnsi="Arial" w:cs="Arial"/>
          <w:b w:val="0"/>
          <w:bCs/>
          <w:color w:val="auto"/>
          <w:kern w:val="2"/>
          <w:sz w:val="22"/>
          <w:szCs w:val="22"/>
          <w:lang w:val="en-GB"/>
          <w14:ligatures w14:val="standardContextual"/>
        </w:rPr>
        <w:id w:val="2079267196"/>
        <w:docPartObj>
          <w:docPartGallery w:val="Table of Contents"/>
          <w:docPartUnique/>
        </w:docPartObj>
      </w:sdtPr>
      <w:sdtEndPr>
        <w:rPr>
          <w:bCs w:val="0"/>
          <w:color w:val="000000" w:themeColor="text1"/>
        </w:rPr>
      </w:sdtEndPr>
      <w:sdtContent>
        <w:p w14:paraId="67D890FB" w14:textId="63EA27B2" w:rsidR="00714BE8" w:rsidRPr="00E45841" w:rsidRDefault="003F4A17" w:rsidP="003F4A17">
          <w:pPr>
            <w:pStyle w:val="TOCHeading"/>
            <w:rPr>
              <w:rFonts w:ascii="Arial" w:hAnsi="Arial" w:cs="Arial"/>
              <w:bCs/>
              <w:sz w:val="22"/>
              <w:szCs w:val="22"/>
            </w:rPr>
          </w:pPr>
          <w:r>
            <w:rPr>
              <w:rFonts w:ascii="Arial" w:eastAsiaTheme="minorHAnsi" w:hAnsi="Arial" w:cs="Arial"/>
              <w:b w:val="0"/>
              <w:bCs/>
              <w:color w:val="auto"/>
              <w:kern w:val="2"/>
              <w:sz w:val="22"/>
              <w:szCs w:val="22"/>
              <w:lang w:val="en-GB"/>
              <w14:ligatures w14:val="standardContextual"/>
            </w:rPr>
            <w:t xml:space="preserve"> </w:t>
          </w:r>
          <w:r w:rsidR="000771AD" w:rsidRPr="00E45841">
            <w:rPr>
              <w:rFonts w:ascii="Arial" w:eastAsiaTheme="minorHAnsi" w:hAnsi="Arial" w:cs="Arial"/>
              <w:bCs/>
              <w:color w:val="auto"/>
              <w:kern w:val="2"/>
              <w:sz w:val="22"/>
              <w:szCs w:val="22"/>
              <w:lang w:val="en-GB"/>
              <w14:ligatures w14:val="standardContextual"/>
            </w:rPr>
            <w:t xml:space="preserve">Table of </w:t>
          </w:r>
          <w:r w:rsidR="00714BE8" w:rsidRPr="00E45841">
            <w:rPr>
              <w:rFonts w:ascii="Arial" w:hAnsi="Arial" w:cs="Arial"/>
              <w:bCs/>
              <w:sz w:val="22"/>
              <w:szCs w:val="22"/>
            </w:rPr>
            <w:t>Contents</w:t>
          </w:r>
        </w:p>
        <w:p w14:paraId="253E11F7" w14:textId="260ABC2C" w:rsidR="00721AA6" w:rsidRPr="00E45841" w:rsidRDefault="00123BD6" w:rsidP="00E45841">
          <w:pPr>
            <w:pStyle w:val="TOC1"/>
            <w:tabs>
              <w:tab w:val="right" w:leader="dot" w:pos="9016"/>
            </w:tabs>
            <w:rPr>
              <w:rFonts w:ascii="Arial" w:eastAsiaTheme="minorEastAsia" w:hAnsi="Arial" w:cs="Arial"/>
              <w:noProof/>
              <w:color w:val="auto"/>
              <w:sz w:val="22"/>
              <w:lang w:val="en-US"/>
            </w:rPr>
          </w:pPr>
          <w:r w:rsidRPr="00E45841">
            <w:rPr>
              <w:rFonts w:ascii="Arial" w:hAnsi="Arial" w:cs="Arial"/>
              <w:sz w:val="22"/>
            </w:rPr>
            <w:fldChar w:fldCharType="begin"/>
          </w:r>
          <w:r w:rsidR="00714BE8" w:rsidRPr="00E45841">
            <w:rPr>
              <w:rFonts w:ascii="Arial" w:hAnsi="Arial" w:cs="Arial"/>
              <w:sz w:val="22"/>
            </w:rPr>
            <w:instrText>TOC \o "1-3" \z \u \h</w:instrText>
          </w:r>
          <w:r w:rsidRPr="00E45841">
            <w:rPr>
              <w:rFonts w:ascii="Arial" w:hAnsi="Arial" w:cs="Arial"/>
              <w:sz w:val="22"/>
            </w:rPr>
            <w:fldChar w:fldCharType="separate"/>
          </w:r>
          <w:hyperlink w:anchor="_Toc231703604" w:history="1">
            <w:r w:rsidR="00721AA6" w:rsidRPr="00E45841">
              <w:rPr>
                <w:rStyle w:val="Hyperlink"/>
                <w:rFonts w:ascii="Arial" w:hAnsi="Arial" w:cs="Arial"/>
                <w:noProof/>
                <w:sz w:val="22"/>
              </w:rPr>
              <w:t>1. Introduction</w:t>
            </w:r>
            <w:r w:rsidR="00721AA6" w:rsidRPr="00E45841">
              <w:rPr>
                <w:rFonts w:ascii="Arial" w:hAnsi="Arial" w:cs="Arial"/>
                <w:noProof/>
                <w:webHidden/>
                <w:sz w:val="22"/>
              </w:rPr>
              <w:tab/>
            </w:r>
            <w:r w:rsidR="00721AA6" w:rsidRPr="00E45841">
              <w:rPr>
                <w:rFonts w:ascii="Arial" w:hAnsi="Arial" w:cs="Arial"/>
                <w:noProof/>
                <w:webHidden/>
                <w:sz w:val="22"/>
              </w:rPr>
              <w:fldChar w:fldCharType="begin"/>
            </w:r>
            <w:r w:rsidR="00721AA6" w:rsidRPr="00E45841">
              <w:rPr>
                <w:rFonts w:ascii="Arial" w:hAnsi="Arial" w:cs="Arial"/>
                <w:noProof/>
                <w:webHidden/>
                <w:sz w:val="22"/>
              </w:rPr>
              <w:instrText xml:space="preserve"> PAGEREF _Toc231703604 \h </w:instrText>
            </w:r>
            <w:r w:rsidR="00721AA6" w:rsidRPr="00E45841">
              <w:rPr>
                <w:rFonts w:ascii="Arial" w:hAnsi="Arial" w:cs="Arial"/>
                <w:noProof/>
                <w:webHidden/>
                <w:sz w:val="22"/>
              </w:rPr>
            </w:r>
            <w:r w:rsidR="00721AA6" w:rsidRPr="00E45841">
              <w:rPr>
                <w:rFonts w:ascii="Arial" w:hAnsi="Arial" w:cs="Arial"/>
                <w:noProof/>
                <w:webHidden/>
                <w:sz w:val="22"/>
              </w:rPr>
              <w:fldChar w:fldCharType="separate"/>
            </w:r>
            <w:r w:rsidR="00721AA6" w:rsidRPr="00E45841">
              <w:rPr>
                <w:rFonts w:ascii="Arial" w:hAnsi="Arial" w:cs="Arial"/>
                <w:noProof/>
                <w:webHidden/>
                <w:sz w:val="22"/>
              </w:rPr>
              <w:t>1</w:t>
            </w:r>
            <w:r w:rsidR="00721AA6" w:rsidRPr="00E45841">
              <w:rPr>
                <w:rFonts w:ascii="Arial" w:hAnsi="Arial" w:cs="Arial"/>
                <w:noProof/>
                <w:webHidden/>
                <w:sz w:val="22"/>
              </w:rPr>
              <w:fldChar w:fldCharType="end"/>
            </w:r>
          </w:hyperlink>
        </w:p>
        <w:p w14:paraId="5944028D" w14:textId="61CC29E0" w:rsidR="00721AA6" w:rsidRPr="00E45841" w:rsidRDefault="00721AA6" w:rsidP="00E45841">
          <w:pPr>
            <w:pStyle w:val="TOC1"/>
            <w:tabs>
              <w:tab w:val="right" w:leader="dot" w:pos="9016"/>
            </w:tabs>
            <w:rPr>
              <w:rFonts w:ascii="Arial" w:eastAsiaTheme="minorEastAsia" w:hAnsi="Arial" w:cs="Arial"/>
              <w:noProof/>
              <w:color w:val="auto"/>
              <w:sz w:val="22"/>
              <w:lang w:val="en-US"/>
            </w:rPr>
          </w:pPr>
          <w:hyperlink w:anchor="_Toc231703605" w:history="1">
            <w:r w:rsidRPr="00E45841">
              <w:rPr>
                <w:rStyle w:val="Hyperlink"/>
                <w:rFonts w:ascii="Arial" w:hAnsi="Arial" w:cs="Arial"/>
                <w:noProof/>
                <w:sz w:val="22"/>
              </w:rPr>
              <w:t>2. Background: Health, Wellbeing and Sustainable Development</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_Toc231703605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1</w:t>
            </w:r>
            <w:r w:rsidRPr="00E45841">
              <w:rPr>
                <w:rFonts w:ascii="Arial" w:hAnsi="Arial" w:cs="Arial"/>
                <w:noProof/>
                <w:webHidden/>
                <w:sz w:val="22"/>
              </w:rPr>
              <w:fldChar w:fldCharType="end"/>
            </w:r>
          </w:hyperlink>
        </w:p>
        <w:p w14:paraId="2122C28D" w14:textId="7DA3AEC4" w:rsidR="00721AA6" w:rsidRPr="00E45841" w:rsidRDefault="00721AA6" w:rsidP="00E45841">
          <w:pPr>
            <w:pStyle w:val="TOC1"/>
            <w:tabs>
              <w:tab w:val="right" w:leader="dot" w:pos="9016"/>
            </w:tabs>
            <w:rPr>
              <w:rFonts w:ascii="Arial" w:eastAsiaTheme="minorEastAsia" w:hAnsi="Arial" w:cs="Arial"/>
              <w:noProof/>
              <w:color w:val="auto"/>
              <w:sz w:val="22"/>
              <w:lang w:val="en-US"/>
            </w:rPr>
          </w:pPr>
          <w:hyperlink w:anchor="_Toc231703606" w:history="1">
            <w:r w:rsidRPr="00E45841">
              <w:rPr>
                <w:rStyle w:val="Hyperlink"/>
                <w:rFonts w:ascii="Arial" w:hAnsi="Arial" w:cs="Arial"/>
                <w:noProof/>
                <w:sz w:val="22"/>
              </w:rPr>
              <w:t>3. SDG 3: Good Health and Wellbeing</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_Toc231703606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1</w:t>
            </w:r>
            <w:r w:rsidRPr="00E45841">
              <w:rPr>
                <w:rFonts w:ascii="Arial" w:hAnsi="Arial" w:cs="Arial"/>
                <w:noProof/>
                <w:webHidden/>
                <w:sz w:val="22"/>
              </w:rPr>
              <w:fldChar w:fldCharType="end"/>
            </w:r>
          </w:hyperlink>
        </w:p>
        <w:p w14:paraId="4D8E6135" w14:textId="0F083166" w:rsidR="00721AA6" w:rsidRPr="00E45841" w:rsidRDefault="00721AA6" w:rsidP="00E45841">
          <w:pPr>
            <w:pStyle w:val="TOC2"/>
            <w:tabs>
              <w:tab w:val="right" w:leader="dot" w:pos="9016"/>
            </w:tabs>
            <w:rPr>
              <w:rFonts w:ascii="Arial" w:eastAsiaTheme="minorEastAsia" w:hAnsi="Arial" w:cs="Arial"/>
              <w:noProof/>
              <w:color w:val="auto"/>
              <w:sz w:val="22"/>
              <w:lang w:val="en-US"/>
            </w:rPr>
          </w:pPr>
          <w:hyperlink w:anchor="_Toc231703607" w:history="1">
            <w:r w:rsidRPr="00E45841">
              <w:rPr>
                <w:rStyle w:val="Hyperlink"/>
                <w:rFonts w:ascii="Arial" w:hAnsi="Arial" w:cs="Arial"/>
                <w:noProof/>
                <w:sz w:val="22"/>
              </w:rPr>
              <w:t>3.1 Overview of SDG 3</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_Toc231703607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1</w:t>
            </w:r>
            <w:r w:rsidRPr="00E45841">
              <w:rPr>
                <w:rFonts w:ascii="Arial" w:hAnsi="Arial" w:cs="Arial"/>
                <w:noProof/>
                <w:webHidden/>
                <w:sz w:val="22"/>
              </w:rPr>
              <w:fldChar w:fldCharType="end"/>
            </w:r>
          </w:hyperlink>
        </w:p>
        <w:p w14:paraId="6A33FAC1" w14:textId="04F8D074" w:rsidR="00721AA6" w:rsidRPr="00E45841" w:rsidRDefault="00721AA6" w:rsidP="00E45841">
          <w:pPr>
            <w:pStyle w:val="TOC2"/>
            <w:tabs>
              <w:tab w:val="right" w:leader="dot" w:pos="9016"/>
            </w:tabs>
            <w:rPr>
              <w:rFonts w:ascii="Arial" w:eastAsiaTheme="minorEastAsia" w:hAnsi="Arial" w:cs="Arial"/>
              <w:noProof/>
              <w:color w:val="auto"/>
              <w:sz w:val="22"/>
              <w:lang w:val="en-US"/>
            </w:rPr>
          </w:pPr>
          <w:hyperlink w:anchor="_Toc231703608" w:history="1">
            <w:r w:rsidRPr="00E45841">
              <w:rPr>
                <w:rStyle w:val="Hyperlink"/>
                <w:rFonts w:ascii="Arial" w:hAnsi="Arial" w:cs="Arial"/>
                <w:noProof/>
                <w:sz w:val="22"/>
              </w:rPr>
              <w:t>3.2 Global Initiatives Linked to SDG 3</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_Toc231703608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2</w:t>
            </w:r>
            <w:r w:rsidRPr="00E45841">
              <w:rPr>
                <w:rFonts w:ascii="Arial" w:hAnsi="Arial" w:cs="Arial"/>
                <w:noProof/>
                <w:webHidden/>
                <w:sz w:val="22"/>
              </w:rPr>
              <w:fldChar w:fldCharType="end"/>
            </w:r>
          </w:hyperlink>
        </w:p>
        <w:p w14:paraId="6727A969" w14:textId="3318E739" w:rsidR="00721AA6" w:rsidRPr="00E45841" w:rsidRDefault="00721AA6" w:rsidP="00E45841">
          <w:pPr>
            <w:pStyle w:val="TOC2"/>
            <w:tabs>
              <w:tab w:val="right" w:leader="dot" w:pos="9016"/>
            </w:tabs>
            <w:rPr>
              <w:rFonts w:ascii="Arial" w:eastAsiaTheme="minorEastAsia" w:hAnsi="Arial" w:cs="Arial"/>
              <w:noProof/>
              <w:color w:val="auto"/>
              <w:sz w:val="22"/>
              <w:lang w:val="en-US"/>
            </w:rPr>
          </w:pPr>
          <w:hyperlink w:anchor="_Toc231703609" w:history="1">
            <w:r w:rsidRPr="00E45841">
              <w:rPr>
                <w:rStyle w:val="Hyperlink"/>
                <w:rFonts w:ascii="Arial" w:hAnsi="Arial" w:cs="Arial"/>
                <w:noProof/>
                <w:sz w:val="22"/>
              </w:rPr>
              <w:t>3.3 National UK Initiatives Linked to SDG 3</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_Toc231703609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2</w:t>
            </w:r>
            <w:r w:rsidRPr="00E45841">
              <w:rPr>
                <w:rFonts w:ascii="Arial" w:hAnsi="Arial" w:cs="Arial"/>
                <w:noProof/>
                <w:webHidden/>
                <w:sz w:val="22"/>
              </w:rPr>
              <w:fldChar w:fldCharType="end"/>
            </w:r>
          </w:hyperlink>
        </w:p>
        <w:p w14:paraId="779AFF2D" w14:textId="7456D363" w:rsidR="00721AA6" w:rsidRPr="00E45841" w:rsidRDefault="00721AA6" w:rsidP="00E45841">
          <w:pPr>
            <w:pStyle w:val="TOC2"/>
            <w:tabs>
              <w:tab w:val="right" w:leader="dot" w:pos="9016"/>
            </w:tabs>
            <w:rPr>
              <w:rFonts w:ascii="Arial" w:eastAsiaTheme="minorEastAsia" w:hAnsi="Arial" w:cs="Arial"/>
              <w:noProof/>
              <w:color w:val="auto"/>
              <w:sz w:val="22"/>
              <w:lang w:val="en-US"/>
            </w:rPr>
          </w:pPr>
          <w:hyperlink w:anchor="_Toc231703610" w:history="1">
            <w:r w:rsidRPr="00E45841">
              <w:rPr>
                <w:rStyle w:val="Hyperlink"/>
                <w:rFonts w:ascii="Arial" w:hAnsi="Arial" w:cs="Arial"/>
                <w:noProof/>
                <w:sz w:val="22"/>
              </w:rPr>
              <w:t>3.4 Birmingham Local Focus</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_Toc231703610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3</w:t>
            </w:r>
            <w:r w:rsidRPr="00E45841">
              <w:rPr>
                <w:rFonts w:ascii="Arial" w:hAnsi="Arial" w:cs="Arial"/>
                <w:noProof/>
                <w:webHidden/>
                <w:sz w:val="22"/>
              </w:rPr>
              <w:fldChar w:fldCharType="end"/>
            </w:r>
          </w:hyperlink>
        </w:p>
        <w:p w14:paraId="103C5FFB" w14:textId="75458806" w:rsidR="00721AA6" w:rsidRPr="00E45841" w:rsidRDefault="00721AA6" w:rsidP="00E45841">
          <w:pPr>
            <w:pStyle w:val="TOC2"/>
            <w:tabs>
              <w:tab w:val="right" w:leader="dot" w:pos="9016"/>
            </w:tabs>
            <w:rPr>
              <w:rFonts w:ascii="Arial" w:eastAsiaTheme="minorEastAsia" w:hAnsi="Arial" w:cs="Arial"/>
              <w:noProof/>
              <w:color w:val="auto"/>
              <w:sz w:val="22"/>
              <w:lang w:val="en-US"/>
            </w:rPr>
          </w:pPr>
          <w:hyperlink w:anchor="_Toc231703611" w:history="1">
            <w:r w:rsidRPr="00E45841">
              <w:rPr>
                <w:rStyle w:val="Hyperlink"/>
                <w:rFonts w:ascii="Arial" w:hAnsi="Arial" w:cs="Arial"/>
                <w:noProof/>
                <w:sz w:val="22"/>
              </w:rPr>
              <w:t>3.5 Theory Application to SDG 3</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_Toc231703611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3</w:t>
            </w:r>
            <w:r w:rsidRPr="00E45841">
              <w:rPr>
                <w:rFonts w:ascii="Arial" w:hAnsi="Arial" w:cs="Arial"/>
                <w:noProof/>
                <w:webHidden/>
                <w:sz w:val="22"/>
              </w:rPr>
              <w:fldChar w:fldCharType="end"/>
            </w:r>
          </w:hyperlink>
        </w:p>
        <w:p w14:paraId="773AD2C2" w14:textId="5D189C48" w:rsidR="00721AA6" w:rsidRPr="00E45841" w:rsidRDefault="00721AA6" w:rsidP="00E45841">
          <w:pPr>
            <w:pStyle w:val="TOC1"/>
            <w:tabs>
              <w:tab w:val="right" w:leader="dot" w:pos="9016"/>
            </w:tabs>
            <w:rPr>
              <w:rFonts w:ascii="Arial" w:eastAsiaTheme="minorEastAsia" w:hAnsi="Arial" w:cs="Arial"/>
              <w:noProof/>
              <w:color w:val="auto"/>
              <w:sz w:val="22"/>
              <w:lang w:val="en-US"/>
            </w:rPr>
          </w:pPr>
          <w:hyperlink w:anchor="_Toc231703612" w:history="1">
            <w:r w:rsidRPr="00E45841">
              <w:rPr>
                <w:rStyle w:val="Hyperlink"/>
                <w:rFonts w:ascii="Arial" w:hAnsi="Arial" w:cs="Arial"/>
                <w:noProof/>
                <w:sz w:val="22"/>
              </w:rPr>
              <w:t>4. SDG 10: Reduced Inequalities</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_Toc231703612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3</w:t>
            </w:r>
            <w:r w:rsidRPr="00E45841">
              <w:rPr>
                <w:rFonts w:ascii="Arial" w:hAnsi="Arial" w:cs="Arial"/>
                <w:noProof/>
                <w:webHidden/>
                <w:sz w:val="22"/>
              </w:rPr>
              <w:fldChar w:fldCharType="end"/>
            </w:r>
          </w:hyperlink>
        </w:p>
        <w:p w14:paraId="26B44D9F" w14:textId="1C48DD82" w:rsidR="00721AA6" w:rsidRPr="00E45841" w:rsidRDefault="00721AA6" w:rsidP="00E45841">
          <w:pPr>
            <w:pStyle w:val="TOC2"/>
            <w:tabs>
              <w:tab w:val="right" w:leader="dot" w:pos="9016"/>
            </w:tabs>
            <w:rPr>
              <w:rFonts w:ascii="Arial" w:eastAsiaTheme="minorEastAsia" w:hAnsi="Arial" w:cs="Arial"/>
              <w:noProof/>
              <w:color w:val="auto"/>
              <w:sz w:val="22"/>
              <w:lang w:val="en-US"/>
            </w:rPr>
          </w:pPr>
          <w:hyperlink w:anchor="_Toc231703613" w:history="1">
            <w:r w:rsidRPr="00E45841">
              <w:rPr>
                <w:rStyle w:val="Hyperlink"/>
                <w:rFonts w:ascii="Arial" w:hAnsi="Arial" w:cs="Arial"/>
                <w:noProof/>
                <w:sz w:val="22"/>
              </w:rPr>
              <w:t>4.1 Overview of SDG 10</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_Toc231703613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3</w:t>
            </w:r>
            <w:r w:rsidRPr="00E45841">
              <w:rPr>
                <w:rFonts w:ascii="Arial" w:hAnsi="Arial" w:cs="Arial"/>
                <w:noProof/>
                <w:webHidden/>
                <w:sz w:val="22"/>
              </w:rPr>
              <w:fldChar w:fldCharType="end"/>
            </w:r>
          </w:hyperlink>
        </w:p>
        <w:p w14:paraId="6E128B06" w14:textId="24B9B023" w:rsidR="00721AA6" w:rsidRPr="00E45841" w:rsidRDefault="00721AA6" w:rsidP="00E45841">
          <w:pPr>
            <w:pStyle w:val="TOC2"/>
            <w:tabs>
              <w:tab w:val="right" w:leader="dot" w:pos="9016"/>
            </w:tabs>
            <w:rPr>
              <w:rFonts w:ascii="Arial" w:eastAsiaTheme="minorEastAsia" w:hAnsi="Arial" w:cs="Arial"/>
              <w:noProof/>
              <w:color w:val="auto"/>
              <w:sz w:val="22"/>
              <w:lang w:val="en-US"/>
            </w:rPr>
          </w:pPr>
          <w:hyperlink w:anchor="_Toc231703614" w:history="1">
            <w:r w:rsidRPr="00E45841">
              <w:rPr>
                <w:rStyle w:val="Hyperlink"/>
                <w:rFonts w:ascii="Arial" w:hAnsi="Arial" w:cs="Arial"/>
                <w:noProof/>
                <w:sz w:val="22"/>
              </w:rPr>
              <w:t>4.2 Global Health Inequalities</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_Toc231703614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3</w:t>
            </w:r>
            <w:r w:rsidRPr="00E45841">
              <w:rPr>
                <w:rFonts w:ascii="Arial" w:hAnsi="Arial" w:cs="Arial"/>
                <w:noProof/>
                <w:webHidden/>
                <w:sz w:val="22"/>
              </w:rPr>
              <w:fldChar w:fldCharType="end"/>
            </w:r>
          </w:hyperlink>
        </w:p>
        <w:p w14:paraId="586C6335" w14:textId="585CD6AB" w:rsidR="00721AA6" w:rsidRPr="00E45841" w:rsidRDefault="00721AA6" w:rsidP="00E45841">
          <w:pPr>
            <w:pStyle w:val="TOC2"/>
            <w:tabs>
              <w:tab w:val="right" w:leader="dot" w:pos="9016"/>
            </w:tabs>
            <w:rPr>
              <w:rFonts w:ascii="Arial" w:eastAsiaTheme="minorEastAsia" w:hAnsi="Arial" w:cs="Arial"/>
              <w:noProof/>
              <w:color w:val="auto"/>
              <w:sz w:val="22"/>
              <w:lang w:val="en-US"/>
            </w:rPr>
          </w:pPr>
          <w:hyperlink w:anchor="_Toc231703615" w:history="1">
            <w:r w:rsidRPr="00E45841">
              <w:rPr>
                <w:rStyle w:val="Hyperlink"/>
                <w:rFonts w:ascii="Arial" w:hAnsi="Arial" w:cs="Arial"/>
                <w:noProof/>
                <w:sz w:val="22"/>
              </w:rPr>
              <w:t>4.3 National UK Initiatives Linked to SDG 10</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_Toc231703615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4</w:t>
            </w:r>
            <w:r w:rsidRPr="00E45841">
              <w:rPr>
                <w:rFonts w:ascii="Arial" w:hAnsi="Arial" w:cs="Arial"/>
                <w:noProof/>
                <w:webHidden/>
                <w:sz w:val="22"/>
              </w:rPr>
              <w:fldChar w:fldCharType="end"/>
            </w:r>
          </w:hyperlink>
        </w:p>
        <w:p w14:paraId="5126D62C" w14:textId="450C09A2" w:rsidR="00721AA6" w:rsidRPr="00E45841" w:rsidRDefault="00721AA6" w:rsidP="00E45841">
          <w:pPr>
            <w:pStyle w:val="TOC2"/>
            <w:tabs>
              <w:tab w:val="right" w:leader="dot" w:pos="9016"/>
            </w:tabs>
            <w:rPr>
              <w:rFonts w:ascii="Arial" w:eastAsiaTheme="minorEastAsia" w:hAnsi="Arial" w:cs="Arial"/>
              <w:noProof/>
              <w:color w:val="auto"/>
              <w:sz w:val="22"/>
              <w:lang w:val="en-US"/>
            </w:rPr>
          </w:pPr>
          <w:hyperlink w:anchor="_Toc231703616" w:history="1">
            <w:r w:rsidRPr="00E45841">
              <w:rPr>
                <w:rStyle w:val="Hyperlink"/>
                <w:rFonts w:ascii="Arial" w:hAnsi="Arial" w:cs="Arial"/>
                <w:noProof/>
                <w:sz w:val="22"/>
              </w:rPr>
              <w:t>4.4 Birmingham Local Focus</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_Toc231703616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4</w:t>
            </w:r>
            <w:r w:rsidRPr="00E45841">
              <w:rPr>
                <w:rFonts w:ascii="Arial" w:hAnsi="Arial" w:cs="Arial"/>
                <w:noProof/>
                <w:webHidden/>
                <w:sz w:val="22"/>
              </w:rPr>
              <w:fldChar w:fldCharType="end"/>
            </w:r>
          </w:hyperlink>
        </w:p>
        <w:p w14:paraId="59F341BB" w14:textId="4C47F448" w:rsidR="00721AA6" w:rsidRPr="00E45841" w:rsidRDefault="00721AA6" w:rsidP="00E45841">
          <w:pPr>
            <w:pStyle w:val="TOC2"/>
            <w:tabs>
              <w:tab w:val="right" w:leader="dot" w:pos="9016"/>
            </w:tabs>
            <w:rPr>
              <w:rFonts w:ascii="Arial" w:eastAsiaTheme="minorEastAsia" w:hAnsi="Arial" w:cs="Arial"/>
              <w:noProof/>
              <w:color w:val="auto"/>
              <w:sz w:val="22"/>
              <w:lang w:val="en-US"/>
            </w:rPr>
          </w:pPr>
          <w:hyperlink w:anchor="_Toc231703617" w:history="1">
            <w:r w:rsidRPr="00E45841">
              <w:rPr>
                <w:rStyle w:val="Hyperlink"/>
                <w:rFonts w:ascii="Arial" w:hAnsi="Arial" w:cs="Arial"/>
                <w:noProof/>
                <w:sz w:val="22"/>
              </w:rPr>
              <w:t>4.5 Theory Application to SDG 10</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_Toc231703617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4</w:t>
            </w:r>
            <w:r w:rsidRPr="00E45841">
              <w:rPr>
                <w:rFonts w:ascii="Arial" w:hAnsi="Arial" w:cs="Arial"/>
                <w:noProof/>
                <w:webHidden/>
                <w:sz w:val="22"/>
              </w:rPr>
              <w:fldChar w:fldCharType="end"/>
            </w:r>
          </w:hyperlink>
        </w:p>
        <w:p w14:paraId="642D846A" w14:textId="037E603F" w:rsidR="00721AA6" w:rsidRPr="00E45841" w:rsidRDefault="00721AA6" w:rsidP="00E45841">
          <w:pPr>
            <w:pStyle w:val="TOC1"/>
            <w:tabs>
              <w:tab w:val="right" w:leader="dot" w:pos="9016"/>
            </w:tabs>
            <w:rPr>
              <w:rFonts w:ascii="Arial" w:eastAsiaTheme="minorEastAsia" w:hAnsi="Arial" w:cs="Arial"/>
              <w:noProof/>
              <w:color w:val="auto"/>
              <w:sz w:val="22"/>
              <w:lang w:val="en-US"/>
            </w:rPr>
          </w:pPr>
          <w:hyperlink w:anchor="_Toc231703618" w:history="1">
            <w:r w:rsidRPr="00E45841">
              <w:rPr>
                <w:rStyle w:val="Hyperlink"/>
                <w:rFonts w:ascii="Arial" w:hAnsi="Arial" w:cs="Arial"/>
                <w:noProof/>
                <w:sz w:val="22"/>
              </w:rPr>
              <w:t>5. Integrated Critical Discussion</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_Toc231703618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5</w:t>
            </w:r>
            <w:r w:rsidRPr="00E45841">
              <w:rPr>
                <w:rFonts w:ascii="Arial" w:hAnsi="Arial" w:cs="Arial"/>
                <w:noProof/>
                <w:webHidden/>
                <w:sz w:val="22"/>
              </w:rPr>
              <w:fldChar w:fldCharType="end"/>
            </w:r>
          </w:hyperlink>
        </w:p>
        <w:p w14:paraId="413DBC69" w14:textId="6510470B" w:rsidR="00721AA6" w:rsidRPr="00E45841" w:rsidRDefault="00721AA6" w:rsidP="00E45841">
          <w:pPr>
            <w:pStyle w:val="TOC1"/>
            <w:tabs>
              <w:tab w:val="right" w:leader="dot" w:pos="9016"/>
            </w:tabs>
            <w:rPr>
              <w:rFonts w:ascii="Arial" w:eastAsiaTheme="minorEastAsia" w:hAnsi="Arial" w:cs="Arial"/>
              <w:noProof/>
              <w:color w:val="auto"/>
              <w:sz w:val="22"/>
              <w:lang w:val="en-US"/>
            </w:rPr>
          </w:pPr>
          <w:hyperlink w:anchor="_Toc231703619" w:history="1">
            <w:r w:rsidRPr="00E45841">
              <w:rPr>
                <w:rStyle w:val="Hyperlink"/>
                <w:rFonts w:ascii="Arial" w:hAnsi="Arial" w:cs="Arial"/>
                <w:noProof/>
                <w:sz w:val="22"/>
              </w:rPr>
              <w:t>6. Recommendations</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_Toc231703619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5</w:t>
            </w:r>
            <w:r w:rsidRPr="00E45841">
              <w:rPr>
                <w:rFonts w:ascii="Arial" w:hAnsi="Arial" w:cs="Arial"/>
                <w:noProof/>
                <w:webHidden/>
                <w:sz w:val="22"/>
              </w:rPr>
              <w:fldChar w:fldCharType="end"/>
            </w:r>
          </w:hyperlink>
        </w:p>
        <w:p w14:paraId="7871E32E" w14:textId="70ED5DD6" w:rsidR="00721AA6" w:rsidRPr="00E45841" w:rsidRDefault="00721AA6" w:rsidP="00E45841">
          <w:pPr>
            <w:pStyle w:val="TOC1"/>
            <w:tabs>
              <w:tab w:val="right" w:leader="dot" w:pos="9016"/>
            </w:tabs>
            <w:rPr>
              <w:rFonts w:ascii="Arial" w:eastAsiaTheme="minorEastAsia" w:hAnsi="Arial" w:cs="Arial"/>
              <w:noProof/>
              <w:color w:val="auto"/>
              <w:sz w:val="22"/>
              <w:lang w:val="en-US"/>
            </w:rPr>
          </w:pPr>
          <w:hyperlink w:anchor="_Toc231703620" w:history="1">
            <w:r w:rsidRPr="00E45841">
              <w:rPr>
                <w:rStyle w:val="Hyperlink"/>
                <w:rFonts w:ascii="Arial" w:hAnsi="Arial" w:cs="Arial"/>
                <w:noProof/>
                <w:sz w:val="22"/>
              </w:rPr>
              <w:t>7. Conclusion</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_Toc231703620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6</w:t>
            </w:r>
            <w:r w:rsidRPr="00E45841">
              <w:rPr>
                <w:rFonts w:ascii="Arial" w:hAnsi="Arial" w:cs="Arial"/>
                <w:noProof/>
                <w:webHidden/>
                <w:sz w:val="22"/>
              </w:rPr>
              <w:fldChar w:fldCharType="end"/>
            </w:r>
          </w:hyperlink>
        </w:p>
        <w:p w14:paraId="44255026" w14:textId="76C9BFE6" w:rsidR="00721AA6" w:rsidRPr="00E45841" w:rsidRDefault="00721AA6" w:rsidP="00E45841">
          <w:pPr>
            <w:pStyle w:val="TOC1"/>
            <w:tabs>
              <w:tab w:val="right" w:leader="dot" w:pos="9016"/>
            </w:tabs>
            <w:rPr>
              <w:rFonts w:ascii="Arial" w:eastAsiaTheme="minorEastAsia" w:hAnsi="Arial" w:cs="Arial"/>
              <w:noProof/>
              <w:color w:val="auto"/>
              <w:sz w:val="22"/>
              <w:lang w:val="en-US"/>
            </w:rPr>
          </w:pPr>
          <w:hyperlink w:anchor="_Toc231703621" w:history="1">
            <w:r w:rsidRPr="00E45841">
              <w:rPr>
                <w:rStyle w:val="Hyperlink"/>
                <w:rFonts w:ascii="Arial" w:hAnsi="Arial" w:cs="Arial"/>
                <w:noProof/>
                <w:sz w:val="22"/>
              </w:rPr>
              <w:t>References:</w:t>
            </w:r>
            <w:r w:rsidRPr="00E45841">
              <w:rPr>
                <w:rFonts w:ascii="Arial" w:hAnsi="Arial" w:cs="Arial"/>
                <w:noProof/>
                <w:webHidden/>
                <w:sz w:val="22"/>
              </w:rPr>
              <w:tab/>
            </w:r>
            <w:r w:rsidRPr="00E45841">
              <w:rPr>
                <w:rFonts w:ascii="Arial" w:hAnsi="Arial" w:cs="Arial"/>
                <w:noProof/>
                <w:webHidden/>
                <w:sz w:val="22"/>
              </w:rPr>
              <w:fldChar w:fldCharType="begin"/>
            </w:r>
            <w:r w:rsidRPr="00E45841">
              <w:rPr>
                <w:rFonts w:ascii="Arial" w:hAnsi="Arial" w:cs="Arial"/>
                <w:noProof/>
                <w:webHidden/>
                <w:sz w:val="22"/>
              </w:rPr>
              <w:instrText xml:space="preserve"> PAGEREF _Toc231703621 \h </w:instrText>
            </w:r>
            <w:r w:rsidRPr="00E45841">
              <w:rPr>
                <w:rFonts w:ascii="Arial" w:hAnsi="Arial" w:cs="Arial"/>
                <w:noProof/>
                <w:webHidden/>
                <w:sz w:val="22"/>
              </w:rPr>
            </w:r>
            <w:r w:rsidRPr="00E45841">
              <w:rPr>
                <w:rFonts w:ascii="Arial" w:hAnsi="Arial" w:cs="Arial"/>
                <w:noProof/>
                <w:webHidden/>
                <w:sz w:val="22"/>
              </w:rPr>
              <w:fldChar w:fldCharType="separate"/>
            </w:r>
            <w:r w:rsidRPr="00E45841">
              <w:rPr>
                <w:rFonts w:ascii="Arial" w:hAnsi="Arial" w:cs="Arial"/>
                <w:noProof/>
                <w:webHidden/>
                <w:sz w:val="22"/>
              </w:rPr>
              <w:t>7</w:t>
            </w:r>
            <w:r w:rsidRPr="00E45841">
              <w:rPr>
                <w:rFonts w:ascii="Arial" w:hAnsi="Arial" w:cs="Arial"/>
                <w:noProof/>
                <w:webHidden/>
                <w:sz w:val="22"/>
              </w:rPr>
              <w:fldChar w:fldCharType="end"/>
            </w:r>
          </w:hyperlink>
        </w:p>
        <w:p w14:paraId="5C4BD6A0" w14:textId="6680A622" w:rsidR="00123BD6" w:rsidRPr="00E45841" w:rsidRDefault="00123BD6" w:rsidP="00E45841">
          <w:pPr>
            <w:pStyle w:val="TOC1"/>
            <w:tabs>
              <w:tab w:val="right" w:leader="dot" w:pos="9015"/>
            </w:tabs>
            <w:rPr>
              <w:rStyle w:val="Hyperlink"/>
              <w:rFonts w:ascii="Arial" w:hAnsi="Arial" w:cs="Arial"/>
              <w:noProof/>
              <w:sz w:val="22"/>
              <w:lang w:eastAsia="en-GB"/>
            </w:rPr>
          </w:pPr>
          <w:r w:rsidRPr="00E45841">
            <w:rPr>
              <w:rFonts w:ascii="Arial" w:hAnsi="Arial" w:cs="Arial"/>
              <w:sz w:val="22"/>
            </w:rPr>
            <w:fldChar w:fldCharType="end"/>
          </w:r>
        </w:p>
      </w:sdtContent>
    </w:sdt>
    <w:p w14:paraId="7A3ED123" w14:textId="1124F799" w:rsidR="00714BE8" w:rsidRPr="00E45841" w:rsidRDefault="00714BE8" w:rsidP="00E45841">
      <w:pPr>
        <w:rPr>
          <w:rFonts w:ascii="Arial" w:hAnsi="Arial" w:cs="Arial"/>
          <w:sz w:val="22"/>
        </w:rPr>
      </w:pPr>
    </w:p>
    <w:p w14:paraId="7D70F2F3" w14:textId="77777777" w:rsidR="001E6A9A" w:rsidRPr="00E45841" w:rsidRDefault="001E6A9A" w:rsidP="00E45841">
      <w:pPr>
        <w:jc w:val="left"/>
        <w:rPr>
          <w:rFonts w:ascii="Arial" w:eastAsiaTheme="majorEastAsia" w:hAnsi="Arial" w:cs="Arial"/>
          <w:b/>
          <w:sz w:val="22"/>
        </w:rPr>
      </w:pPr>
      <w:r w:rsidRPr="00E45841">
        <w:rPr>
          <w:rFonts w:ascii="Arial" w:hAnsi="Arial" w:cs="Arial"/>
          <w:sz w:val="22"/>
        </w:rPr>
        <w:br w:type="page"/>
      </w:r>
    </w:p>
    <w:p w14:paraId="2E8FAF6A" w14:textId="77777777" w:rsidR="00D6681F" w:rsidRPr="00E45841" w:rsidRDefault="00D6681F" w:rsidP="00E45841">
      <w:pPr>
        <w:pStyle w:val="Heading1"/>
        <w:spacing w:before="120" w:after="120"/>
        <w:rPr>
          <w:rFonts w:ascii="Arial" w:hAnsi="Arial" w:cs="Arial"/>
          <w:sz w:val="22"/>
          <w:szCs w:val="22"/>
        </w:rPr>
        <w:sectPr w:rsidR="00D6681F" w:rsidRPr="00E45841" w:rsidSect="00D6681F">
          <w:footerReference w:type="default" r:id="rId12"/>
          <w:pgSz w:w="11906" w:h="16838"/>
          <w:pgMar w:top="1440" w:right="1440" w:bottom="1440" w:left="1440" w:header="708" w:footer="708" w:gutter="0"/>
          <w:pgNumType w:fmt="lowerRoman" w:start="1"/>
          <w:cols w:space="708"/>
          <w:docGrid w:linePitch="360"/>
        </w:sectPr>
      </w:pPr>
    </w:p>
    <w:p w14:paraId="422C2D27" w14:textId="77777777" w:rsidR="001E6A9A" w:rsidRPr="00E45841" w:rsidRDefault="001E6A9A" w:rsidP="00E45841">
      <w:pPr>
        <w:pStyle w:val="Heading1"/>
        <w:spacing w:before="120" w:after="120"/>
        <w:rPr>
          <w:rFonts w:ascii="Arial" w:hAnsi="Arial" w:cs="Arial"/>
          <w:sz w:val="22"/>
          <w:szCs w:val="22"/>
        </w:rPr>
      </w:pPr>
      <w:bookmarkStart w:id="0" w:name="_Toc231703604"/>
      <w:r w:rsidRPr="00E45841">
        <w:rPr>
          <w:rFonts w:ascii="Arial" w:hAnsi="Arial" w:cs="Arial"/>
          <w:sz w:val="22"/>
          <w:szCs w:val="22"/>
        </w:rPr>
        <w:lastRenderedPageBreak/>
        <w:t>1. Introduction</w:t>
      </w:r>
      <w:bookmarkEnd w:id="0"/>
    </w:p>
    <w:p w14:paraId="33CD04B7" w14:textId="19475ECB" w:rsidR="001E6A9A" w:rsidRPr="00E45841" w:rsidRDefault="006C5BF1" w:rsidP="00E45841">
      <w:pPr>
        <w:spacing w:after="120"/>
        <w:rPr>
          <w:rFonts w:ascii="Arial" w:hAnsi="Arial" w:cs="Arial"/>
          <w:sz w:val="22"/>
        </w:rPr>
      </w:pPr>
      <w:r w:rsidRPr="00E45841">
        <w:rPr>
          <w:rFonts w:ascii="Arial" w:eastAsia="Arial" w:hAnsi="Arial" w:cs="Arial"/>
          <w:sz w:val="22"/>
        </w:rPr>
        <w:t xml:space="preserve">This report critically reviews the impact of Sustainable Development Goal 3, Good Health and Wellbeing, and Sustainable Development Goal 10, Reduced Inequalities on health, wellbeing and service delivery at a local level (Birmingham) within the United Kingdom. Health and wellbeing </w:t>
      </w:r>
      <w:r w:rsidR="00721AA6" w:rsidRPr="00E45841">
        <w:rPr>
          <w:rFonts w:ascii="Arial" w:eastAsia="Arial" w:hAnsi="Arial" w:cs="Arial"/>
          <w:sz w:val="22"/>
        </w:rPr>
        <w:t>are</w:t>
      </w:r>
      <w:r w:rsidRPr="00E45841">
        <w:rPr>
          <w:rFonts w:ascii="Arial" w:eastAsia="Arial" w:hAnsi="Arial" w:cs="Arial"/>
          <w:sz w:val="22"/>
        </w:rPr>
        <w:t xml:space="preserve"> more than treatment and the absence of disease. Mental health, social relationships, income, housing, education, culture, and environment and access to care shape them</w:t>
      </w:r>
      <w:r w:rsidR="00CD4A67" w:rsidRPr="00E45841">
        <w:rPr>
          <w:rFonts w:ascii="Arial" w:eastAsia="Arial" w:hAnsi="Arial" w:cs="Arial"/>
          <w:sz w:val="22"/>
        </w:rPr>
        <w:t xml:space="preserve"> (Mezzina et al., 2022)</w:t>
      </w:r>
      <w:r w:rsidRPr="00E45841">
        <w:rPr>
          <w:rFonts w:ascii="Arial" w:eastAsia="Arial" w:hAnsi="Arial" w:cs="Arial"/>
          <w:sz w:val="22"/>
        </w:rPr>
        <w:t>. The concept of sustainable development is therefore very relevant to health and social care since it is a concept that supports the creation of equitable, long term and responsible systems for the current and future populations. The report provides analysis of SDG 3 and SDG 10 at global, national and local levels. It also analyses ongoing work such as the NHS prevention policies, the work on health inequalities and approaches taken in Birmingham. The central argument is that SDG 3 cannot be realised without SDG 10, since deprivation, exclusion and unequal access remains a feature of outcomes for a range of urban communities, including Birmingham</w:t>
      </w:r>
      <w:r w:rsidR="003F5D3E" w:rsidRPr="00E45841">
        <w:rPr>
          <w:rFonts w:ascii="Arial" w:eastAsia="Arial" w:hAnsi="Arial" w:cs="Arial"/>
          <w:sz w:val="22"/>
        </w:rPr>
        <w:t xml:space="preserve"> (Un.org, 2025)</w:t>
      </w:r>
      <w:r w:rsidRPr="00E45841">
        <w:rPr>
          <w:rFonts w:ascii="Arial" w:eastAsia="Arial" w:hAnsi="Arial" w:cs="Arial"/>
          <w:sz w:val="22"/>
        </w:rPr>
        <w:t>.</w:t>
      </w:r>
    </w:p>
    <w:p w14:paraId="5B3AA843" w14:textId="77777777" w:rsidR="001E6A9A" w:rsidRPr="00E45841" w:rsidRDefault="001E6A9A" w:rsidP="00E45841">
      <w:pPr>
        <w:pStyle w:val="Heading1"/>
        <w:spacing w:before="120" w:after="120"/>
        <w:rPr>
          <w:rFonts w:ascii="Arial" w:hAnsi="Arial" w:cs="Arial"/>
          <w:sz w:val="22"/>
          <w:szCs w:val="22"/>
        </w:rPr>
      </w:pPr>
      <w:bookmarkStart w:id="1" w:name="_Toc231703605"/>
      <w:r w:rsidRPr="00E45841">
        <w:rPr>
          <w:rFonts w:ascii="Arial" w:hAnsi="Arial" w:cs="Arial"/>
          <w:sz w:val="22"/>
          <w:szCs w:val="22"/>
        </w:rPr>
        <w:t>2. Background: Health, Wellbeing and Sustainable Development</w:t>
      </w:r>
      <w:bookmarkEnd w:id="1"/>
    </w:p>
    <w:p w14:paraId="7455ECA0" w14:textId="329FCED1" w:rsidR="001E6A9A" w:rsidRPr="00E45841" w:rsidRDefault="006C5BF1" w:rsidP="00E45841">
      <w:pPr>
        <w:spacing w:after="120"/>
        <w:rPr>
          <w:rFonts w:ascii="Arial" w:hAnsi="Arial" w:cs="Arial"/>
          <w:sz w:val="22"/>
        </w:rPr>
      </w:pPr>
      <w:r w:rsidRPr="00E45841">
        <w:rPr>
          <w:rFonts w:ascii="Arial" w:eastAsia="Arial" w:hAnsi="Arial" w:cs="Arial"/>
          <w:sz w:val="22"/>
        </w:rPr>
        <w:t xml:space="preserve">Wellbeing is </w:t>
      </w:r>
      <w:r w:rsidR="00721AA6" w:rsidRPr="00E45841">
        <w:rPr>
          <w:rFonts w:ascii="Arial" w:eastAsia="Arial" w:hAnsi="Arial" w:cs="Arial"/>
          <w:sz w:val="22"/>
        </w:rPr>
        <w:t>social</w:t>
      </w:r>
      <w:r w:rsidRPr="00E45841">
        <w:rPr>
          <w:rFonts w:ascii="Arial" w:eastAsia="Arial" w:hAnsi="Arial" w:cs="Arial"/>
          <w:sz w:val="22"/>
        </w:rPr>
        <w:t xml:space="preserve">, emotional resilience, security, participation in their lives and life satisfaction, whereas health is physical, mental and social wellbeing. Sustainable development in health and social care is the continuous development of services that satisfies the needs at present, </w:t>
      </w:r>
      <w:r w:rsidR="00721AA6" w:rsidRPr="00E45841">
        <w:rPr>
          <w:rFonts w:ascii="Arial" w:eastAsia="Arial" w:hAnsi="Arial" w:cs="Arial"/>
          <w:sz w:val="22"/>
        </w:rPr>
        <w:t>and</w:t>
      </w:r>
      <w:r w:rsidRPr="00E45841">
        <w:rPr>
          <w:rFonts w:ascii="Arial" w:eastAsia="Arial" w:hAnsi="Arial" w:cs="Arial"/>
          <w:sz w:val="22"/>
        </w:rPr>
        <w:t xml:space="preserve"> at a later stage will be affordable, inclusive and responsible</w:t>
      </w:r>
      <w:r w:rsidR="003F5D3E" w:rsidRPr="00E45841">
        <w:rPr>
          <w:rFonts w:ascii="Arial" w:eastAsia="Arial" w:hAnsi="Arial" w:cs="Arial"/>
          <w:sz w:val="22"/>
        </w:rPr>
        <w:t xml:space="preserve"> (Chelak and Chakole, 2023)</w:t>
      </w:r>
      <w:r w:rsidRPr="00E45841">
        <w:rPr>
          <w:rFonts w:ascii="Arial" w:eastAsia="Arial" w:hAnsi="Arial" w:cs="Arial"/>
          <w:sz w:val="22"/>
        </w:rPr>
        <w:t xml:space="preserve">. This covers prevention, the efficient use of resources, digital innovation, community empowerment and minimising avoidable inequalities. The biopsychosocial model is helpful because it indicates that health is determined by both biological factors and psychological experiences and social conditions. A </w:t>
      </w:r>
      <w:r w:rsidR="00CD4A67" w:rsidRPr="00E45841">
        <w:rPr>
          <w:rFonts w:ascii="Arial" w:eastAsia="Arial" w:hAnsi="Arial" w:cs="Arial"/>
          <w:sz w:val="22"/>
        </w:rPr>
        <w:t>social determinant of health (SDOH) framework</w:t>
      </w:r>
      <w:r w:rsidRPr="00E45841">
        <w:rPr>
          <w:rFonts w:ascii="Arial" w:eastAsia="Arial" w:hAnsi="Arial" w:cs="Arial"/>
          <w:sz w:val="22"/>
        </w:rPr>
        <w:t xml:space="preserve"> recognizes factors such as income, work, home, ethnicity, education and neighbourhood conditions that can impact outcomes. The Health Belief Model is useful for understanding factors that prevent or encourage participation in a prevention programme</w:t>
      </w:r>
      <w:r w:rsidR="003F5D3E" w:rsidRPr="00E45841">
        <w:rPr>
          <w:rFonts w:ascii="Arial" w:eastAsia="Arial" w:hAnsi="Arial" w:cs="Arial"/>
          <w:sz w:val="22"/>
        </w:rPr>
        <w:t xml:space="preserve"> (Chen et al., 2021)</w:t>
      </w:r>
      <w:r w:rsidRPr="00E45841">
        <w:rPr>
          <w:rFonts w:ascii="Arial" w:eastAsia="Arial" w:hAnsi="Arial" w:cs="Arial"/>
          <w:sz w:val="22"/>
        </w:rPr>
        <w:t>. These models together indicate that to improve health, treatment alone is not enough; joined up policies and support for behaviour change, and action on inequality, are needed.</w:t>
      </w:r>
    </w:p>
    <w:p w14:paraId="1F63B19C" w14:textId="77777777" w:rsidR="001E6A9A" w:rsidRPr="00E45841" w:rsidRDefault="001E6A9A" w:rsidP="00E45841">
      <w:pPr>
        <w:pStyle w:val="Heading1"/>
        <w:spacing w:before="120" w:after="120"/>
        <w:rPr>
          <w:rFonts w:ascii="Arial" w:hAnsi="Arial" w:cs="Arial"/>
          <w:sz w:val="22"/>
          <w:szCs w:val="22"/>
        </w:rPr>
      </w:pPr>
      <w:bookmarkStart w:id="2" w:name="_Toc231703606"/>
      <w:r w:rsidRPr="00E45841">
        <w:rPr>
          <w:rFonts w:ascii="Arial" w:hAnsi="Arial" w:cs="Arial"/>
          <w:sz w:val="22"/>
          <w:szCs w:val="22"/>
        </w:rPr>
        <w:t>3. SDG 3: Good Health and Wellbeing</w:t>
      </w:r>
      <w:bookmarkEnd w:id="2"/>
    </w:p>
    <w:p w14:paraId="4EA16E56" w14:textId="77777777" w:rsidR="001E6A9A" w:rsidRPr="00E45841" w:rsidRDefault="001E6A9A" w:rsidP="00E45841">
      <w:pPr>
        <w:pStyle w:val="Heading2"/>
        <w:spacing w:before="80"/>
        <w:rPr>
          <w:rFonts w:ascii="Arial" w:hAnsi="Arial" w:cs="Arial"/>
          <w:sz w:val="22"/>
          <w:szCs w:val="22"/>
        </w:rPr>
      </w:pPr>
      <w:bookmarkStart w:id="3" w:name="_Toc231703607"/>
      <w:r w:rsidRPr="00E45841">
        <w:rPr>
          <w:rFonts w:ascii="Arial" w:hAnsi="Arial" w:cs="Arial"/>
          <w:sz w:val="22"/>
          <w:szCs w:val="22"/>
        </w:rPr>
        <w:t>3.1 Overview of SDG 3</w:t>
      </w:r>
      <w:bookmarkEnd w:id="3"/>
    </w:p>
    <w:p w14:paraId="2212A9B8" w14:textId="7CF09641" w:rsidR="001E6A9A" w:rsidRPr="00E45841" w:rsidRDefault="006C5BF1" w:rsidP="00E45841">
      <w:pPr>
        <w:spacing w:after="120"/>
        <w:rPr>
          <w:rFonts w:ascii="Arial" w:hAnsi="Arial" w:cs="Arial"/>
          <w:sz w:val="22"/>
        </w:rPr>
      </w:pPr>
      <w:r w:rsidRPr="00E45841">
        <w:rPr>
          <w:rFonts w:ascii="Arial" w:eastAsia="Arial" w:hAnsi="Arial" w:cs="Arial"/>
          <w:sz w:val="22"/>
        </w:rPr>
        <w:t xml:space="preserve">SDG 3 is about good health and wellbeing for everyone today and into the future. It covers objectives related to maternal and child health, infectious disease, non communicable disease, mental health, substance misuse, road safety, and universal health coverage and access to essential medicines. The UK link to SDG 3 is particularly strong with the NHS </w:t>
      </w:r>
      <w:r w:rsidRPr="00E45841">
        <w:rPr>
          <w:rFonts w:ascii="Arial" w:eastAsia="Arial" w:hAnsi="Arial" w:cs="Arial"/>
          <w:sz w:val="22"/>
        </w:rPr>
        <w:lastRenderedPageBreak/>
        <w:t>commitment to universal health coverage, prevention and integrated care</w:t>
      </w:r>
      <w:r w:rsidR="003F5D3E" w:rsidRPr="00E45841">
        <w:rPr>
          <w:rFonts w:ascii="Arial" w:eastAsia="Arial" w:hAnsi="Arial" w:cs="Arial"/>
          <w:sz w:val="22"/>
        </w:rPr>
        <w:t xml:space="preserve"> (England, 2026)</w:t>
      </w:r>
      <w:r w:rsidRPr="00E45841">
        <w:rPr>
          <w:rFonts w:ascii="Arial" w:eastAsia="Arial" w:hAnsi="Arial" w:cs="Arial"/>
          <w:sz w:val="22"/>
        </w:rPr>
        <w:t>. But it is not enough to have universal access, it must also produce equal outcomes. Individuals continue to wait long periods for care, and face inequities in care and prevention, due to regional variation and barriers to mental health services</w:t>
      </w:r>
      <w:r w:rsidR="00FB32AB" w:rsidRPr="00E45841">
        <w:rPr>
          <w:rFonts w:ascii="Arial" w:eastAsia="Arial" w:hAnsi="Arial" w:cs="Arial"/>
          <w:sz w:val="22"/>
        </w:rPr>
        <w:t xml:space="preserve"> (Gumbau-Albert, 2025)</w:t>
      </w:r>
      <w:r w:rsidRPr="00E45841">
        <w:rPr>
          <w:rFonts w:ascii="Arial" w:eastAsia="Arial" w:hAnsi="Arial" w:cs="Arial"/>
          <w:sz w:val="22"/>
        </w:rPr>
        <w:t>. Obesity, diabetes and cardiovascular disease, as well as mental health problems continue to be significant concerns. So SDG3 offers a good framework, but it will depend how well services reach those most at risk.</w:t>
      </w:r>
    </w:p>
    <w:p w14:paraId="4105AE77" w14:textId="77777777" w:rsidR="001E6A9A" w:rsidRPr="00E45841" w:rsidRDefault="001E6A9A" w:rsidP="00E45841">
      <w:pPr>
        <w:pStyle w:val="Heading2"/>
        <w:spacing w:before="80"/>
        <w:rPr>
          <w:rFonts w:ascii="Arial" w:hAnsi="Arial" w:cs="Arial"/>
          <w:sz w:val="22"/>
          <w:szCs w:val="22"/>
        </w:rPr>
      </w:pPr>
      <w:bookmarkStart w:id="4" w:name="_Toc231703608"/>
      <w:r w:rsidRPr="00E45841">
        <w:rPr>
          <w:rFonts w:ascii="Arial" w:hAnsi="Arial" w:cs="Arial"/>
          <w:sz w:val="22"/>
          <w:szCs w:val="22"/>
        </w:rPr>
        <w:t>3.2 Global Initiatives Linked to SDG 3</w:t>
      </w:r>
      <w:bookmarkEnd w:id="4"/>
    </w:p>
    <w:p w14:paraId="1202F508" w14:textId="0C9D23D0" w:rsidR="001E6A9A" w:rsidRPr="00E45841" w:rsidRDefault="006C5BF1" w:rsidP="00E45841">
      <w:pPr>
        <w:spacing w:after="120"/>
        <w:rPr>
          <w:rFonts w:ascii="Arial" w:hAnsi="Arial" w:cs="Arial"/>
          <w:sz w:val="22"/>
        </w:rPr>
      </w:pPr>
      <w:r w:rsidRPr="00E45841">
        <w:rPr>
          <w:rFonts w:ascii="Arial" w:eastAsia="Arial" w:hAnsi="Arial" w:cs="Arial"/>
          <w:sz w:val="22"/>
        </w:rPr>
        <w:t>Internationally, SDG 3 is backed by work undertaken through WHO health partnerships, the Global Fund, vaccination programmes and maternal and child health programmes. The efforts also have helped to control disease and enhance immunisation, emergency preparedness and awareness of UHC</w:t>
      </w:r>
      <w:r w:rsidR="00FB32AB" w:rsidRPr="00E45841">
        <w:rPr>
          <w:rFonts w:ascii="Arial" w:eastAsia="Arial" w:hAnsi="Arial" w:cs="Arial"/>
          <w:sz w:val="22"/>
        </w:rPr>
        <w:t xml:space="preserve"> (Blanc et al., 2022)</w:t>
      </w:r>
      <w:r w:rsidRPr="00E45841">
        <w:rPr>
          <w:rFonts w:ascii="Arial" w:eastAsia="Arial" w:hAnsi="Arial" w:cs="Arial"/>
          <w:sz w:val="22"/>
        </w:rPr>
        <w:t xml:space="preserve">. They also demonstrate the benefits of collaboration: infectious diseases, pandemics and climate change risks involve trans-border issues. But progress is still not even world-wide. Weaker health systems, a lack of human resources capacity, a shortage of medicines, weak infrastructure and dependence on external funding often characterize </w:t>
      </w:r>
      <w:r w:rsidR="00721AA6" w:rsidRPr="00E45841">
        <w:rPr>
          <w:rFonts w:ascii="Arial" w:eastAsia="Arial" w:hAnsi="Arial" w:cs="Arial"/>
          <w:sz w:val="22"/>
        </w:rPr>
        <w:t>low-income</w:t>
      </w:r>
      <w:r w:rsidRPr="00E45841">
        <w:rPr>
          <w:rFonts w:ascii="Arial" w:eastAsia="Arial" w:hAnsi="Arial" w:cs="Arial"/>
          <w:sz w:val="22"/>
        </w:rPr>
        <w:t xml:space="preserve"> countries</w:t>
      </w:r>
      <w:r w:rsidR="003F5D3E" w:rsidRPr="00E45841">
        <w:rPr>
          <w:rFonts w:ascii="Arial" w:eastAsia="Arial" w:hAnsi="Arial" w:cs="Arial"/>
          <w:sz w:val="22"/>
        </w:rPr>
        <w:t xml:space="preserve"> (World Health Organization, 2024)</w:t>
      </w:r>
      <w:r w:rsidRPr="00E45841">
        <w:rPr>
          <w:rFonts w:ascii="Arial" w:eastAsia="Arial" w:hAnsi="Arial" w:cs="Arial"/>
          <w:sz w:val="22"/>
        </w:rPr>
        <w:t>. COVID 19 pandemic revealed lack of preparedness and vaccine accessibility. Global measures are needed but not enough unless they have sustainable funding, and better local systems and resource distribution.</w:t>
      </w:r>
    </w:p>
    <w:p w14:paraId="167EF9AB" w14:textId="77777777" w:rsidR="001E6A9A" w:rsidRPr="00E45841" w:rsidRDefault="001E6A9A" w:rsidP="00E45841">
      <w:pPr>
        <w:pStyle w:val="Heading2"/>
        <w:spacing w:before="80"/>
        <w:rPr>
          <w:rFonts w:ascii="Arial" w:hAnsi="Arial" w:cs="Arial"/>
          <w:sz w:val="22"/>
          <w:szCs w:val="22"/>
        </w:rPr>
      </w:pPr>
      <w:bookmarkStart w:id="5" w:name="_Toc231703609"/>
      <w:r w:rsidRPr="00E45841">
        <w:rPr>
          <w:rFonts w:ascii="Arial" w:hAnsi="Arial" w:cs="Arial"/>
          <w:sz w:val="22"/>
          <w:szCs w:val="22"/>
        </w:rPr>
        <w:t>3.3 National UK Initiatives Linked to SDG 3</w:t>
      </w:r>
      <w:bookmarkEnd w:id="5"/>
    </w:p>
    <w:p w14:paraId="203CCCB8" w14:textId="744937D5" w:rsidR="001E6A9A" w:rsidRPr="00E45841" w:rsidRDefault="006C5BF1" w:rsidP="00E45841">
      <w:pPr>
        <w:spacing w:after="120"/>
        <w:rPr>
          <w:rFonts w:ascii="Arial" w:hAnsi="Arial" w:cs="Arial"/>
          <w:sz w:val="22"/>
        </w:rPr>
      </w:pPr>
      <w:r w:rsidRPr="00E45841">
        <w:rPr>
          <w:rFonts w:ascii="Arial" w:eastAsia="Arial" w:hAnsi="Arial" w:cs="Arial"/>
          <w:sz w:val="22"/>
        </w:rPr>
        <w:t xml:space="preserve">In the UK, there are </w:t>
      </w:r>
      <w:r w:rsidR="00721AA6" w:rsidRPr="00E45841">
        <w:rPr>
          <w:rFonts w:ascii="Arial" w:eastAsia="Arial" w:hAnsi="Arial" w:cs="Arial"/>
          <w:sz w:val="22"/>
        </w:rPr>
        <w:t>several</w:t>
      </w:r>
      <w:r w:rsidRPr="00E45841">
        <w:rPr>
          <w:rFonts w:ascii="Arial" w:eastAsia="Arial" w:hAnsi="Arial" w:cs="Arial"/>
          <w:sz w:val="22"/>
        </w:rPr>
        <w:t xml:space="preserve"> national programmes which help to achieve SDG 3. The NHS Long Term Plan encourages prevention, digital health, integrating care, mental health improvement and action to tackle inequalities. NHS Health Checks, diabetes prevention, smoking cessation and obesity related campaigns are all programmes that are designed to alleviate the risk of </w:t>
      </w:r>
      <w:r w:rsidR="00721AA6" w:rsidRPr="00E45841">
        <w:rPr>
          <w:rFonts w:ascii="Arial" w:eastAsia="Arial" w:hAnsi="Arial" w:cs="Arial"/>
          <w:sz w:val="22"/>
        </w:rPr>
        <w:t>long-term</w:t>
      </w:r>
      <w:r w:rsidRPr="00E45841">
        <w:rPr>
          <w:rFonts w:ascii="Arial" w:eastAsia="Arial" w:hAnsi="Arial" w:cs="Arial"/>
          <w:sz w:val="22"/>
        </w:rPr>
        <w:t xml:space="preserve"> illness before it gets to the point of being severe</w:t>
      </w:r>
      <w:r w:rsidR="00403B3C" w:rsidRPr="00E45841">
        <w:rPr>
          <w:rFonts w:ascii="Arial" w:eastAsia="Arial" w:hAnsi="Arial" w:cs="Arial"/>
          <w:sz w:val="22"/>
        </w:rPr>
        <w:t xml:space="preserve"> (Au-Yeung et al., 2024)</w:t>
      </w:r>
      <w:r w:rsidRPr="00E45841">
        <w:rPr>
          <w:rFonts w:ascii="Arial" w:eastAsia="Arial" w:hAnsi="Arial" w:cs="Arial"/>
          <w:sz w:val="22"/>
        </w:rPr>
        <w:t>. The importance of these initiatives is that they move the focus from treatment to prevention and promote earlier identification of risk. Extension of mental health services is also a reflection of SDG 3 on wellbeing, not just physical illness. But with a lack of staff, waiting lists, funding issues and uneven uptake, effectiveness is constrained. Citizens' confidence, digital access, and health literacy, as well as time, are often essential to the success of preventive services</w:t>
      </w:r>
      <w:r w:rsidR="00874B62" w:rsidRPr="00E45841">
        <w:rPr>
          <w:rFonts w:ascii="Arial" w:eastAsia="Arial" w:hAnsi="Arial" w:cs="Arial"/>
          <w:sz w:val="22"/>
        </w:rPr>
        <w:t xml:space="preserve"> (Fitzpatrick, 2023)</w:t>
      </w:r>
      <w:r w:rsidRPr="00E45841">
        <w:rPr>
          <w:rFonts w:ascii="Arial" w:eastAsia="Arial" w:hAnsi="Arial" w:cs="Arial"/>
          <w:sz w:val="22"/>
        </w:rPr>
        <w:t>.</w:t>
      </w:r>
    </w:p>
    <w:p w14:paraId="57868024" w14:textId="77777777" w:rsidR="001E6A9A" w:rsidRPr="00E45841" w:rsidRDefault="001E6A9A" w:rsidP="00E45841">
      <w:pPr>
        <w:pStyle w:val="Heading2"/>
        <w:spacing w:before="80"/>
        <w:rPr>
          <w:rFonts w:ascii="Arial" w:hAnsi="Arial" w:cs="Arial"/>
          <w:sz w:val="22"/>
          <w:szCs w:val="22"/>
        </w:rPr>
      </w:pPr>
      <w:bookmarkStart w:id="6" w:name="_Toc231703610"/>
      <w:r w:rsidRPr="00E45841">
        <w:rPr>
          <w:rFonts w:ascii="Arial" w:hAnsi="Arial" w:cs="Arial"/>
          <w:sz w:val="22"/>
          <w:szCs w:val="22"/>
        </w:rPr>
        <w:t>3.4 Birmingham Local Focus</w:t>
      </w:r>
      <w:bookmarkEnd w:id="6"/>
    </w:p>
    <w:p w14:paraId="5DEEC1FD" w14:textId="18DB3DDA" w:rsidR="001E6A9A" w:rsidRPr="00E45841" w:rsidRDefault="006C5BF1" w:rsidP="00E45841">
      <w:pPr>
        <w:spacing w:after="120"/>
        <w:rPr>
          <w:rFonts w:ascii="Arial" w:hAnsi="Arial" w:cs="Arial"/>
          <w:sz w:val="22"/>
        </w:rPr>
      </w:pPr>
      <w:r w:rsidRPr="00E45841">
        <w:rPr>
          <w:rFonts w:ascii="Arial" w:eastAsia="Arial" w:hAnsi="Arial" w:cs="Arial"/>
          <w:sz w:val="22"/>
        </w:rPr>
        <w:t xml:space="preserve">Birmingham is a good local example as it is a large, diverse city with clearly identified health and wellbeing inequalities. Local priorities are diabetes, obesity, smoking, mental health need, poor housing, and low income and unequal access to services. The health and wellbeing </w:t>
      </w:r>
      <w:r w:rsidRPr="00E45841">
        <w:rPr>
          <w:rFonts w:ascii="Arial" w:eastAsia="Arial" w:hAnsi="Arial" w:cs="Arial"/>
          <w:sz w:val="22"/>
        </w:rPr>
        <w:lastRenderedPageBreak/>
        <w:t>strategies for Birmingham, local needs assessments and integrated care strategies are designed to better support the community, tackle inequalities and improve prevention</w:t>
      </w:r>
      <w:r w:rsidR="003F5D3E" w:rsidRPr="00E45841">
        <w:rPr>
          <w:rFonts w:ascii="Arial" w:eastAsia="Arial" w:hAnsi="Arial" w:cs="Arial"/>
          <w:sz w:val="22"/>
        </w:rPr>
        <w:t xml:space="preserve"> (Council, 2022)</w:t>
      </w:r>
      <w:r w:rsidRPr="00E45841">
        <w:rPr>
          <w:rFonts w:ascii="Arial" w:eastAsia="Arial" w:hAnsi="Arial" w:cs="Arial"/>
          <w:sz w:val="22"/>
        </w:rPr>
        <w:t xml:space="preserve">. Local action is strong because it can be developed to meet local needs and is not a single national solution. Schools, faith organizations, voluntary organizations, community </w:t>
      </w:r>
      <w:r w:rsidR="00721AA6" w:rsidRPr="00E45841">
        <w:rPr>
          <w:rFonts w:ascii="Arial" w:eastAsia="Arial" w:hAnsi="Arial" w:cs="Arial"/>
          <w:sz w:val="22"/>
        </w:rPr>
        <w:t>centres</w:t>
      </w:r>
      <w:r w:rsidRPr="00E45841">
        <w:rPr>
          <w:rFonts w:ascii="Arial" w:eastAsia="Arial" w:hAnsi="Arial" w:cs="Arial"/>
          <w:sz w:val="22"/>
        </w:rPr>
        <w:t xml:space="preserve"> and general practices may be involved in outreach</w:t>
      </w:r>
      <w:r w:rsidR="00FB32AB" w:rsidRPr="00E45841">
        <w:rPr>
          <w:rFonts w:ascii="Arial" w:eastAsia="Arial" w:hAnsi="Arial" w:cs="Arial"/>
          <w:sz w:val="22"/>
        </w:rPr>
        <w:t xml:space="preserve"> (Syed et al., 2023)</w:t>
      </w:r>
      <w:r w:rsidRPr="00E45841">
        <w:rPr>
          <w:rFonts w:ascii="Arial" w:eastAsia="Arial" w:hAnsi="Arial" w:cs="Arial"/>
          <w:sz w:val="22"/>
        </w:rPr>
        <w:t>. But funding stability, culturally responsive communication, and correct data and trust among services and communities are crucial.</w:t>
      </w:r>
    </w:p>
    <w:p w14:paraId="2B94E9BE" w14:textId="77777777" w:rsidR="001E6A9A" w:rsidRPr="00E45841" w:rsidRDefault="001E6A9A" w:rsidP="00E45841">
      <w:pPr>
        <w:pStyle w:val="Heading2"/>
        <w:spacing w:before="80"/>
        <w:rPr>
          <w:rFonts w:ascii="Arial" w:hAnsi="Arial" w:cs="Arial"/>
          <w:sz w:val="22"/>
          <w:szCs w:val="22"/>
        </w:rPr>
      </w:pPr>
      <w:bookmarkStart w:id="7" w:name="_Toc231703611"/>
      <w:r w:rsidRPr="00E45841">
        <w:rPr>
          <w:rFonts w:ascii="Arial" w:hAnsi="Arial" w:cs="Arial"/>
          <w:sz w:val="22"/>
          <w:szCs w:val="22"/>
        </w:rPr>
        <w:t>3.5 Theory Application to SDG 3</w:t>
      </w:r>
      <w:bookmarkEnd w:id="7"/>
    </w:p>
    <w:p w14:paraId="0AD7E7E8" w14:textId="11CFE0CE" w:rsidR="001E6A9A" w:rsidRPr="00E45841" w:rsidRDefault="006C5BF1" w:rsidP="00E45841">
      <w:pPr>
        <w:spacing w:after="120"/>
        <w:rPr>
          <w:rFonts w:ascii="Arial" w:hAnsi="Arial" w:cs="Arial"/>
          <w:sz w:val="22"/>
        </w:rPr>
      </w:pPr>
      <w:r w:rsidRPr="00E45841">
        <w:rPr>
          <w:rFonts w:ascii="Arial" w:eastAsia="Arial" w:hAnsi="Arial" w:cs="Arial"/>
          <w:sz w:val="22"/>
        </w:rPr>
        <w:t>The Health Belief Model is one that helps to understand the reasons for the success or failure of SDG 3 projects. For instance, prevention of diabetes is more effective if citizens feel they are personally at risk, if they understand the serious consequences of diabetes and if they feel confident to change their lifestyle and are convinced that doing so will help</w:t>
      </w:r>
      <w:r w:rsidR="003F5D3E" w:rsidRPr="00E45841">
        <w:rPr>
          <w:rFonts w:ascii="Arial" w:eastAsia="Arial" w:hAnsi="Arial" w:cs="Arial"/>
          <w:sz w:val="22"/>
        </w:rPr>
        <w:t xml:space="preserve"> (Chen et al., 2021)</w:t>
      </w:r>
      <w:r w:rsidRPr="00E45841">
        <w:rPr>
          <w:rFonts w:ascii="Arial" w:eastAsia="Arial" w:hAnsi="Arial" w:cs="Arial"/>
          <w:sz w:val="22"/>
        </w:rPr>
        <w:t>. Cost, language, embarrassment, transport, and childcare and digital exclusion are barriers to engagement. Encouraging participation through cues to action: GP advice, community messages, family support. Prevention requires emotional and practical support, in addition to information.</w:t>
      </w:r>
    </w:p>
    <w:p w14:paraId="17E86682" w14:textId="77777777" w:rsidR="001E6A9A" w:rsidRPr="00E45841" w:rsidRDefault="001E6A9A" w:rsidP="00E45841">
      <w:pPr>
        <w:pStyle w:val="Heading1"/>
        <w:spacing w:before="120" w:after="120"/>
        <w:rPr>
          <w:rFonts w:ascii="Arial" w:hAnsi="Arial" w:cs="Arial"/>
          <w:sz w:val="22"/>
          <w:szCs w:val="22"/>
        </w:rPr>
      </w:pPr>
      <w:bookmarkStart w:id="8" w:name="_Toc231703612"/>
      <w:r w:rsidRPr="00E45841">
        <w:rPr>
          <w:rFonts w:ascii="Arial" w:hAnsi="Arial" w:cs="Arial"/>
          <w:sz w:val="22"/>
          <w:szCs w:val="22"/>
        </w:rPr>
        <w:t>4. SDG 10: Reduced Inequalities</w:t>
      </w:r>
      <w:bookmarkEnd w:id="8"/>
    </w:p>
    <w:p w14:paraId="49B137AF" w14:textId="77777777" w:rsidR="001E6A9A" w:rsidRPr="00E45841" w:rsidRDefault="001E6A9A" w:rsidP="00E45841">
      <w:pPr>
        <w:pStyle w:val="Heading2"/>
        <w:spacing w:before="80"/>
        <w:rPr>
          <w:rFonts w:ascii="Arial" w:hAnsi="Arial" w:cs="Arial"/>
          <w:sz w:val="22"/>
          <w:szCs w:val="22"/>
        </w:rPr>
      </w:pPr>
      <w:bookmarkStart w:id="9" w:name="_Toc231703613"/>
      <w:r w:rsidRPr="00E45841">
        <w:rPr>
          <w:rFonts w:ascii="Arial" w:hAnsi="Arial" w:cs="Arial"/>
          <w:sz w:val="22"/>
          <w:szCs w:val="22"/>
        </w:rPr>
        <w:t>4.1 Overview of SDG 10</w:t>
      </w:r>
      <w:bookmarkEnd w:id="9"/>
    </w:p>
    <w:p w14:paraId="2EB1FFBB" w14:textId="3BAF7A52" w:rsidR="001E6A9A" w:rsidRPr="00E45841" w:rsidRDefault="006C5BF1" w:rsidP="00E45841">
      <w:pPr>
        <w:spacing w:after="120"/>
        <w:rPr>
          <w:rFonts w:ascii="Arial" w:hAnsi="Arial" w:cs="Arial"/>
          <w:sz w:val="22"/>
        </w:rPr>
      </w:pPr>
      <w:r w:rsidRPr="00E45841">
        <w:rPr>
          <w:rFonts w:ascii="Arial" w:eastAsia="Arial" w:hAnsi="Arial" w:cs="Arial"/>
          <w:sz w:val="22"/>
        </w:rPr>
        <w:t>SDG 10 aims to reduce inequalities within and between countries. In health and social care, this involves minimising inequities in access, experience and outcomes. SDG10 is closely related with SDG3 as social and economic conditions affect health outcomes. Individuals who live in low-income and insecure housing conditions, or low-paid jobs, may experience increased stress, lack of access to green space and increased risk of chronic disease</w:t>
      </w:r>
      <w:r w:rsidR="001316A3" w:rsidRPr="00E45841">
        <w:rPr>
          <w:rFonts w:ascii="Arial" w:eastAsia="Arial" w:hAnsi="Arial" w:cs="Arial"/>
          <w:sz w:val="22"/>
        </w:rPr>
        <w:t xml:space="preserve"> (Health inequalities in health protection report 2025, 2025)</w:t>
      </w:r>
      <w:r w:rsidRPr="00E45841">
        <w:rPr>
          <w:rFonts w:ascii="Arial" w:eastAsia="Arial" w:hAnsi="Arial" w:cs="Arial"/>
          <w:sz w:val="22"/>
        </w:rPr>
        <w:t>. Ethnicity, disability, age, gender, migration status, language and digital exclusion can also be a connection to inequalities. Now that healthcare is improved, there is a need for a greater level of policy that tackles disadvantage.</w:t>
      </w:r>
    </w:p>
    <w:p w14:paraId="7DAC6386" w14:textId="77777777" w:rsidR="001E6A9A" w:rsidRPr="00E45841" w:rsidRDefault="001E6A9A" w:rsidP="00E45841">
      <w:pPr>
        <w:pStyle w:val="Heading2"/>
        <w:spacing w:before="80"/>
        <w:rPr>
          <w:rFonts w:ascii="Arial" w:hAnsi="Arial" w:cs="Arial"/>
          <w:sz w:val="22"/>
          <w:szCs w:val="22"/>
        </w:rPr>
      </w:pPr>
      <w:bookmarkStart w:id="10" w:name="_Toc231703614"/>
      <w:r w:rsidRPr="00E45841">
        <w:rPr>
          <w:rFonts w:ascii="Arial" w:hAnsi="Arial" w:cs="Arial"/>
          <w:sz w:val="22"/>
          <w:szCs w:val="22"/>
        </w:rPr>
        <w:t>4.2 Global Health Inequalities</w:t>
      </w:r>
      <w:bookmarkEnd w:id="10"/>
    </w:p>
    <w:p w14:paraId="59730D87" w14:textId="58F66A9D" w:rsidR="001E6A9A" w:rsidRPr="00E45841" w:rsidRDefault="006C5BF1" w:rsidP="00E45841">
      <w:pPr>
        <w:spacing w:after="120"/>
        <w:rPr>
          <w:rFonts w:ascii="Arial" w:hAnsi="Arial" w:cs="Arial"/>
          <w:sz w:val="22"/>
        </w:rPr>
      </w:pPr>
      <w:r w:rsidRPr="00E45841">
        <w:rPr>
          <w:rFonts w:ascii="Arial" w:eastAsia="Arial" w:hAnsi="Arial" w:cs="Arial"/>
          <w:sz w:val="22"/>
        </w:rPr>
        <w:t>Inequality is a worldwide phenomenon that impacts who becomes sick, who gets treatment and who improves. Poor people and marginalised groups often do not have access to safe drinking water, nutrition, safe homes, education, vaccinations and health services</w:t>
      </w:r>
      <w:r w:rsidR="00EB2F17" w:rsidRPr="00E45841">
        <w:rPr>
          <w:rFonts w:ascii="Arial" w:eastAsia="Arial" w:hAnsi="Arial" w:cs="Arial"/>
          <w:sz w:val="22"/>
        </w:rPr>
        <w:t xml:space="preserve"> (World Health Organization, 2024)</w:t>
      </w:r>
      <w:r w:rsidRPr="00E45841">
        <w:rPr>
          <w:rFonts w:ascii="Arial" w:eastAsia="Arial" w:hAnsi="Arial" w:cs="Arial"/>
          <w:sz w:val="22"/>
        </w:rPr>
        <w:t>. Vulnerable communities often lack resources to adapt to climate change, conflict and pandemic events can exacerbate inequalities. Globalisation can help improve health by the transfer of knowledge, technology and medicines, but it can also contribute to inequities when less developed groups are unable to benefit from these</w:t>
      </w:r>
      <w:r w:rsidR="001316A3" w:rsidRPr="00E45841">
        <w:rPr>
          <w:rFonts w:ascii="Arial" w:eastAsia="Arial" w:hAnsi="Arial" w:cs="Arial"/>
          <w:sz w:val="22"/>
        </w:rPr>
        <w:t xml:space="preserve"> (Health inequalities in health protection report 2025, 2025)</w:t>
      </w:r>
      <w:r w:rsidRPr="00E45841">
        <w:rPr>
          <w:rFonts w:ascii="Arial" w:eastAsia="Arial" w:hAnsi="Arial" w:cs="Arial"/>
          <w:sz w:val="22"/>
        </w:rPr>
        <w:t xml:space="preserve">. SDG 10 is necessary because average </w:t>
      </w:r>
      <w:r w:rsidRPr="00E45841">
        <w:rPr>
          <w:rFonts w:ascii="Arial" w:eastAsia="Arial" w:hAnsi="Arial" w:cs="Arial"/>
          <w:sz w:val="22"/>
        </w:rPr>
        <w:lastRenderedPageBreak/>
        <w:t>improvement cannot be the only measure of progress, but it must be for disadvantaged people.</w:t>
      </w:r>
    </w:p>
    <w:p w14:paraId="2DDAEC01" w14:textId="77777777" w:rsidR="001E6A9A" w:rsidRPr="00E45841" w:rsidRDefault="001E6A9A" w:rsidP="00E45841">
      <w:pPr>
        <w:pStyle w:val="Heading2"/>
        <w:spacing w:before="80"/>
        <w:rPr>
          <w:rFonts w:ascii="Arial" w:hAnsi="Arial" w:cs="Arial"/>
          <w:sz w:val="22"/>
          <w:szCs w:val="22"/>
        </w:rPr>
      </w:pPr>
      <w:bookmarkStart w:id="11" w:name="_Toc231703615"/>
      <w:r w:rsidRPr="00E45841">
        <w:rPr>
          <w:rFonts w:ascii="Arial" w:hAnsi="Arial" w:cs="Arial"/>
          <w:sz w:val="22"/>
          <w:szCs w:val="22"/>
        </w:rPr>
        <w:t>4.3 National UK Initiatives Linked to SDG 10</w:t>
      </w:r>
      <w:bookmarkEnd w:id="11"/>
    </w:p>
    <w:p w14:paraId="429CB4C9" w14:textId="374DEF46" w:rsidR="001E6A9A" w:rsidRPr="00E45841" w:rsidRDefault="006C5BF1" w:rsidP="00E45841">
      <w:pPr>
        <w:spacing w:after="120"/>
        <w:rPr>
          <w:rFonts w:ascii="Arial" w:hAnsi="Arial" w:cs="Arial"/>
          <w:sz w:val="22"/>
        </w:rPr>
      </w:pPr>
      <w:r w:rsidRPr="00E45841">
        <w:rPr>
          <w:rFonts w:ascii="Arial" w:eastAsia="Arial" w:hAnsi="Arial" w:cs="Arial"/>
          <w:sz w:val="22"/>
        </w:rPr>
        <w:t>There are a range of initiatives in the UK that have a primary focus on reducing inequalities: the NHS health inequalities agenda, Core20PLUS5, Integrated Care Systems and local authority public health work</w:t>
      </w:r>
      <w:r w:rsidR="003F5D3E" w:rsidRPr="00E45841">
        <w:rPr>
          <w:rFonts w:ascii="Arial" w:eastAsia="Arial" w:hAnsi="Arial" w:cs="Arial"/>
          <w:sz w:val="22"/>
        </w:rPr>
        <w:t xml:space="preserve"> (Au-Yeung et al., 2024)</w:t>
      </w:r>
      <w:r w:rsidRPr="00E45841">
        <w:rPr>
          <w:rFonts w:ascii="Arial" w:eastAsia="Arial" w:hAnsi="Arial" w:cs="Arial"/>
          <w:sz w:val="22"/>
        </w:rPr>
        <w:t>. These are all designed to help identify deprived populations, enhance outcomes for those at risk and to ensure co-ordinated health, social care and community services. They are good at promoting data led planning and they understand that provision for some communities should be targeted to meet their specific needs, not equal and identical. But the NHS is not responsible for all health inequalities – policies in these areas of housing, income, education, employment and social care will be needed to tackle them as well</w:t>
      </w:r>
      <w:r w:rsidR="00EB2F17" w:rsidRPr="00E45841">
        <w:rPr>
          <w:rFonts w:ascii="Arial" w:eastAsia="Arial" w:hAnsi="Arial" w:cs="Arial"/>
          <w:sz w:val="22"/>
        </w:rPr>
        <w:t xml:space="preserve"> (England, 2026)</w:t>
      </w:r>
      <w:r w:rsidRPr="00E45841">
        <w:rPr>
          <w:rFonts w:ascii="Arial" w:eastAsia="Arial" w:hAnsi="Arial" w:cs="Arial"/>
          <w:sz w:val="22"/>
        </w:rPr>
        <w:t>. Implementation is also different across regions and funding pressures can diminish the extent of prevention work.</w:t>
      </w:r>
    </w:p>
    <w:p w14:paraId="10D0555E" w14:textId="77777777" w:rsidR="001E6A9A" w:rsidRPr="00E45841" w:rsidRDefault="001E6A9A" w:rsidP="00E45841">
      <w:pPr>
        <w:pStyle w:val="Heading2"/>
        <w:spacing w:before="80"/>
        <w:rPr>
          <w:rFonts w:ascii="Arial" w:hAnsi="Arial" w:cs="Arial"/>
          <w:sz w:val="22"/>
          <w:szCs w:val="22"/>
        </w:rPr>
      </w:pPr>
      <w:bookmarkStart w:id="12" w:name="_Toc231703616"/>
      <w:r w:rsidRPr="00E45841">
        <w:rPr>
          <w:rFonts w:ascii="Arial" w:hAnsi="Arial" w:cs="Arial"/>
          <w:sz w:val="22"/>
          <w:szCs w:val="22"/>
        </w:rPr>
        <w:t>4.4 Birmingham Local Focus</w:t>
      </w:r>
      <w:bookmarkEnd w:id="12"/>
    </w:p>
    <w:p w14:paraId="2367C287" w14:textId="052C44D2" w:rsidR="001E6A9A" w:rsidRPr="00E45841" w:rsidRDefault="006C5BF1" w:rsidP="00E45841">
      <w:pPr>
        <w:spacing w:after="120"/>
        <w:rPr>
          <w:rFonts w:ascii="Arial" w:hAnsi="Arial" w:cs="Arial"/>
          <w:sz w:val="22"/>
        </w:rPr>
      </w:pPr>
      <w:r w:rsidRPr="00E45841">
        <w:rPr>
          <w:rFonts w:ascii="Arial" w:eastAsia="Arial" w:hAnsi="Arial" w:cs="Arial"/>
          <w:sz w:val="22"/>
        </w:rPr>
        <w:t xml:space="preserve">Birmingham is a good example of the importance of SDG 10 in practice. The city's population is composed of various </w:t>
      </w:r>
      <w:r w:rsidR="00721AA6" w:rsidRPr="00E45841">
        <w:rPr>
          <w:rFonts w:ascii="Arial" w:eastAsia="Arial" w:hAnsi="Arial" w:cs="Arial"/>
          <w:sz w:val="22"/>
        </w:rPr>
        <w:t>communities,</w:t>
      </w:r>
      <w:r w:rsidRPr="00E45841">
        <w:rPr>
          <w:rFonts w:ascii="Arial" w:eastAsia="Arial" w:hAnsi="Arial" w:cs="Arial"/>
          <w:sz w:val="22"/>
        </w:rPr>
        <w:t xml:space="preserve"> and deprivation is unevenly spread and so are the needs for health. Certain citizens might have language barriers, low health literacy, insecure employment, overcrowding, limited access to formal services or limited trust in formal services, or digital exclusion</w:t>
      </w:r>
      <w:r w:rsidR="001A5F50" w:rsidRPr="00E45841">
        <w:rPr>
          <w:rFonts w:ascii="Arial" w:eastAsia="Arial" w:hAnsi="Arial" w:cs="Arial"/>
          <w:sz w:val="22"/>
        </w:rPr>
        <w:t xml:space="preserve"> (Hayanga, Stafford and Bécares, 2023)</w:t>
      </w:r>
      <w:r w:rsidRPr="00E45841">
        <w:rPr>
          <w:rFonts w:ascii="Arial" w:eastAsia="Arial" w:hAnsi="Arial" w:cs="Arial"/>
          <w:sz w:val="22"/>
        </w:rPr>
        <w:t xml:space="preserve">. All of this can hinder access to screening, mental health support, healthy lifestyle advice and </w:t>
      </w:r>
      <w:r w:rsidR="00721AA6" w:rsidRPr="00E45841">
        <w:rPr>
          <w:rFonts w:ascii="Arial" w:eastAsia="Arial" w:hAnsi="Arial" w:cs="Arial"/>
          <w:sz w:val="22"/>
        </w:rPr>
        <w:t>long-term</w:t>
      </w:r>
      <w:r w:rsidRPr="00E45841">
        <w:rPr>
          <w:rFonts w:ascii="Arial" w:eastAsia="Arial" w:hAnsi="Arial" w:cs="Arial"/>
          <w:sz w:val="22"/>
        </w:rPr>
        <w:t xml:space="preserve"> conditions management. Strategies based in Birmingham, local needs assessments and integrated care work can be used to help identify </w:t>
      </w:r>
      <w:r w:rsidR="00721AA6" w:rsidRPr="00E45841">
        <w:rPr>
          <w:rFonts w:ascii="Arial" w:eastAsia="Arial" w:hAnsi="Arial" w:cs="Arial"/>
          <w:sz w:val="22"/>
        </w:rPr>
        <w:t>inequalities</w:t>
      </w:r>
      <w:r w:rsidRPr="00E45841">
        <w:rPr>
          <w:rFonts w:ascii="Arial" w:eastAsia="Arial" w:hAnsi="Arial" w:cs="Arial"/>
          <w:sz w:val="22"/>
        </w:rPr>
        <w:t xml:space="preserve"> and to plan for action. Culturally appropriate communication and community outreach, as well as partnerships with voluntary organisations are particularly important. The constriction is that local programmes could be short term or have a restricted support.</w:t>
      </w:r>
    </w:p>
    <w:p w14:paraId="5E9E848A" w14:textId="77777777" w:rsidR="001E6A9A" w:rsidRPr="00E45841" w:rsidRDefault="001E6A9A" w:rsidP="00E45841">
      <w:pPr>
        <w:pStyle w:val="Heading2"/>
        <w:spacing w:before="80"/>
        <w:rPr>
          <w:rFonts w:ascii="Arial" w:hAnsi="Arial" w:cs="Arial"/>
          <w:sz w:val="22"/>
          <w:szCs w:val="22"/>
        </w:rPr>
      </w:pPr>
      <w:bookmarkStart w:id="13" w:name="_Toc231703617"/>
      <w:r w:rsidRPr="00E45841">
        <w:rPr>
          <w:rFonts w:ascii="Arial" w:hAnsi="Arial" w:cs="Arial"/>
          <w:sz w:val="22"/>
          <w:szCs w:val="22"/>
        </w:rPr>
        <w:t>4.5 Theory Application to SDG 10</w:t>
      </w:r>
      <w:bookmarkEnd w:id="13"/>
    </w:p>
    <w:p w14:paraId="024F97A0" w14:textId="35B922BD" w:rsidR="001E6A9A" w:rsidRPr="00E45841" w:rsidRDefault="006C5BF1" w:rsidP="00E45841">
      <w:pPr>
        <w:spacing w:after="120"/>
        <w:rPr>
          <w:rFonts w:ascii="Arial" w:hAnsi="Arial" w:cs="Arial"/>
          <w:sz w:val="22"/>
        </w:rPr>
      </w:pPr>
      <w:r w:rsidRPr="00E45841">
        <w:rPr>
          <w:rFonts w:ascii="Arial" w:eastAsia="Arial" w:hAnsi="Arial" w:cs="Arial"/>
          <w:sz w:val="22"/>
        </w:rPr>
        <w:t xml:space="preserve">Social determinants of health approach </w:t>
      </w:r>
      <w:r w:rsidR="00721AA6" w:rsidRPr="00E45841">
        <w:rPr>
          <w:rFonts w:ascii="Arial" w:eastAsia="Arial" w:hAnsi="Arial" w:cs="Arial"/>
          <w:sz w:val="22"/>
        </w:rPr>
        <w:t>are</w:t>
      </w:r>
      <w:r w:rsidRPr="00E45841">
        <w:rPr>
          <w:rFonts w:ascii="Arial" w:eastAsia="Arial" w:hAnsi="Arial" w:cs="Arial"/>
          <w:sz w:val="22"/>
        </w:rPr>
        <w:t xml:space="preserve"> important to SDG 10 as it reveals that health inequalities are not only a phenomenon of individual choices. Income, housing, food, education, transport and safety/social support determine choices. The biopsychosocial model also accounts for the impact that deprivation may have upon physical ill-health, mental stress and social participation all at once. Therefore, health policy in Birmingham should not only promote healthy </w:t>
      </w:r>
      <w:r w:rsidR="00721AA6" w:rsidRPr="00E45841">
        <w:rPr>
          <w:rFonts w:ascii="Arial" w:eastAsia="Arial" w:hAnsi="Arial" w:cs="Arial"/>
          <w:sz w:val="22"/>
        </w:rPr>
        <w:t>behaviour</w:t>
      </w:r>
      <w:r w:rsidRPr="00E45841">
        <w:rPr>
          <w:rFonts w:ascii="Arial" w:eastAsia="Arial" w:hAnsi="Arial" w:cs="Arial"/>
          <w:sz w:val="22"/>
        </w:rPr>
        <w:t xml:space="preserve">, </w:t>
      </w:r>
      <w:r w:rsidR="00721AA6" w:rsidRPr="00E45841">
        <w:rPr>
          <w:rFonts w:ascii="Arial" w:eastAsia="Arial" w:hAnsi="Arial" w:cs="Arial"/>
          <w:sz w:val="22"/>
        </w:rPr>
        <w:t>but it</w:t>
      </w:r>
      <w:r w:rsidRPr="00E45841">
        <w:rPr>
          <w:rFonts w:ascii="Arial" w:eastAsia="Arial" w:hAnsi="Arial" w:cs="Arial"/>
          <w:sz w:val="22"/>
        </w:rPr>
        <w:t xml:space="preserve"> should also minimize the circumstances that can hinder healthy living</w:t>
      </w:r>
      <w:r w:rsidR="001A5F50" w:rsidRPr="00E45841">
        <w:rPr>
          <w:rFonts w:ascii="Arial" w:eastAsia="Arial" w:hAnsi="Arial" w:cs="Arial"/>
          <w:sz w:val="22"/>
        </w:rPr>
        <w:t xml:space="preserve"> (Council, 2022)</w:t>
      </w:r>
      <w:r w:rsidRPr="00E45841">
        <w:rPr>
          <w:rFonts w:ascii="Arial" w:eastAsia="Arial" w:hAnsi="Arial" w:cs="Arial"/>
          <w:sz w:val="22"/>
        </w:rPr>
        <w:t>.</w:t>
      </w:r>
    </w:p>
    <w:p w14:paraId="42788168" w14:textId="77777777" w:rsidR="001E6A9A" w:rsidRPr="00E45841" w:rsidRDefault="001E6A9A" w:rsidP="00E45841">
      <w:pPr>
        <w:pStyle w:val="Heading1"/>
        <w:spacing w:before="120" w:after="120"/>
        <w:rPr>
          <w:rFonts w:ascii="Arial" w:hAnsi="Arial" w:cs="Arial"/>
          <w:sz w:val="22"/>
          <w:szCs w:val="22"/>
        </w:rPr>
      </w:pPr>
      <w:bookmarkStart w:id="14" w:name="_Toc231703618"/>
      <w:r w:rsidRPr="00E45841">
        <w:rPr>
          <w:rFonts w:ascii="Arial" w:hAnsi="Arial" w:cs="Arial"/>
          <w:sz w:val="22"/>
          <w:szCs w:val="22"/>
        </w:rPr>
        <w:lastRenderedPageBreak/>
        <w:t>5. Integrated Critical Discussion</w:t>
      </w:r>
      <w:bookmarkEnd w:id="14"/>
    </w:p>
    <w:p w14:paraId="24095A09" w14:textId="00D567AA" w:rsidR="001E6A9A" w:rsidRPr="00E45841" w:rsidRDefault="006C5BF1" w:rsidP="00E45841">
      <w:pPr>
        <w:spacing w:after="120"/>
        <w:rPr>
          <w:rFonts w:ascii="Arial" w:hAnsi="Arial" w:cs="Arial"/>
          <w:sz w:val="22"/>
        </w:rPr>
      </w:pPr>
      <w:r w:rsidRPr="00E45841">
        <w:rPr>
          <w:rFonts w:ascii="Arial" w:eastAsia="Arial" w:hAnsi="Arial" w:cs="Arial"/>
          <w:sz w:val="22"/>
        </w:rPr>
        <w:t>The SDG 3 and SDG 10 are to be read in conjunction. SDG 3 is about how to improve health, prevent disease and bring about wellbeing; SDG 10 is about whether this is done fairly. The UK has a robust base of public health services and prevention programmes and the NHS. But equal health care access does not always imply equal health care results. National schemes may not be as effective in Birmingham in areas of deprivation or for groups that are less likely to speak English, have different cultural backgrounds, lack digital skills or lack financial resources</w:t>
      </w:r>
      <w:r w:rsidR="001A5F50" w:rsidRPr="00E45841">
        <w:rPr>
          <w:rFonts w:ascii="Arial" w:eastAsia="Arial" w:hAnsi="Arial" w:cs="Arial"/>
          <w:sz w:val="22"/>
        </w:rPr>
        <w:t xml:space="preserve"> (Goodthingsfoundation.org, 2024)</w:t>
      </w:r>
      <w:r w:rsidRPr="00E45841">
        <w:rPr>
          <w:rFonts w:ascii="Arial" w:eastAsia="Arial" w:hAnsi="Arial" w:cs="Arial"/>
          <w:sz w:val="22"/>
        </w:rPr>
        <w:t xml:space="preserve">. This leads to an "intentional gap. A good assessment should include the following: health outcomes, uptake of services, service user views, cost effectiveness, accessibility and sustainability. Secondary data from local needs assessments, NHS performance data, public health data and community feedback can help to identify who is reached and who is not. A critical approach recognises the need for joined up work across health, housing, education, employment and community development </w:t>
      </w:r>
      <w:r w:rsidR="00721AA6" w:rsidRPr="00E45841">
        <w:rPr>
          <w:rFonts w:ascii="Arial" w:eastAsia="Arial" w:hAnsi="Arial" w:cs="Arial"/>
          <w:sz w:val="22"/>
        </w:rPr>
        <w:t>to</w:t>
      </w:r>
      <w:r w:rsidRPr="00E45841">
        <w:rPr>
          <w:rFonts w:ascii="Arial" w:eastAsia="Arial" w:hAnsi="Arial" w:cs="Arial"/>
          <w:sz w:val="22"/>
        </w:rPr>
        <w:t xml:space="preserve"> achieve successful initiatives.</w:t>
      </w:r>
    </w:p>
    <w:p w14:paraId="15CFE14A" w14:textId="77777777" w:rsidR="001E6A9A" w:rsidRPr="00E45841" w:rsidRDefault="001E6A9A" w:rsidP="00E45841">
      <w:pPr>
        <w:pStyle w:val="Heading1"/>
        <w:spacing w:before="120" w:after="120"/>
        <w:rPr>
          <w:rFonts w:ascii="Arial" w:hAnsi="Arial" w:cs="Arial"/>
          <w:sz w:val="22"/>
          <w:szCs w:val="22"/>
        </w:rPr>
      </w:pPr>
      <w:bookmarkStart w:id="15" w:name="_Toc231703619"/>
      <w:r w:rsidRPr="00E45841">
        <w:rPr>
          <w:rFonts w:ascii="Arial" w:hAnsi="Arial" w:cs="Arial"/>
          <w:sz w:val="22"/>
          <w:szCs w:val="22"/>
        </w:rPr>
        <w:t>6. Recommendations</w:t>
      </w:r>
      <w:bookmarkEnd w:id="15"/>
    </w:p>
    <w:p w14:paraId="63029B70" w14:textId="4CB17519" w:rsidR="001E6A9A" w:rsidRPr="00E45841" w:rsidRDefault="006C5BF1" w:rsidP="00E45841">
      <w:pPr>
        <w:spacing w:after="120"/>
        <w:rPr>
          <w:rFonts w:ascii="Arial" w:hAnsi="Arial" w:cs="Arial"/>
          <w:sz w:val="22"/>
        </w:rPr>
      </w:pPr>
      <w:r w:rsidRPr="00E45841">
        <w:rPr>
          <w:rFonts w:ascii="Arial" w:eastAsia="Arial" w:hAnsi="Arial" w:cs="Arial"/>
          <w:sz w:val="22"/>
        </w:rPr>
        <w:t xml:space="preserve">The targeted prevention programmes which target areas of high diabetes, obesity, smoking and mental health need should be strengthened across Birmingham. Such programmes should leverage GP practices, schools, community centres, faith groups and voluntary groups to reach people sooner. Secondly, digital inclusion must be considered as a health priority. Useful for online consultations as well as NHS apps or digital records, but there is a need for citizens who do not have devices, internet access, or a digital confidence to have assisted digital support and </w:t>
      </w:r>
      <w:r w:rsidR="00721AA6" w:rsidRPr="00E45841">
        <w:rPr>
          <w:rFonts w:ascii="Arial" w:eastAsia="Arial" w:hAnsi="Arial" w:cs="Arial"/>
          <w:sz w:val="22"/>
        </w:rPr>
        <w:t>non-digital</w:t>
      </w:r>
      <w:r w:rsidRPr="00E45841">
        <w:rPr>
          <w:rFonts w:ascii="Arial" w:eastAsia="Arial" w:hAnsi="Arial" w:cs="Arial"/>
          <w:sz w:val="22"/>
        </w:rPr>
        <w:t xml:space="preserve"> alternatives. Third, it should be done consistently with local data to identify communities with low uptake of screening, vaccinations and mental health support or lifestyle services. Fourth, communication should be culturally sensitive, multilingual and through trusted community voices. Finally, programmes must be properly funded in the long-term and have definite evaluation tools available to measure success based on the reduction of inequalities, rather than the number of activities.</w:t>
      </w:r>
    </w:p>
    <w:p w14:paraId="7612036E" w14:textId="77777777" w:rsidR="001E6A9A" w:rsidRPr="00E45841" w:rsidRDefault="001E6A9A" w:rsidP="00E45841">
      <w:pPr>
        <w:pStyle w:val="Heading1"/>
        <w:spacing w:before="120" w:after="120"/>
        <w:rPr>
          <w:rFonts w:ascii="Arial" w:hAnsi="Arial" w:cs="Arial"/>
          <w:sz w:val="22"/>
          <w:szCs w:val="22"/>
        </w:rPr>
      </w:pPr>
      <w:bookmarkStart w:id="16" w:name="_Toc231703620"/>
      <w:r w:rsidRPr="00E45841">
        <w:rPr>
          <w:rFonts w:ascii="Arial" w:hAnsi="Arial" w:cs="Arial"/>
          <w:sz w:val="22"/>
          <w:szCs w:val="22"/>
        </w:rPr>
        <w:t>7. Conclusion</w:t>
      </w:r>
      <w:bookmarkEnd w:id="16"/>
    </w:p>
    <w:p w14:paraId="436126FC" w14:textId="49370A62" w:rsidR="00F14763" w:rsidRPr="00E45841" w:rsidRDefault="006C5BF1" w:rsidP="00E45841">
      <w:pPr>
        <w:spacing w:after="120"/>
        <w:rPr>
          <w:rFonts w:ascii="Arial" w:eastAsia="Arial" w:hAnsi="Arial" w:cs="Arial"/>
          <w:sz w:val="22"/>
        </w:rPr>
      </w:pPr>
      <w:r w:rsidRPr="00E45841">
        <w:rPr>
          <w:rFonts w:ascii="Arial" w:eastAsia="Arial" w:hAnsi="Arial" w:cs="Arial"/>
          <w:sz w:val="22"/>
        </w:rPr>
        <w:t xml:space="preserve">In the UK, SDG 3 is critical for enhancing health, prevention and mental wellbeing and access to services; and SDG 10 is key to ensuring improvements are fair and inclusive. Birmingham provides examples of the importance of local context, as deprivation, diversity, digital exclusion and social determinants influence citizens' experiences of health and care. While national policies offer crucial guidance, it is local implementation which makes a practical difference in terms of impact. The UK and Birmingham need to work towards improving health and </w:t>
      </w:r>
      <w:r w:rsidRPr="00E45841">
        <w:rPr>
          <w:rFonts w:ascii="Arial" w:eastAsia="Arial" w:hAnsi="Arial" w:cs="Arial"/>
          <w:sz w:val="22"/>
        </w:rPr>
        <w:lastRenderedPageBreak/>
        <w:t>wellbeing in a more sustainable way through healthcare improvement, prevention, community engagement, tackling inequalities, digital inclusion and evidence-based evaluation.</w:t>
      </w:r>
    </w:p>
    <w:p w14:paraId="44D53253" w14:textId="41F8674B" w:rsidR="006E20DE" w:rsidRPr="00E45841" w:rsidRDefault="006E20DE" w:rsidP="00E45841">
      <w:pPr>
        <w:jc w:val="left"/>
        <w:rPr>
          <w:rFonts w:ascii="Arial" w:eastAsia="Arial" w:hAnsi="Arial" w:cs="Arial"/>
          <w:sz w:val="22"/>
        </w:rPr>
      </w:pPr>
      <w:r w:rsidRPr="00E45841">
        <w:rPr>
          <w:rFonts w:ascii="Arial" w:eastAsia="Arial" w:hAnsi="Arial" w:cs="Arial"/>
          <w:sz w:val="22"/>
        </w:rPr>
        <w:br w:type="page"/>
      </w:r>
    </w:p>
    <w:p w14:paraId="719F6ED3" w14:textId="6AC7CC77" w:rsidR="006E20DE" w:rsidRPr="00E45841" w:rsidRDefault="006E20DE" w:rsidP="00E45841">
      <w:pPr>
        <w:pStyle w:val="Heading1"/>
        <w:rPr>
          <w:rFonts w:ascii="Arial" w:hAnsi="Arial" w:cs="Arial"/>
          <w:sz w:val="22"/>
          <w:szCs w:val="22"/>
        </w:rPr>
      </w:pPr>
      <w:bookmarkStart w:id="17" w:name="_Toc231703621"/>
      <w:r w:rsidRPr="00E45841">
        <w:rPr>
          <w:rFonts w:ascii="Arial" w:hAnsi="Arial" w:cs="Arial"/>
          <w:sz w:val="22"/>
          <w:szCs w:val="22"/>
        </w:rPr>
        <w:lastRenderedPageBreak/>
        <w:t>References:</w:t>
      </w:r>
      <w:bookmarkEnd w:id="17"/>
    </w:p>
    <w:p w14:paraId="55D7034C" w14:textId="77777777" w:rsidR="00130741" w:rsidRPr="00E45841" w:rsidRDefault="00130741" w:rsidP="00E45841">
      <w:pPr>
        <w:ind w:left="720" w:hanging="720"/>
        <w:rPr>
          <w:rFonts w:ascii="Arial" w:hAnsi="Arial" w:cs="Arial"/>
          <w:sz w:val="22"/>
        </w:rPr>
      </w:pPr>
      <w:r w:rsidRPr="00E45841">
        <w:rPr>
          <w:rFonts w:ascii="Arial" w:hAnsi="Arial" w:cs="Arial"/>
          <w:sz w:val="22"/>
        </w:rPr>
        <w:t xml:space="preserve">Au-Yeung, C.H. et al. (2024) 'Socioeconomic and ethnic inequalities increase the risk of type 2 diabetes: an analysis of NHS health check attendees in Birmingham,' Frontiers in Public Health, 12, p. 1477418. </w:t>
      </w:r>
      <w:hyperlink r:id="rId13" w:history="1">
        <w:r w:rsidRPr="00E45841">
          <w:rPr>
            <w:rStyle w:val="Hyperlink"/>
            <w:rFonts w:ascii="Arial" w:hAnsi="Arial" w:cs="Arial"/>
            <w:sz w:val="22"/>
          </w:rPr>
          <w:t>https://doi.org/10.3389/fpubh.2024.1477418</w:t>
        </w:r>
      </w:hyperlink>
      <w:r w:rsidRPr="00E45841">
        <w:rPr>
          <w:rFonts w:ascii="Arial" w:hAnsi="Arial" w:cs="Arial"/>
          <w:sz w:val="22"/>
        </w:rPr>
        <w:t>.</w:t>
      </w:r>
    </w:p>
    <w:p w14:paraId="34A6550D" w14:textId="77777777" w:rsidR="00130741" w:rsidRPr="00E45841" w:rsidRDefault="00130741" w:rsidP="00E45841">
      <w:pPr>
        <w:ind w:left="720" w:hanging="720"/>
        <w:rPr>
          <w:rFonts w:ascii="Arial" w:hAnsi="Arial" w:cs="Arial"/>
          <w:sz w:val="22"/>
          <w:lang w:val="en-US"/>
        </w:rPr>
      </w:pPr>
      <w:r w:rsidRPr="00E45841">
        <w:rPr>
          <w:rFonts w:ascii="Arial" w:hAnsi="Arial" w:cs="Arial"/>
          <w:sz w:val="22"/>
          <w:lang w:val="en-US"/>
        </w:rPr>
        <w:t xml:space="preserve">Blanc, D.C. </w:t>
      </w:r>
      <w:r w:rsidRPr="00E45841">
        <w:rPr>
          <w:rFonts w:ascii="Arial" w:hAnsi="Arial" w:cs="Arial"/>
          <w:i/>
          <w:iCs/>
          <w:sz w:val="22"/>
          <w:lang w:val="en-US"/>
        </w:rPr>
        <w:t>et al.</w:t>
      </w:r>
      <w:r w:rsidRPr="00E45841">
        <w:rPr>
          <w:rFonts w:ascii="Arial" w:hAnsi="Arial" w:cs="Arial"/>
          <w:sz w:val="22"/>
          <w:lang w:val="en-US"/>
        </w:rPr>
        <w:t xml:space="preserve"> (2022) 'Immunization programs to support primary health care and achieve universal health coverage,' </w:t>
      </w:r>
      <w:r w:rsidRPr="00E45841">
        <w:rPr>
          <w:rFonts w:ascii="Arial" w:hAnsi="Arial" w:cs="Arial"/>
          <w:i/>
          <w:iCs/>
          <w:sz w:val="22"/>
          <w:lang w:val="en-US"/>
        </w:rPr>
        <w:t>Vaccine</w:t>
      </w:r>
      <w:r w:rsidRPr="00E45841">
        <w:rPr>
          <w:rFonts w:ascii="Arial" w:hAnsi="Arial" w:cs="Arial"/>
          <w:sz w:val="22"/>
          <w:lang w:val="en-US"/>
        </w:rPr>
        <w:t xml:space="preserve">, 42, pp. S38–S42. </w:t>
      </w:r>
      <w:hyperlink r:id="rId14" w:history="1">
        <w:r w:rsidRPr="00E45841">
          <w:rPr>
            <w:rStyle w:val="Hyperlink"/>
            <w:rFonts w:ascii="Arial" w:hAnsi="Arial" w:cs="Arial"/>
            <w:sz w:val="22"/>
            <w:lang w:val="en-US"/>
          </w:rPr>
          <w:t>https://doi.org/10.1016/j.vaccine.2022.09.086</w:t>
        </w:r>
      </w:hyperlink>
      <w:r w:rsidRPr="00E45841">
        <w:rPr>
          <w:rFonts w:ascii="Arial" w:hAnsi="Arial" w:cs="Arial"/>
          <w:sz w:val="22"/>
          <w:lang w:val="en-US"/>
        </w:rPr>
        <w:t>.</w:t>
      </w:r>
    </w:p>
    <w:p w14:paraId="6C19906A" w14:textId="77777777" w:rsidR="00130741" w:rsidRPr="00E45841" w:rsidRDefault="00130741" w:rsidP="00E45841">
      <w:pPr>
        <w:ind w:left="720" w:hanging="720"/>
        <w:rPr>
          <w:rFonts w:ascii="Arial" w:hAnsi="Arial" w:cs="Arial"/>
          <w:sz w:val="22"/>
        </w:rPr>
      </w:pPr>
      <w:r w:rsidRPr="00E45841">
        <w:rPr>
          <w:rFonts w:ascii="Arial" w:hAnsi="Arial" w:cs="Arial"/>
          <w:sz w:val="22"/>
        </w:rPr>
        <w:t xml:space="preserve">Chelak, K. and Chakole, S. (2023) 'The Role of Social Determinants of Health in Promoting Health Equality: A Narrative review,' Cureus, 15(1), p. e33425. </w:t>
      </w:r>
      <w:hyperlink r:id="rId15" w:history="1">
        <w:r w:rsidRPr="00E45841">
          <w:rPr>
            <w:rStyle w:val="Hyperlink"/>
            <w:rFonts w:ascii="Arial" w:hAnsi="Arial" w:cs="Arial"/>
            <w:sz w:val="22"/>
          </w:rPr>
          <w:t>https://doi.org/10.7759/cureus.33425</w:t>
        </w:r>
      </w:hyperlink>
      <w:r w:rsidRPr="00E45841">
        <w:rPr>
          <w:rFonts w:ascii="Arial" w:hAnsi="Arial" w:cs="Arial"/>
          <w:sz w:val="22"/>
        </w:rPr>
        <w:t>.</w:t>
      </w:r>
    </w:p>
    <w:p w14:paraId="2BC6114B" w14:textId="77777777" w:rsidR="00130741" w:rsidRPr="00E45841" w:rsidRDefault="00130741" w:rsidP="00E45841">
      <w:pPr>
        <w:ind w:left="720" w:hanging="720"/>
        <w:rPr>
          <w:rFonts w:ascii="Arial" w:hAnsi="Arial" w:cs="Arial"/>
          <w:sz w:val="22"/>
        </w:rPr>
      </w:pPr>
      <w:r w:rsidRPr="00E45841">
        <w:rPr>
          <w:rFonts w:ascii="Arial" w:hAnsi="Arial" w:cs="Arial"/>
          <w:sz w:val="22"/>
        </w:rPr>
        <w:t xml:space="preserve">Chen, H. et al. (2021) 'Health Belief Model Perspective on the control of COVID-19 vaccine hesitancy and the promotion of vaccination in China: Web-Based Cross-sectional study,' Journal of Medical Internet Research, 23(9), p. e29329. </w:t>
      </w:r>
      <w:hyperlink r:id="rId16" w:history="1">
        <w:r w:rsidRPr="00E45841">
          <w:rPr>
            <w:rStyle w:val="Hyperlink"/>
            <w:rFonts w:ascii="Arial" w:hAnsi="Arial" w:cs="Arial"/>
            <w:sz w:val="22"/>
          </w:rPr>
          <w:t>https://doi.org/10.2196/29329</w:t>
        </w:r>
      </w:hyperlink>
      <w:r w:rsidRPr="00E45841">
        <w:rPr>
          <w:rFonts w:ascii="Arial" w:hAnsi="Arial" w:cs="Arial"/>
          <w:sz w:val="22"/>
        </w:rPr>
        <w:t>.</w:t>
      </w:r>
    </w:p>
    <w:p w14:paraId="68923B8B" w14:textId="77777777" w:rsidR="00130741" w:rsidRPr="00E45841" w:rsidRDefault="00130741" w:rsidP="00E45841">
      <w:pPr>
        <w:ind w:left="720" w:hanging="720"/>
        <w:rPr>
          <w:rFonts w:ascii="Arial" w:hAnsi="Arial" w:cs="Arial"/>
          <w:sz w:val="22"/>
        </w:rPr>
      </w:pPr>
      <w:r w:rsidRPr="00E45841">
        <w:rPr>
          <w:rFonts w:ascii="Arial" w:hAnsi="Arial" w:cs="Arial"/>
          <w:sz w:val="22"/>
        </w:rPr>
        <w:t xml:space="preserve">Council, B.C. (2022). Health and wellbeing strategy | Birmingham City Council. [online] Birmingham.gov.uk. Available at: </w:t>
      </w:r>
      <w:hyperlink r:id="rId17" w:history="1">
        <w:r w:rsidRPr="00E45841">
          <w:rPr>
            <w:rStyle w:val="Hyperlink"/>
            <w:rFonts w:ascii="Arial" w:hAnsi="Arial" w:cs="Arial"/>
            <w:sz w:val="22"/>
          </w:rPr>
          <w:t>https://www.birmingham.gov.uk/info/50119/health_and_wellbeing_board/1300/health_and_wellbeing_strategy</w:t>
        </w:r>
      </w:hyperlink>
    </w:p>
    <w:p w14:paraId="4D032068" w14:textId="77777777" w:rsidR="00130741" w:rsidRPr="00E45841" w:rsidRDefault="00130741" w:rsidP="00E45841">
      <w:pPr>
        <w:ind w:left="720" w:hanging="720"/>
        <w:rPr>
          <w:rFonts w:ascii="Arial" w:hAnsi="Arial" w:cs="Arial"/>
          <w:sz w:val="22"/>
        </w:rPr>
      </w:pPr>
      <w:r w:rsidRPr="00E45841">
        <w:rPr>
          <w:rFonts w:ascii="Arial" w:hAnsi="Arial" w:cs="Arial"/>
          <w:sz w:val="22"/>
        </w:rPr>
        <w:t xml:space="preserve">England, N. (2026). NHS England » NHS Diabetes Prevention Programme (NHS DPP). [online] England.nhs.uk. Available at: </w:t>
      </w:r>
      <w:hyperlink r:id="rId18" w:history="1">
        <w:r w:rsidRPr="00E45841">
          <w:rPr>
            <w:rStyle w:val="Hyperlink"/>
            <w:rFonts w:ascii="Arial" w:hAnsi="Arial" w:cs="Arial"/>
            <w:sz w:val="22"/>
          </w:rPr>
          <w:t>https://www.england.nhs.uk/diabetes/diabetes-prevention/</w:t>
        </w:r>
      </w:hyperlink>
    </w:p>
    <w:p w14:paraId="0BFF189D" w14:textId="77777777" w:rsidR="00130741" w:rsidRPr="00E45841" w:rsidRDefault="00130741" w:rsidP="00E45841">
      <w:pPr>
        <w:ind w:left="720" w:hanging="720"/>
        <w:rPr>
          <w:rFonts w:ascii="Arial" w:hAnsi="Arial" w:cs="Arial"/>
          <w:sz w:val="22"/>
        </w:rPr>
      </w:pPr>
      <w:r w:rsidRPr="00E45841">
        <w:rPr>
          <w:rFonts w:ascii="Arial" w:hAnsi="Arial" w:cs="Arial"/>
          <w:sz w:val="22"/>
        </w:rPr>
        <w:t xml:space="preserve">Fitzpatrick, P.J. (2023) 'Improving health literacy using the power of digital communications to achieve better health outcomes for patients and practitioners,' Frontiers in Digital Health, 5, p. 1264780. </w:t>
      </w:r>
      <w:hyperlink r:id="rId19" w:history="1">
        <w:r w:rsidRPr="00E45841">
          <w:rPr>
            <w:rStyle w:val="Hyperlink"/>
            <w:rFonts w:ascii="Arial" w:hAnsi="Arial" w:cs="Arial"/>
            <w:sz w:val="22"/>
          </w:rPr>
          <w:t>https://doi.org/10.3389/fdgth.2023.1264780</w:t>
        </w:r>
      </w:hyperlink>
      <w:r w:rsidRPr="00E45841">
        <w:rPr>
          <w:rFonts w:ascii="Arial" w:hAnsi="Arial" w:cs="Arial"/>
          <w:sz w:val="22"/>
        </w:rPr>
        <w:t>.</w:t>
      </w:r>
    </w:p>
    <w:p w14:paraId="546008EA" w14:textId="77777777" w:rsidR="00130741" w:rsidRPr="00E45841" w:rsidRDefault="00130741" w:rsidP="00E45841">
      <w:pPr>
        <w:ind w:left="720" w:hanging="720"/>
        <w:rPr>
          <w:rFonts w:ascii="Arial" w:hAnsi="Arial" w:cs="Arial"/>
          <w:sz w:val="22"/>
        </w:rPr>
      </w:pPr>
      <w:r w:rsidRPr="00E45841">
        <w:rPr>
          <w:rFonts w:ascii="Arial" w:hAnsi="Arial" w:cs="Arial"/>
          <w:sz w:val="22"/>
        </w:rPr>
        <w:t xml:space="preserve">Goodthingsfoundation.org. (2024). Mitigating Risks of Digital Exclusion in Health Systems | Good Things Foundation. [online] Available at: </w:t>
      </w:r>
      <w:hyperlink r:id="rId20" w:history="1">
        <w:r w:rsidRPr="00E45841">
          <w:rPr>
            <w:rStyle w:val="Hyperlink"/>
            <w:rFonts w:ascii="Arial" w:hAnsi="Arial" w:cs="Arial"/>
            <w:sz w:val="22"/>
          </w:rPr>
          <w:t>https://www.goodthingsfoundation.org/policy-and-research/research-and-evidence/research-2024/health-inequalities-digital-exclusion</w:t>
        </w:r>
      </w:hyperlink>
    </w:p>
    <w:p w14:paraId="0342D699" w14:textId="77777777" w:rsidR="00130741" w:rsidRPr="00E45841" w:rsidRDefault="00130741" w:rsidP="00E45841">
      <w:pPr>
        <w:ind w:left="720" w:hanging="720"/>
        <w:rPr>
          <w:rFonts w:ascii="Arial" w:hAnsi="Arial" w:cs="Arial"/>
          <w:sz w:val="22"/>
          <w:lang w:val="en-US"/>
        </w:rPr>
      </w:pPr>
      <w:r w:rsidRPr="00E45841">
        <w:rPr>
          <w:rFonts w:ascii="Arial" w:hAnsi="Arial" w:cs="Arial"/>
          <w:sz w:val="22"/>
          <w:lang w:val="en-US"/>
        </w:rPr>
        <w:t xml:space="preserve">Gumbau-Albert, M. (2025) 'Mental health disparities across regions: Exploring the roles of inequality, socioeconomic factors and regional public health service,' </w:t>
      </w:r>
      <w:r w:rsidRPr="00E45841">
        <w:rPr>
          <w:rFonts w:ascii="Arial" w:hAnsi="Arial" w:cs="Arial"/>
          <w:i/>
          <w:iCs/>
          <w:sz w:val="22"/>
          <w:lang w:val="en-US"/>
        </w:rPr>
        <w:t>Regional Science Policy &amp; Practice</w:t>
      </w:r>
      <w:r w:rsidRPr="00E45841">
        <w:rPr>
          <w:rFonts w:ascii="Arial" w:hAnsi="Arial" w:cs="Arial"/>
          <w:sz w:val="22"/>
          <w:lang w:val="en-US"/>
        </w:rPr>
        <w:t xml:space="preserve">, 17(12), p. 100265. </w:t>
      </w:r>
      <w:hyperlink r:id="rId21" w:history="1">
        <w:r w:rsidRPr="00E45841">
          <w:rPr>
            <w:rStyle w:val="Hyperlink"/>
            <w:rFonts w:ascii="Arial" w:hAnsi="Arial" w:cs="Arial"/>
            <w:sz w:val="22"/>
            <w:lang w:val="en-US"/>
          </w:rPr>
          <w:t>https://doi.org/10.1016/j.rspp.2025.100265</w:t>
        </w:r>
      </w:hyperlink>
      <w:r w:rsidRPr="00E45841">
        <w:rPr>
          <w:rFonts w:ascii="Arial" w:hAnsi="Arial" w:cs="Arial"/>
          <w:sz w:val="22"/>
          <w:lang w:val="en-US"/>
        </w:rPr>
        <w:t>.</w:t>
      </w:r>
    </w:p>
    <w:p w14:paraId="362F5A0A" w14:textId="77777777" w:rsidR="00130741" w:rsidRPr="00E45841" w:rsidRDefault="00130741" w:rsidP="00E45841">
      <w:pPr>
        <w:ind w:left="720" w:hanging="720"/>
        <w:rPr>
          <w:rFonts w:ascii="Arial" w:hAnsi="Arial" w:cs="Arial"/>
          <w:sz w:val="22"/>
        </w:rPr>
      </w:pPr>
      <w:r w:rsidRPr="00E45841">
        <w:rPr>
          <w:rFonts w:ascii="Arial" w:hAnsi="Arial" w:cs="Arial"/>
          <w:sz w:val="22"/>
        </w:rPr>
        <w:lastRenderedPageBreak/>
        <w:t xml:space="preserve">Hayanga, B., Stafford, M. and Bécares, L. (2023) 'Ethnic inequalities in multiple long-term health conditions in the United Kingdom: a systematic review and narrative synthesis,' BMC Public Health, 23(1), p. 178. </w:t>
      </w:r>
      <w:hyperlink r:id="rId22" w:history="1">
        <w:r w:rsidRPr="00E45841">
          <w:rPr>
            <w:rStyle w:val="Hyperlink"/>
            <w:rFonts w:ascii="Arial" w:hAnsi="Arial" w:cs="Arial"/>
            <w:sz w:val="22"/>
          </w:rPr>
          <w:t>https://doi.org/10.1186/s12889-022-14940-w</w:t>
        </w:r>
      </w:hyperlink>
      <w:r w:rsidRPr="00E45841">
        <w:rPr>
          <w:rFonts w:ascii="Arial" w:hAnsi="Arial" w:cs="Arial"/>
          <w:sz w:val="22"/>
        </w:rPr>
        <w:t>.</w:t>
      </w:r>
    </w:p>
    <w:p w14:paraId="519DFCCA" w14:textId="77777777" w:rsidR="00130741" w:rsidRPr="00E45841" w:rsidRDefault="00130741" w:rsidP="00E45841">
      <w:pPr>
        <w:ind w:left="720" w:hanging="720"/>
        <w:rPr>
          <w:rFonts w:ascii="Arial" w:hAnsi="Arial" w:cs="Arial"/>
          <w:sz w:val="22"/>
        </w:rPr>
      </w:pPr>
      <w:r w:rsidRPr="00E45841">
        <w:rPr>
          <w:rFonts w:ascii="Arial" w:hAnsi="Arial" w:cs="Arial"/>
          <w:sz w:val="22"/>
        </w:rPr>
        <w:t xml:space="preserve">Health inequalities in health protection report 2025 (2025). </w:t>
      </w:r>
      <w:hyperlink r:id="rId23" w:history="1">
        <w:r w:rsidRPr="00E45841">
          <w:rPr>
            <w:rStyle w:val="Hyperlink"/>
            <w:rFonts w:ascii="Arial" w:hAnsi="Arial" w:cs="Arial"/>
            <w:sz w:val="22"/>
          </w:rPr>
          <w:t>https://www.gov.uk/government/publications/health-inequalities-in-health-protection-report/health-inequalities-in-health-protection-report-2025</w:t>
        </w:r>
      </w:hyperlink>
      <w:r w:rsidRPr="00E45841">
        <w:rPr>
          <w:rFonts w:ascii="Arial" w:hAnsi="Arial" w:cs="Arial"/>
          <w:sz w:val="22"/>
        </w:rPr>
        <w:t>.</w:t>
      </w:r>
    </w:p>
    <w:p w14:paraId="34F7A2FB" w14:textId="77777777" w:rsidR="00130741" w:rsidRPr="00E45841" w:rsidRDefault="00130741" w:rsidP="00E45841">
      <w:pPr>
        <w:ind w:left="720" w:hanging="720"/>
        <w:rPr>
          <w:rFonts w:ascii="Arial" w:hAnsi="Arial" w:cs="Arial"/>
          <w:sz w:val="22"/>
        </w:rPr>
      </w:pPr>
      <w:r w:rsidRPr="00E45841">
        <w:rPr>
          <w:rFonts w:ascii="Arial" w:hAnsi="Arial" w:cs="Arial"/>
          <w:sz w:val="22"/>
        </w:rPr>
        <w:t xml:space="preserve">Mezzina, R. et al. (2022) 'Social vulnerability and mental health inequalities in the “Syndemic”: Call for action,' Frontiers in Psychiatry, 13, p. 894370. </w:t>
      </w:r>
      <w:hyperlink r:id="rId24" w:history="1">
        <w:r w:rsidRPr="00E45841">
          <w:rPr>
            <w:rStyle w:val="Hyperlink"/>
            <w:rFonts w:ascii="Arial" w:hAnsi="Arial" w:cs="Arial"/>
            <w:sz w:val="22"/>
          </w:rPr>
          <w:t>https://doi.org/10.3389/fpsyt.2022.894370</w:t>
        </w:r>
      </w:hyperlink>
      <w:r w:rsidRPr="00E45841">
        <w:rPr>
          <w:rFonts w:ascii="Arial" w:hAnsi="Arial" w:cs="Arial"/>
          <w:sz w:val="22"/>
        </w:rPr>
        <w:t>.</w:t>
      </w:r>
    </w:p>
    <w:p w14:paraId="1B34499B" w14:textId="77777777" w:rsidR="00130741" w:rsidRPr="00E45841" w:rsidRDefault="00130741" w:rsidP="00E45841">
      <w:pPr>
        <w:ind w:left="720" w:hanging="720"/>
        <w:rPr>
          <w:rFonts w:ascii="Arial" w:hAnsi="Arial" w:cs="Arial"/>
          <w:sz w:val="22"/>
          <w:lang w:val="en-US"/>
        </w:rPr>
      </w:pPr>
      <w:r w:rsidRPr="00E45841">
        <w:rPr>
          <w:rFonts w:ascii="Arial" w:hAnsi="Arial" w:cs="Arial"/>
          <w:sz w:val="22"/>
          <w:lang w:val="en-US"/>
        </w:rPr>
        <w:t xml:space="preserve">Syed, U. </w:t>
      </w:r>
      <w:r w:rsidRPr="00E45841">
        <w:rPr>
          <w:rFonts w:ascii="Arial" w:hAnsi="Arial" w:cs="Arial"/>
          <w:i/>
          <w:iCs/>
          <w:sz w:val="22"/>
          <w:lang w:val="en-US"/>
        </w:rPr>
        <w:t>et al.</w:t>
      </w:r>
      <w:r w:rsidRPr="00E45841">
        <w:rPr>
          <w:rFonts w:ascii="Arial" w:hAnsi="Arial" w:cs="Arial"/>
          <w:sz w:val="22"/>
          <w:lang w:val="en-US"/>
        </w:rPr>
        <w:t xml:space="preserve"> (2023) 'The Role of Faith-Based Organizations in Improving Vaccination Confidence &amp; Addressing Vaccination Disparities to Help Improve Vaccine Uptake: A Systematic Review,' </w:t>
      </w:r>
      <w:r w:rsidRPr="00E45841">
        <w:rPr>
          <w:rFonts w:ascii="Arial" w:hAnsi="Arial" w:cs="Arial"/>
          <w:i/>
          <w:iCs/>
          <w:sz w:val="22"/>
          <w:lang w:val="en-US"/>
        </w:rPr>
        <w:t>Vaccines</w:t>
      </w:r>
      <w:r w:rsidRPr="00E45841">
        <w:rPr>
          <w:rFonts w:ascii="Arial" w:hAnsi="Arial" w:cs="Arial"/>
          <w:sz w:val="22"/>
          <w:lang w:val="en-US"/>
        </w:rPr>
        <w:t xml:space="preserve">, 11(2), p. 449. </w:t>
      </w:r>
      <w:hyperlink r:id="rId25" w:history="1">
        <w:r w:rsidRPr="00E45841">
          <w:rPr>
            <w:rStyle w:val="Hyperlink"/>
            <w:rFonts w:ascii="Arial" w:hAnsi="Arial" w:cs="Arial"/>
            <w:sz w:val="22"/>
            <w:lang w:val="en-US"/>
          </w:rPr>
          <w:t>https://doi.org/10.3390/vaccines11020449</w:t>
        </w:r>
      </w:hyperlink>
      <w:r w:rsidRPr="00E45841">
        <w:rPr>
          <w:rFonts w:ascii="Arial" w:hAnsi="Arial" w:cs="Arial"/>
          <w:sz w:val="22"/>
          <w:lang w:val="en-US"/>
        </w:rPr>
        <w:t>.</w:t>
      </w:r>
    </w:p>
    <w:p w14:paraId="3FF891A8" w14:textId="77777777" w:rsidR="00130741" w:rsidRPr="00E45841" w:rsidRDefault="00130741" w:rsidP="00E45841">
      <w:pPr>
        <w:ind w:left="720" w:hanging="720"/>
        <w:rPr>
          <w:rFonts w:ascii="Arial" w:hAnsi="Arial" w:cs="Arial"/>
          <w:sz w:val="22"/>
        </w:rPr>
      </w:pPr>
      <w:r w:rsidRPr="00E45841">
        <w:rPr>
          <w:rFonts w:ascii="Arial" w:hAnsi="Arial" w:cs="Arial"/>
          <w:sz w:val="22"/>
        </w:rPr>
        <w:t xml:space="preserve">Un.org. (2025). Goal 3 | Department of Economic and Social Affairs. [online] Available at: </w:t>
      </w:r>
      <w:hyperlink r:id="rId26" w:history="1">
        <w:r w:rsidRPr="00E45841">
          <w:rPr>
            <w:rStyle w:val="Hyperlink"/>
            <w:rFonts w:ascii="Arial" w:hAnsi="Arial" w:cs="Arial"/>
            <w:sz w:val="22"/>
          </w:rPr>
          <w:t>https://sdgs.un.org/goals/goal3</w:t>
        </w:r>
      </w:hyperlink>
    </w:p>
    <w:p w14:paraId="3DF8A569" w14:textId="77777777" w:rsidR="00130741" w:rsidRPr="00E45841" w:rsidRDefault="00130741" w:rsidP="00E45841">
      <w:pPr>
        <w:ind w:left="720" w:hanging="720"/>
        <w:rPr>
          <w:rFonts w:ascii="Arial" w:hAnsi="Arial" w:cs="Arial"/>
          <w:sz w:val="22"/>
        </w:rPr>
      </w:pPr>
      <w:r w:rsidRPr="00E45841">
        <w:rPr>
          <w:rFonts w:ascii="Arial" w:hAnsi="Arial" w:cs="Arial"/>
          <w:sz w:val="22"/>
        </w:rPr>
        <w:t xml:space="preserve">World Health Organization (2024). World health statistics 2024. [online] World Health Organization. Available at: </w:t>
      </w:r>
      <w:hyperlink r:id="rId27" w:history="1">
        <w:r w:rsidRPr="00E45841">
          <w:rPr>
            <w:rStyle w:val="Hyperlink"/>
            <w:rFonts w:ascii="Arial" w:hAnsi="Arial" w:cs="Arial"/>
            <w:sz w:val="22"/>
          </w:rPr>
          <w:t>https://www.who.int/publications/i/item/9789240110496</w:t>
        </w:r>
      </w:hyperlink>
    </w:p>
    <w:p w14:paraId="6A8B15AB" w14:textId="77777777" w:rsidR="00130741" w:rsidRPr="00E45841" w:rsidRDefault="00130741" w:rsidP="00E45841">
      <w:pPr>
        <w:rPr>
          <w:rFonts w:ascii="Arial" w:hAnsi="Arial" w:cs="Arial"/>
          <w:sz w:val="22"/>
        </w:rPr>
      </w:pPr>
    </w:p>
    <w:sectPr w:rsidR="00130741" w:rsidRPr="00E45841" w:rsidSect="00D6681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0E322" w14:textId="77777777" w:rsidR="001D5759" w:rsidRDefault="001D5759" w:rsidP="00ED4139">
      <w:pPr>
        <w:spacing w:after="0" w:line="240" w:lineRule="auto"/>
      </w:pPr>
      <w:r>
        <w:separator/>
      </w:r>
    </w:p>
  </w:endnote>
  <w:endnote w:type="continuationSeparator" w:id="0">
    <w:p w14:paraId="7E0755A8" w14:textId="77777777" w:rsidR="001D5759" w:rsidRDefault="001D5759" w:rsidP="00ED4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8521507"/>
      <w:docPartObj>
        <w:docPartGallery w:val="Page Numbers (Bottom of Page)"/>
        <w:docPartUnique/>
      </w:docPartObj>
    </w:sdtPr>
    <w:sdtEndPr>
      <w:rPr>
        <w:noProof/>
      </w:rPr>
    </w:sdtEndPr>
    <w:sdtContent>
      <w:p w14:paraId="2B24C80E" w14:textId="2C206684" w:rsidR="00D6681F" w:rsidRDefault="00D668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1E3D3" w14:textId="77777777" w:rsidR="00ED4139" w:rsidRDefault="00ED4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0C489" w14:textId="77777777" w:rsidR="001D5759" w:rsidRDefault="001D5759" w:rsidP="00ED4139">
      <w:pPr>
        <w:spacing w:after="0" w:line="240" w:lineRule="auto"/>
      </w:pPr>
      <w:r>
        <w:separator/>
      </w:r>
    </w:p>
  </w:footnote>
  <w:footnote w:type="continuationSeparator" w:id="0">
    <w:p w14:paraId="153FD4D8" w14:textId="77777777" w:rsidR="001D5759" w:rsidRDefault="001D5759" w:rsidP="00ED41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27AA7"/>
    <w:multiLevelType w:val="hybridMultilevel"/>
    <w:tmpl w:val="1586F58C"/>
    <w:lvl w:ilvl="0" w:tplc="8F787292">
      <w:start w:val="1"/>
      <w:numFmt w:val="bullet"/>
      <w:lvlText w:val=""/>
      <w:lvlJc w:val="left"/>
      <w:pPr>
        <w:ind w:left="720" w:hanging="360"/>
      </w:pPr>
      <w:rPr>
        <w:rFonts w:ascii="Symbol" w:hAnsi="Symbol" w:hint="default"/>
      </w:rPr>
    </w:lvl>
    <w:lvl w:ilvl="1" w:tplc="D194CA3A">
      <w:start w:val="1"/>
      <w:numFmt w:val="bullet"/>
      <w:lvlText w:val="o"/>
      <w:lvlJc w:val="left"/>
      <w:pPr>
        <w:ind w:left="1440" w:hanging="360"/>
      </w:pPr>
      <w:rPr>
        <w:rFonts w:ascii="Courier New" w:hAnsi="Courier New" w:hint="default"/>
      </w:rPr>
    </w:lvl>
    <w:lvl w:ilvl="2" w:tplc="A2286E82">
      <w:start w:val="1"/>
      <w:numFmt w:val="bullet"/>
      <w:lvlText w:val=""/>
      <w:lvlJc w:val="left"/>
      <w:pPr>
        <w:ind w:left="2160" w:hanging="360"/>
      </w:pPr>
      <w:rPr>
        <w:rFonts w:ascii="Wingdings" w:hAnsi="Wingdings" w:hint="default"/>
      </w:rPr>
    </w:lvl>
    <w:lvl w:ilvl="3" w:tplc="06CCFA18">
      <w:start w:val="1"/>
      <w:numFmt w:val="bullet"/>
      <w:lvlText w:val=""/>
      <w:lvlJc w:val="left"/>
      <w:pPr>
        <w:ind w:left="2880" w:hanging="360"/>
      </w:pPr>
      <w:rPr>
        <w:rFonts w:ascii="Symbol" w:hAnsi="Symbol" w:hint="default"/>
      </w:rPr>
    </w:lvl>
    <w:lvl w:ilvl="4" w:tplc="12F24EE0">
      <w:start w:val="1"/>
      <w:numFmt w:val="bullet"/>
      <w:lvlText w:val="o"/>
      <w:lvlJc w:val="left"/>
      <w:pPr>
        <w:ind w:left="3600" w:hanging="360"/>
      </w:pPr>
      <w:rPr>
        <w:rFonts w:ascii="Courier New" w:hAnsi="Courier New" w:hint="default"/>
      </w:rPr>
    </w:lvl>
    <w:lvl w:ilvl="5" w:tplc="6772004C">
      <w:start w:val="1"/>
      <w:numFmt w:val="bullet"/>
      <w:lvlText w:val=""/>
      <w:lvlJc w:val="left"/>
      <w:pPr>
        <w:ind w:left="4320" w:hanging="360"/>
      </w:pPr>
      <w:rPr>
        <w:rFonts w:ascii="Wingdings" w:hAnsi="Wingdings" w:hint="default"/>
      </w:rPr>
    </w:lvl>
    <w:lvl w:ilvl="6" w:tplc="B4E65AA6">
      <w:start w:val="1"/>
      <w:numFmt w:val="bullet"/>
      <w:lvlText w:val=""/>
      <w:lvlJc w:val="left"/>
      <w:pPr>
        <w:ind w:left="5040" w:hanging="360"/>
      </w:pPr>
      <w:rPr>
        <w:rFonts w:ascii="Symbol" w:hAnsi="Symbol" w:hint="default"/>
      </w:rPr>
    </w:lvl>
    <w:lvl w:ilvl="7" w:tplc="E5B84960">
      <w:start w:val="1"/>
      <w:numFmt w:val="bullet"/>
      <w:lvlText w:val="o"/>
      <w:lvlJc w:val="left"/>
      <w:pPr>
        <w:ind w:left="5760" w:hanging="360"/>
      </w:pPr>
      <w:rPr>
        <w:rFonts w:ascii="Courier New" w:hAnsi="Courier New" w:hint="default"/>
      </w:rPr>
    </w:lvl>
    <w:lvl w:ilvl="8" w:tplc="459CBD08">
      <w:start w:val="1"/>
      <w:numFmt w:val="bullet"/>
      <w:lvlText w:val=""/>
      <w:lvlJc w:val="left"/>
      <w:pPr>
        <w:ind w:left="6480" w:hanging="360"/>
      </w:pPr>
      <w:rPr>
        <w:rFonts w:ascii="Wingdings" w:hAnsi="Wingdings" w:hint="default"/>
      </w:rPr>
    </w:lvl>
  </w:abstractNum>
  <w:abstractNum w:abstractNumId="1" w15:restartNumberingAfterBreak="0">
    <w:nsid w:val="1EFD0D7D"/>
    <w:multiLevelType w:val="multilevel"/>
    <w:tmpl w:val="5EA6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B151A4"/>
    <w:multiLevelType w:val="hybridMultilevel"/>
    <w:tmpl w:val="764837C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EC0189"/>
    <w:multiLevelType w:val="multilevel"/>
    <w:tmpl w:val="32F43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35767F"/>
    <w:multiLevelType w:val="multilevel"/>
    <w:tmpl w:val="73A6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6910F7"/>
    <w:multiLevelType w:val="hybridMultilevel"/>
    <w:tmpl w:val="652CE14A"/>
    <w:lvl w:ilvl="0" w:tplc="1D664C5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B42C18"/>
    <w:multiLevelType w:val="hybridMultilevel"/>
    <w:tmpl w:val="C42AF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15577"/>
    <w:multiLevelType w:val="hybridMultilevel"/>
    <w:tmpl w:val="F9A017C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6E0966"/>
    <w:multiLevelType w:val="hybridMultilevel"/>
    <w:tmpl w:val="77E89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F629E1"/>
    <w:multiLevelType w:val="multilevel"/>
    <w:tmpl w:val="AF98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270F35"/>
    <w:multiLevelType w:val="hybridMultilevel"/>
    <w:tmpl w:val="2C0AF3A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856804">
    <w:abstractNumId w:val="0"/>
  </w:num>
  <w:num w:numId="2" w16cid:durableId="158810040">
    <w:abstractNumId w:val="8"/>
  </w:num>
  <w:num w:numId="3" w16cid:durableId="800198207">
    <w:abstractNumId w:val="5"/>
  </w:num>
  <w:num w:numId="4" w16cid:durableId="2087872086">
    <w:abstractNumId w:val="9"/>
  </w:num>
  <w:num w:numId="5" w16cid:durableId="1675067127">
    <w:abstractNumId w:val="3"/>
  </w:num>
  <w:num w:numId="6" w16cid:durableId="1116145281">
    <w:abstractNumId w:val="4"/>
  </w:num>
  <w:num w:numId="7" w16cid:durableId="1879320349">
    <w:abstractNumId w:val="1"/>
  </w:num>
  <w:num w:numId="8" w16cid:durableId="843520080">
    <w:abstractNumId w:val="10"/>
  </w:num>
  <w:num w:numId="9" w16cid:durableId="2002154498">
    <w:abstractNumId w:val="2"/>
  </w:num>
  <w:num w:numId="10" w16cid:durableId="2050299554">
    <w:abstractNumId w:val="7"/>
  </w:num>
  <w:num w:numId="11" w16cid:durableId="21451946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AF7"/>
    <w:rsid w:val="000101C6"/>
    <w:rsid w:val="00011CC1"/>
    <w:rsid w:val="00027BA6"/>
    <w:rsid w:val="00033D6A"/>
    <w:rsid w:val="00034EEA"/>
    <w:rsid w:val="000378E8"/>
    <w:rsid w:val="00047EC3"/>
    <w:rsid w:val="00050FB6"/>
    <w:rsid w:val="000574C3"/>
    <w:rsid w:val="00065388"/>
    <w:rsid w:val="00067AD5"/>
    <w:rsid w:val="00072438"/>
    <w:rsid w:val="000771AD"/>
    <w:rsid w:val="00092F5D"/>
    <w:rsid w:val="000A4E24"/>
    <w:rsid w:val="000B011C"/>
    <w:rsid w:val="000C291A"/>
    <w:rsid w:val="000C2CA8"/>
    <w:rsid w:val="000C5BC0"/>
    <w:rsid w:val="000C7201"/>
    <w:rsid w:val="000D206F"/>
    <w:rsid w:val="000D5E3B"/>
    <w:rsid w:val="000E0A99"/>
    <w:rsid w:val="000E43FE"/>
    <w:rsid w:val="000E63A8"/>
    <w:rsid w:val="001007A3"/>
    <w:rsid w:val="00100AF7"/>
    <w:rsid w:val="001013A0"/>
    <w:rsid w:val="00123BD6"/>
    <w:rsid w:val="00124F6F"/>
    <w:rsid w:val="00130741"/>
    <w:rsid w:val="001316A3"/>
    <w:rsid w:val="0013290A"/>
    <w:rsid w:val="00140115"/>
    <w:rsid w:val="0015448A"/>
    <w:rsid w:val="00154734"/>
    <w:rsid w:val="00160E71"/>
    <w:rsid w:val="00191D40"/>
    <w:rsid w:val="00192941"/>
    <w:rsid w:val="001A5F50"/>
    <w:rsid w:val="001B4DAA"/>
    <w:rsid w:val="001D5759"/>
    <w:rsid w:val="001E3E3C"/>
    <w:rsid w:val="001E65BE"/>
    <w:rsid w:val="001E6A9A"/>
    <w:rsid w:val="001F4651"/>
    <w:rsid w:val="001F47AB"/>
    <w:rsid w:val="001F519B"/>
    <w:rsid w:val="00202AB3"/>
    <w:rsid w:val="00207438"/>
    <w:rsid w:val="0020768B"/>
    <w:rsid w:val="00215BB3"/>
    <w:rsid w:val="00216E0B"/>
    <w:rsid w:val="00225CFF"/>
    <w:rsid w:val="002769D2"/>
    <w:rsid w:val="0028612F"/>
    <w:rsid w:val="002A0687"/>
    <w:rsid w:val="002A4319"/>
    <w:rsid w:val="002B3136"/>
    <w:rsid w:val="002B6D8E"/>
    <w:rsid w:val="002C23CF"/>
    <w:rsid w:val="002F03AA"/>
    <w:rsid w:val="002F2405"/>
    <w:rsid w:val="002F27DF"/>
    <w:rsid w:val="0030011A"/>
    <w:rsid w:val="003170FE"/>
    <w:rsid w:val="00317501"/>
    <w:rsid w:val="00335184"/>
    <w:rsid w:val="0035144F"/>
    <w:rsid w:val="00362C05"/>
    <w:rsid w:val="003D3699"/>
    <w:rsid w:val="003E786C"/>
    <w:rsid w:val="003F3C19"/>
    <w:rsid w:val="003F4A17"/>
    <w:rsid w:val="003F5D3E"/>
    <w:rsid w:val="00403B3C"/>
    <w:rsid w:val="0042215D"/>
    <w:rsid w:val="00452903"/>
    <w:rsid w:val="004603C4"/>
    <w:rsid w:val="00464440"/>
    <w:rsid w:val="00475045"/>
    <w:rsid w:val="00486471"/>
    <w:rsid w:val="004B35A0"/>
    <w:rsid w:val="004B66CB"/>
    <w:rsid w:val="004D79C6"/>
    <w:rsid w:val="004E0A89"/>
    <w:rsid w:val="004F1292"/>
    <w:rsid w:val="00502A5C"/>
    <w:rsid w:val="00502DF9"/>
    <w:rsid w:val="0051786E"/>
    <w:rsid w:val="0052417D"/>
    <w:rsid w:val="00536CEE"/>
    <w:rsid w:val="00537EFB"/>
    <w:rsid w:val="005463C9"/>
    <w:rsid w:val="00570117"/>
    <w:rsid w:val="00577A89"/>
    <w:rsid w:val="00580E6F"/>
    <w:rsid w:val="005920FC"/>
    <w:rsid w:val="005947A7"/>
    <w:rsid w:val="005A0B04"/>
    <w:rsid w:val="005A7A87"/>
    <w:rsid w:val="005B742F"/>
    <w:rsid w:val="005B772E"/>
    <w:rsid w:val="005D41B3"/>
    <w:rsid w:val="005F2F3D"/>
    <w:rsid w:val="006027AF"/>
    <w:rsid w:val="006218A8"/>
    <w:rsid w:val="00631C97"/>
    <w:rsid w:val="0064570C"/>
    <w:rsid w:val="006506AD"/>
    <w:rsid w:val="00652529"/>
    <w:rsid w:val="00655F2E"/>
    <w:rsid w:val="00667798"/>
    <w:rsid w:val="00676036"/>
    <w:rsid w:val="0068200A"/>
    <w:rsid w:val="006A15FA"/>
    <w:rsid w:val="006B1979"/>
    <w:rsid w:val="006B2DFD"/>
    <w:rsid w:val="006C5BF1"/>
    <w:rsid w:val="006D382E"/>
    <w:rsid w:val="006D549B"/>
    <w:rsid w:val="006D65D5"/>
    <w:rsid w:val="006E20DE"/>
    <w:rsid w:val="006E2A38"/>
    <w:rsid w:val="006E505F"/>
    <w:rsid w:val="00714BE8"/>
    <w:rsid w:val="00714EE9"/>
    <w:rsid w:val="00715CD3"/>
    <w:rsid w:val="0072018F"/>
    <w:rsid w:val="00721569"/>
    <w:rsid w:val="00721AA6"/>
    <w:rsid w:val="00723B2F"/>
    <w:rsid w:val="00727412"/>
    <w:rsid w:val="00737776"/>
    <w:rsid w:val="00752AC8"/>
    <w:rsid w:val="00757962"/>
    <w:rsid w:val="00772ADB"/>
    <w:rsid w:val="0078280F"/>
    <w:rsid w:val="007A226A"/>
    <w:rsid w:val="007A6CA3"/>
    <w:rsid w:val="007A77AC"/>
    <w:rsid w:val="007B57F3"/>
    <w:rsid w:val="007C267E"/>
    <w:rsid w:val="007C7404"/>
    <w:rsid w:val="007D2E1E"/>
    <w:rsid w:val="007D3B2A"/>
    <w:rsid w:val="007E3A15"/>
    <w:rsid w:val="007E6840"/>
    <w:rsid w:val="007E6D32"/>
    <w:rsid w:val="007F1F7E"/>
    <w:rsid w:val="007F5F64"/>
    <w:rsid w:val="007F67A1"/>
    <w:rsid w:val="008308BE"/>
    <w:rsid w:val="00833F6E"/>
    <w:rsid w:val="00837F2B"/>
    <w:rsid w:val="008517EB"/>
    <w:rsid w:val="008573A0"/>
    <w:rsid w:val="008620A3"/>
    <w:rsid w:val="00864893"/>
    <w:rsid w:val="008649E7"/>
    <w:rsid w:val="00874B62"/>
    <w:rsid w:val="00875913"/>
    <w:rsid w:val="00887164"/>
    <w:rsid w:val="0089602F"/>
    <w:rsid w:val="008B174B"/>
    <w:rsid w:val="008C0DEC"/>
    <w:rsid w:val="008C36B3"/>
    <w:rsid w:val="008C4BB3"/>
    <w:rsid w:val="008D3E70"/>
    <w:rsid w:val="008F0DBF"/>
    <w:rsid w:val="008F3643"/>
    <w:rsid w:val="00903EF7"/>
    <w:rsid w:val="009263EB"/>
    <w:rsid w:val="00935F82"/>
    <w:rsid w:val="00961318"/>
    <w:rsid w:val="00964E84"/>
    <w:rsid w:val="009714B7"/>
    <w:rsid w:val="0098264E"/>
    <w:rsid w:val="00992AEA"/>
    <w:rsid w:val="009A2503"/>
    <w:rsid w:val="009A2E3B"/>
    <w:rsid w:val="009B42CC"/>
    <w:rsid w:val="009B666D"/>
    <w:rsid w:val="00A0543B"/>
    <w:rsid w:val="00A27FA3"/>
    <w:rsid w:val="00A455F8"/>
    <w:rsid w:val="00A52AB3"/>
    <w:rsid w:val="00A778A0"/>
    <w:rsid w:val="00A83049"/>
    <w:rsid w:val="00A86C55"/>
    <w:rsid w:val="00AA233B"/>
    <w:rsid w:val="00AA31DA"/>
    <w:rsid w:val="00AB6A5C"/>
    <w:rsid w:val="00AC0934"/>
    <w:rsid w:val="00AC2FFF"/>
    <w:rsid w:val="00AD3C71"/>
    <w:rsid w:val="00AD5B29"/>
    <w:rsid w:val="00AD6F0B"/>
    <w:rsid w:val="00AF011F"/>
    <w:rsid w:val="00AF4112"/>
    <w:rsid w:val="00B16D95"/>
    <w:rsid w:val="00B33FFE"/>
    <w:rsid w:val="00B56413"/>
    <w:rsid w:val="00B608C9"/>
    <w:rsid w:val="00B824C6"/>
    <w:rsid w:val="00B8335F"/>
    <w:rsid w:val="00BC6774"/>
    <w:rsid w:val="00BD5253"/>
    <w:rsid w:val="00BD5436"/>
    <w:rsid w:val="00BE0F1F"/>
    <w:rsid w:val="00C13BDE"/>
    <w:rsid w:val="00C13E2A"/>
    <w:rsid w:val="00C1636A"/>
    <w:rsid w:val="00C35E76"/>
    <w:rsid w:val="00C41BE0"/>
    <w:rsid w:val="00C42DF6"/>
    <w:rsid w:val="00C53E46"/>
    <w:rsid w:val="00C61A14"/>
    <w:rsid w:val="00C776EF"/>
    <w:rsid w:val="00C91571"/>
    <w:rsid w:val="00CA08F8"/>
    <w:rsid w:val="00CB5BA6"/>
    <w:rsid w:val="00CB738B"/>
    <w:rsid w:val="00CC558B"/>
    <w:rsid w:val="00CC657E"/>
    <w:rsid w:val="00CC7119"/>
    <w:rsid w:val="00CD4A67"/>
    <w:rsid w:val="00CF22A3"/>
    <w:rsid w:val="00CF739D"/>
    <w:rsid w:val="00D21AF7"/>
    <w:rsid w:val="00D25310"/>
    <w:rsid w:val="00D265A3"/>
    <w:rsid w:val="00D27E4C"/>
    <w:rsid w:val="00D35F07"/>
    <w:rsid w:val="00D5243F"/>
    <w:rsid w:val="00D63A5D"/>
    <w:rsid w:val="00D6681F"/>
    <w:rsid w:val="00D72714"/>
    <w:rsid w:val="00D90A91"/>
    <w:rsid w:val="00D92697"/>
    <w:rsid w:val="00DA55C1"/>
    <w:rsid w:val="00DB5FFF"/>
    <w:rsid w:val="00DC188E"/>
    <w:rsid w:val="00DC4255"/>
    <w:rsid w:val="00DC6D77"/>
    <w:rsid w:val="00DF6353"/>
    <w:rsid w:val="00E07047"/>
    <w:rsid w:val="00E2175A"/>
    <w:rsid w:val="00E257E3"/>
    <w:rsid w:val="00E265DB"/>
    <w:rsid w:val="00E269FB"/>
    <w:rsid w:val="00E26C2D"/>
    <w:rsid w:val="00E45841"/>
    <w:rsid w:val="00E65BBE"/>
    <w:rsid w:val="00E66F8B"/>
    <w:rsid w:val="00E74BF4"/>
    <w:rsid w:val="00E9144F"/>
    <w:rsid w:val="00E97119"/>
    <w:rsid w:val="00EA5AD9"/>
    <w:rsid w:val="00EA722A"/>
    <w:rsid w:val="00EB2F17"/>
    <w:rsid w:val="00ED0DE9"/>
    <w:rsid w:val="00ED4139"/>
    <w:rsid w:val="00F06A7E"/>
    <w:rsid w:val="00F102DC"/>
    <w:rsid w:val="00F14763"/>
    <w:rsid w:val="00F20BAE"/>
    <w:rsid w:val="00F24DE3"/>
    <w:rsid w:val="00F31587"/>
    <w:rsid w:val="00F35E05"/>
    <w:rsid w:val="00F40824"/>
    <w:rsid w:val="00F43755"/>
    <w:rsid w:val="00F559A5"/>
    <w:rsid w:val="00F56285"/>
    <w:rsid w:val="00F570A6"/>
    <w:rsid w:val="00F725E2"/>
    <w:rsid w:val="00F81151"/>
    <w:rsid w:val="00F86173"/>
    <w:rsid w:val="00F87B43"/>
    <w:rsid w:val="00FB32AB"/>
    <w:rsid w:val="00FB6E51"/>
    <w:rsid w:val="00FC097D"/>
    <w:rsid w:val="01530119"/>
    <w:rsid w:val="017BC9B5"/>
    <w:rsid w:val="01C50E79"/>
    <w:rsid w:val="01DBDE45"/>
    <w:rsid w:val="025A36FB"/>
    <w:rsid w:val="035C1772"/>
    <w:rsid w:val="03BC3EFC"/>
    <w:rsid w:val="046AD74F"/>
    <w:rsid w:val="0494ECE0"/>
    <w:rsid w:val="05BC9F68"/>
    <w:rsid w:val="05C7F1BC"/>
    <w:rsid w:val="05D657E3"/>
    <w:rsid w:val="065B6E27"/>
    <w:rsid w:val="086B5B64"/>
    <w:rsid w:val="0932E616"/>
    <w:rsid w:val="09634867"/>
    <w:rsid w:val="09F85C4D"/>
    <w:rsid w:val="0A287BDE"/>
    <w:rsid w:val="0D2290F7"/>
    <w:rsid w:val="0D5ABBCF"/>
    <w:rsid w:val="0F3D2E9D"/>
    <w:rsid w:val="0F699E9B"/>
    <w:rsid w:val="102AF37C"/>
    <w:rsid w:val="10E00901"/>
    <w:rsid w:val="117A967C"/>
    <w:rsid w:val="126440A3"/>
    <w:rsid w:val="14DBBF48"/>
    <w:rsid w:val="165DCBCA"/>
    <w:rsid w:val="1723A590"/>
    <w:rsid w:val="18270875"/>
    <w:rsid w:val="188C5451"/>
    <w:rsid w:val="192316C9"/>
    <w:rsid w:val="19747A0F"/>
    <w:rsid w:val="1AB2B839"/>
    <w:rsid w:val="1B7923FC"/>
    <w:rsid w:val="1DF54AA5"/>
    <w:rsid w:val="1E7AADD1"/>
    <w:rsid w:val="20344B68"/>
    <w:rsid w:val="203936F9"/>
    <w:rsid w:val="205C30C2"/>
    <w:rsid w:val="20850690"/>
    <w:rsid w:val="20B4D3A7"/>
    <w:rsid w:val="20CE1BE8"/>
    <w:rsid w:val="2106E477"/>
    <w:rsid w:val="23696AF4"/>
    <w:rsid w:val="238B4A96"/>
    <w:rsid w:val="23C4F66F"/>
    <w:rsid w:val="244520F2"/>
    <w:rsid w:val="2457997A"/>
    <w:rsid w:val="24A8F0AB"/>
    <w:rsid w:val="280C56E6"/>
    <w:rsid w:val="28EE3190"/>
    <w:rsid w:val="293B36A6"/>
    <w:rsid w:val="29AC9378"/>
    <w:rsid w:val="2AD16A22"/>
    <w:rsid w:val="2B0B8BE3"/>
    <w:rsid w:val="2BA04994"/>
    <w:rsid w:val="2BB47429"/>
    <w:rsid w:val="2D50E048"/>
    <w:rsid w:val="2D58B3D7"/>
    <w:rsid w:val="2D96F282"/>
    <w:rsid w:val="2F268EFD"/>
    <w:rsid w:val="31535600"/>
    <w:rsid w:val="31652C8C"/>
    <w:rsid w:val="317D2548"/>
    <w:rsid w:val="333B083A"/>
    <w:rsid w:val="348133D3"/>
    <w:rsid w:val="34911D94"/>
    <w:rsid w:val="349805AC"/>
    <w:rsid w:val="35C0339D"/>
    <w:rsid w:val="35F607E3"/>
    <w:rsid w:val="361B4F63"/>
    <w:rsid w:val="37515A1F"/>
    <w:rsid w:val="379B1A7F"/>
    <w:rsid w:val="37EAA2D7"/>
    <w:rsid w:val="37F34058"/>
    <w:rsid w:val="3930999A"/>
    <w:rsid w:val="3967CF32"/>
    <w:rsid w:val="39686593"/>
    <w:rsid w:val="3988E787"/>
    <w:rsid w:val="39A7C0C3"/>
    <w:rsid w:val="3AB01071"/>
    <w:rsid w:val="3B04CA09"/>
    <w:rsid w:val="3B60817C"/>
    <w:rsid w:val="3BA3F8F1"/>
    <w:rsid w:val="3C089D6C"/>
    <w:rsid w:val="3C9B4329"/>
    <w:rsid w:val="3CDE0665"/>
    <w:rsid w:val="3DC1195F"/>
    <w:rsid w:val="3DCEBE23"/>
    <w:rsid w:val="3F19CF9E"/>
    <w:rsid w:val="3F21C62C"/>
    <w:rsid w:val="3FF5297B"/>
    <w:rsid w:val="404B0AD5"/>
    <w:rsid w:val="40E2DB01"/>
    <w:rsid w:val="42BCB85A"/>
    <w:rsid w:val="43215120"/>
    <w:rsid w:val="43E52AC4"/>
    <w:rsid w:val="443FC66B"/>
    <w:rsid w:val="460BDB77"/>
    <w:rsid w:val="471C209B"/>
    <w:rsid w:val="47896F02"/>
    <w:rsid w:val="485AF26B"/>
    <w:rsid w:val="48E8452C"/>
    <w:rsid w:val="48EC8124"/>
    <w:rsid w:val="4A94CA14"/>
    <w:rsid w:val="4AA9338E"/>
    <w:rsid w:val="4AB15C92"/>
    <w:rsid w:val="4B4FB59E"/>
    <w:rsid w:val="4C14A583"/>
    <w:rsid w:val="4E1463AD"/>
    <w:rsid w:val="4E1850BE"/>
    <w:rsid w:val="4E3126EA"/>
    <w:rsid w:val="4FFD9AC0"/>
    <w:rsid w:val="53015F34"/>
    <w:rsid w:val="534ECD1E"/>
    <w:rsid w:val="539BD795"/>
    <w:rsid w:val="53F4F3C6"/>
    <w:rsid w:val="54396506"/>
    <w:rsid w:val="54ED7414"/>
    <w:rsid w:val="557D31F6"/>
    <w:rsid w:val="55CF12A0"/>
    <w:rsid w:val="55EB4E54"/>
    <w:rsid w:val="55F6BDA3"/>
    <w:rsid w:val="562302DE"/>
    <w:rsid w:val="57551355"/>
    <w:rsid w:val="57D73DE5"/>
    <w:rsid w:val="57F69B0D"/>
    <w:rsid w:val="5868960F"/>
    <w:rsid w:val="58E023FD"/>
    <w:rsid w:val="5926B66A"/>
    <w:rsid w:val="592F4127"/>
    <w:rsid w:val="5942A32C"/>
    <w:rsid w:val="5B502D0E"/>
    <w:rsid w:val="5B9D3834"/>
    <w:rsid w:val="5D7F275A"/>
    <w:rsid w:val="5FB1DDA5"/>
    <w:rsid w:val="6052E3B3"/>
    <w:rsid w:val="6171BAC6"/>
    <w:rsid w:val="635648A2"/>
    <w:rsid w:val="63A3DEEE"/>
    <w:rsid w:val="64791AEE"/>
    <w:rsid w:val="667C9EB1"/>
    <w:rsid w:val="6766AA43"/>
    <w:rsid w:val="6A2EA486"/>
    <w:rsid w:val="6BBFA425"/>
    <w:rsid w:val="6D2869F7"/>
    <w:rsid w:val="6E3CFB35"/>
    <w:rsid w:val="6E4BCE69"/>
    <w:rsid w:val="6F439D65"/>
    <w:rsid w:val="7008C7D0"/>
    <w:rsid w:val="70F52EBF"/>
    <w:rsid w:val="71413708"/>
    <w:rsid w:val="718A0299"/>
    <w:rsid w:val="7269B82D"/>
    <w:rsid w:val="7571FFAC"/>
    <w:rsid w:val="75D7131A"/>
    <w:rsid w:val="76CF255F"/>
    <w:rsid w:val="78122A46"/>
    <w:rsid w:val="790C7BDC"/>
    <w:rsid w:val="796E989F"/>
    <w:rsid w:val="79DF1846"/>
    <w:rsid w:val="7ADB5F59"/>
    <w:rsid w:val="7AE18161"/>
    <w:rsid w:val="7B4F79DD"/>
    <w:rsid w:val="7B79AB8E"/>
    <w:rsid w:val="7B7C3A2C"/>
    <w:rsid w:val="7B86ABE8"/>
    <w:rsid w:val="7BFCD750"/>
    <w:rsid w:val="7CECCA01"/>
    <w:rsid w:val="7D201CFD"/>
    <w:rsid w:val="7EC19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FCC68"/>
  <w15:chartTrackingRefBased/>
  <w15:docId w15:val="{730DFF2A-3B93-4D20-B8C6-D1306C105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D95"/>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E786C"/>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3E786C"/>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3E786C"/>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D21A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A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A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A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A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A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86C"/>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3E786C"/>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3E786C"/>
    <w:rPr>
      <w:rFonts w:ascii="Times New Roman" w:eastAsiaTheme="majorEastAsia" w:hAnsi="Times New Roman" w:cstheme="majorBidi"/>
      <w:i/>
      <w:color w:val="000000" w:themeColor="text1"/>
      <w:sz w:val="24"/>
      <w:szCs w:val="28"/>
    </w:rPr>
  </w:style>
  <w:style w:type="character" w:customStyle="1" w:styleId="Heading4Char">
    <w:name w:val="Heading 4 Char"/>
    <w:basedOn w:val="DefaultParagraphFont"/>
    <w:link w:val="Heading4"/>
    <w:uiPriority w:val="9"/>
    <w:semiHidden/>
    <w:rsid w:val="00D21A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A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A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A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A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AF7"/>
    <w:rPr>
      <w:rFonts w:eastAsiaTheme="majorEastAsia" w:cstheme="majorBidi"/>
      <w:color w:val="272727" w:themeColor="text1" w:themeTint="D8"/>
    </w:rPr>
  </w:style>
  <w:style w:type="paragraph" w:styleId="Title">
    <w:name w:val="Title"/>
    <w:basedOn w:val="Normal"/>
    <w:next w:val="Normal"/>
    <w:link w:val="TitleChar"/>
    <w:uiPriority w:val="10"/>
    <w:qFormat/>
    <w:rsid w:val="00D21A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A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A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A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AF7"/>
    <w:pPr>
      <w:spacing w:before="160"/>
      <w:jc w:val="center"/>
    </w:pPr>
    <w:rPr>
      <w:i/>
      <w:iCs/>
      <w:color w:val="404040" w:themeColor="text1" w:themeTint="BF"/>
    </w:rPr>
  </w:style>
  <w:style w:type="character" w:customStyle="1" w:styleId="QuoteChar">
    <w:name w:val="Quote Char"/>
    <w:basedOn w:val="DefaultParagraphFont"/>
    <w:link w:val="Quote"/>
    <w:uiPriority w:val="29"/>
    <w:rsid w:val="00D21AF7"/>
    <w:rPr>
      <w:i/>
      <w:iCs/>
      <w:color w:val="404040" w:themeColor="text1" w:themeTint="BF"/>
    </w:rPr>
  </w:style>
  <w:style w:type="paragraph" w:styleId="ListParagraph">
    <w:name w:val="List Paragraph"/>
    <w:basedOn w:val="Normal"/>
    <w:uiPriority w:val="34"/>
    <w:qFormat/>
    <w:rsid w:val="00D21AF7"/>
    <w:pPr>
      <w:ind w:left="720"/>
      <w:contextualSpacing/>
    </w:pPr>
  </w:style>
  <w:style w:type="character" w:styleId="IntenseEmphasis">
    <w:name w:val="Intense Emphasis"/>
    <w:basedOn w:val="DefaultParagraphFont"/>
    <w:uiPriority w:val="21"/>
    <w:qFormat/>
    <w:rsid w:val="00D21AF7"/>
    <w:rPr>
      <w:i/>
      <w:iCs/>
      <w:color w:val="0F4761" w:themeColor="accent1" w:themeShade="BF"/>
    </w:rPr>
  </w:style>
  <w:style w:type="paragraph" w:styleId="IntenseQuote">
    <w:name w:val="Intense Quote"/>
    <w:basedOn w:val="Normal"/>
    <w:next w:val="Normal"/>
    <w:link w:val="IntenseQuoteChar"/>
    <w:uiPriority w:val="30"/>
    <w:qFormat/>
    <w:rsid w:val="00D21A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AF7"/>
    <w:rPr>
      <w:i/>
      <w:iCs/>
      <w:color w:val="0F4761" w:themeColor="accent1" w:themeShade="BF"/>
    </w:rPr>
  </w:style>
  <w:style w:type="character" w:styleId="IntenseReference">
    <w:name w:val="Intense Reference"/>
    <w:basedOn w:val="DefaultParagraphFont"/>
    <w:uiPriority w:val="32"/>
    <w:qFormat/>
    <w:rsid w:val="00D21AF7"/>
    <w:rPr>
      <w:b/>
      <w:bCs/>
      <w:smallCaps/>
      <w:color w:val="0F4761" w:themeColor="accent1" w:themeShade="BF"/>
      <w:spacing w:val="5"/>
    </w:rPr>
  </w:style>
  <w:style w:type="table" w:styleId="TableGrid">
    <w:name w:val="Table Grid"/>
    <w:basedOn w:val="TableNormal"/>
    <w:uiPriority w:val="39"/>
    <w:rsid w:val="00D21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1AF7"/>
    <w:rPr>
      <w:color w:val="467886" w:themeColor="hyperlink"/>
      <w:u w:val="single"/>
    </w:rPr>
  </w:style>
  <w:style w:type="character" w:styleId="UnresolvedMention">
    <w:name w:val="Unresolved Mention"/>
    <w:basedOn w:val="DefaultParagraphFont"/>
    <w:uiPriority w:val="99"/>
    <w:semiHidden/>
    <w:unhideWhenUsed/>
    <w:rsid w:val="00D21AF7"/>
    <w:rPr>
      <w:color w:val="605E5C"/>
      <w:shd w:val="clear" w:color="auto" w:fill="E1DFDD"/>
    </w:rPr>
  </w:style>
  <w:style w:type="paragraph" w:styleId="TOCHeading">
    <w:name w:val="TOC Heading"/>
    <w:basedOn w:val="Heading1"/>
    <w:next w:val="Normal"/>
    <w:uiPriority w:val="39"/>
    <w:unhideWhenUsed/>
    <w:qFormat/>
    <w:rsid w:val="00714BE8"/>
    <w:pPr>
      <w:spacing w:before="240" w:after="0"/>
      <w:outlineLvl w:val="9"/>
    </w:pPr>
    <w:rPr>
      <w:kern w:val="0"/>
      <w:szCs w:val="32"/>
      <w:lang w:val="en-US"/>
      <w14:ligatures w14:val="none"/>
    </w:rPr>
  </w:style>
  <w:style w:type="paragraph" w:styleId="TOC1">
    <w:name w:val="toc 1"/>
    <w:basedOn w:val="Normal"/>
    <w:next w:val="Normal"/>
    <w:autoRedefine/>
    <w:uiPriority w:val="39"/>
    <w:unhideWhenUsed/>
    <w:rsid w:val="00714BE8"/>
    <w:pPr>
      <w:spacing w:after="100"/>
    </w:pPr>
  </w:style>
  <w:style w:type="paragraph" w:styleId="TOC2">
    <w:name w:val="toc 2"/>
    <w:basedOn w:val="Normal"/>
    <w:next w:val="Normal"/>
    <w:autoRedefine/>
    <w:uiPriority w:val="39"/>
    <w:unhideWhenUsed/>
    <w:rsid w:val="00714BE8"/>
    <w:pPr>
      <w:spacing w:after="100"/>
      <w:ind w:left="220"/>
    </w:pPr>
  </w:style>
  <w:style w:type="paragraph" w:styleId="TOC3">
    <w:name w:val="toc 3"/>
    <w:basedOn w:val="Normal"/>
    <w:next w:val="Normal"/>
    <w:autoRedefine/>
    <w:uiPriority w:val="39"/>
    <w:unhideWhenUsed/>
    <w:rsid w:val="00E74BF4"/>
    <w:pPr>
      <w:spacing w:after="100"/>
      <w:ind w:left="440"/>
    </w:pPr>
  </w:style>
  <w:style w:type="paragraph" w:styleId="Caption">
    <w:name w:val="caption"/>
    <w:basedOn w:val="Normal"/>
    <w:next w:val="Normal"/>
    <w:uiPriority w:val="35"/>
    <w:unhideWhenUsed/>
    <w:qFormat/>
    <w:rsid w:val="00F725E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14763"/>
    <w:pPr>
      <w:spacing w:after="0"/>
    </w:pPr>
  </w:style>
  <w:style w:type="character" w:styleId="Strong">
    <w:name w:val="Strong"/>
    <w:basedOn w:val="DefaultParagraphFont"/>
    <w:uiPriority w:val="22"/>
    <w:qFormat/>
    <w:rsid w:val="00631C97"/>
    <w:rPr>
      <w:b/>
      <w:bCs/>
    </w:rPr>
  </w:style>
  <w:style w:type="paragraph" w:styleId="NormalWeb">
    <w:name w:val="Normal (Web)"/>
    <w:basedOn w:val="Normal"/>
    <w:uiPriority w:val="99"/>
    <w:semiHidden/>
    <w:unhideWhenUsed/>
    <w:rsid w:val="00631C97"/>
    <w:pPr>
      <w:spacing w:before="100" w:beforeAutospacing="1" w:after="100" w:afterAutospacing="1" w:line="240" w:lineRule="auto"/>
      <w:jc w:val="left"/>
    </w:pPr>
    <w:rPr>
      <w:rFonts w:eastAsia="Times New Roman" w:cs="Times New Roman"/>
      <w:kern w:val="0"/>
      <w:szCs w:val="24"/>
      <w:lang w:val="en-US"/>
      <w14:ligatures w14:val="none"/>
    </w:rPr>
  </w:style>
  <w:style w:type="table" w:styleId="PlainTable1">
    <w:name w:val="Plain Table 1"/>
    <w:basedOn w:val="TableNormal"/>
    <w:uiPriority w:val="41"/>
    <w:rsid w:val="006B19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ED41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4139"/>
  </w:style>
  <w:style w:type="paragraph" w:styleId="Footer">
    <w:name w:val="footer"/>
    <w:basedOn w:val="Normal"/>
    <w:link w:val="FooterChar"/>
    <w:uiPriority w:val="99"/>
    <w:unhideWhenUsed/>
    <w:rsid w:val="00ED41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4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075598">
      <w:bodyDiv w:val="1"/>
      <w:marLeft w:val="0"/>
      <w:marRight w:val="0"/>
      <w:marTop w:val="0"/>
      <w:marBottom w:val="0"/>
      <w:divBdr>
        <w:top w:val="none" w:sz="0" w:space="0" w:color="auto"/>
        <w:left w:val="none" w:sz="0" w:space="0" w:color="auto"/>
        <w:bottom w:val="none" w:sz="0" w:space="0" w:color="auto"/>
        <w:right w:val="none" w:sz="0" w:space="0" w:color="auto"/>
      </w:divBdr>
    </w:div>
    <w:div w:id="1243493763">
      <w:bodyDiv w:val="1"/>
      <w:marLeft w:val="0"/>
      <w:marRight w:val="0"/>
      <w:marTop w:val="0"/>
      <w:marBottom w:val="0"/>
      <w:divBdr>
        <w:top w:val="none" w:sz="0" w:space="0" w:color="auto"/>
        <w:left w:val="none" w:sz="0" w:space="0" w:color="auto"/>
        <w:bottom w:val="none" w:sz="0" w:space="0" w:color="auto"/>
        <w:right w:val="none" w:sz="0" w:space="0" w:color="auto"/>
      </w:divBdr>
    </w:div>
    <w:div w:id="1559901667">
      <w:bodyDiv w:val="1"/>
      <w:marLeft w:val="0"/>
      <w:marRight w:val="0"/>
      <w:marTop w:val="0"/>
      <w:marBottom w:val="0"/>
      <w:divBdr>
        <w:top w:val="none" w:sz="0" w:space="0" w:color="auto"/>
        <w:left w:val="none" w:sz="0" w:space="0" w:color="auto"/>
        <w:bottom w:val="none" w:sz="0" w:space="0" w:color="auto"/>
        <w:right w:val="none" w:sz="0" w:space="0" w:color="auto"/>
      </w:divBdr>
    </w:div>
    <w:div w:id="169450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389/fpubh.2024.1477418" TargetMode="External"/><Relationship Id="rId18" Type="http://schemas.openxmlformats.org/officeDocument/2006/relationships/hyperlink" Target="https://www.england.nhs.uk/diabetes/diabetes-prevention/" TargetMode="External"/><Relationship Id="rId26" Type="http://schemas.openxmlformats.org/officeDocument/2006/relationships/hyperlink" Target="https://sdgs.un.org/goals/goal3" TargetMode="External"/><Relationship Id="rId3" Type="http://schemas.openxmlformats.org/officeDocument/2006/relationships/customXml" Target="../customXml/item3.xml"/><Relationship Id="rId21" Type="http://schemas.openxmlformats.org/officeDocument/2006/relationships/hyperlink" Target="https://doi.org/10.1016/j.rspp.2025.100265"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birmingham.gov.uk/info/50119/health_and_wellbeing_board/1300/health_and_wellbeing_strategy" TargetMode="External"/><Relationship Id="rId25" Type="http://schemas.openxmlformats.org/officeDocument/2006/relationships/hyperlink" Target="https://doi.org/10.3390/vaccines11020449" TargetMode="External"/><Relationship Id="rId2" Type="http://schemas.openxmlformats.org/officeDocument/2006/relationships/customXml" Target="../customXml/item2.xml"/><Relationship Id="rId16" Type="http://schemas.openxmlformats.org/officeDocument/2006/relationships/hyperlink" Target="https://doi.org/10.2196/29329" TargetMode="External"/><Relationship Id="rId20" Type="http://schemas.openxmlformats.org/officeDocument/2006/relationships/hyperlink" Target="https://www.goodthingsfoundation.org/policy-and-research/research-and-evidence/research-2024/health-inequalities-digital-exclus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3389/fpsyt.2022.894370" TargetMode="External"/><Relationship Id="rId5" Type="http://schemas.openxmlformats.org/officeDocument/2006/relationships/numbering" Target="numbering.xml"/><Relationship Id="rId15" Type="http://schemas.openxmlformats.org/officeDocument/2006/relationships/hyperlink" Target="https://doi.org/10.7759/cureus.33425" TargetMode="External"/><Relationship Id="rId23" Type="http://schemas.openxmlformats.org/officeDocument/2006/relationships/hyperlink" Target="https://www.gov.uk/government/publications/health-inequalities-in-health-protection-report/health-inequalities-in-health-protection-report-2025"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3389/fdgth.2023.126478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vaccine.2022.09.086" TargetMode="External"/><Relationship Id="rId22" Type="http://schemas.openxmlformats.org/officeDocument/2006/relationships/hyperlink" Target="https://doi.org/10.1186/s12889-022-14940-w" TargetMode="External"/><Relationship Id="rId27" Type="http://schemas.openxmlformats.org/officeDocument/2006/relationships/hyperlink" Target="https://www.who.int/publications/i/item/97892401104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4476A9CABB6D4EB9021D1334D2325C" ma:contentTypeVersion="9" ma:contentTypeDescription="Create a new document." ma:contentTypeScope="" ma:versionID="045729fb5449bdbe693573731934c26e">
  <xsd:schema xmlns:xsd="http://www.w3.org/2001/XMLSchema" xmlns:xs="http://www.w3.org/2001/XMLSchema" xmlns:p="http://schemas.microsoft.com/office/2006/metadata/properties" xmlns:ns2="a4ee6c38-cda4-41c9-a8df-6332afd919f3" targetNamespace="http://schemas.microsoft.com/office/2006/metadata/properties" ma:root="true" ma:fieldsID="2528df7efe8a841705e57d3225f42977" ns2:_="">
    <xsd:import namespace="a4ee6c38-cda4-41c9-a8df-6332afd919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ee6c38-cda4-41c9-a8df-6332afd919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ECBCEF-3382-46CA-BAE0-116B22FCA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ee6c38-cda4-41c9-a8df-6332afd91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59C3A6-9176-420E-816E-883E7FEFE3EF}">
  <ds:schemaRefs>
    <ds:schemaRef ds:uri="http://schemas.microsoft.com/sharepoint/v3/contenttype/forms"/>
  </ds:schemaRefs>
</ds:datastoreItem>
</file>

<file path=customXml/itemProps3.xml><?xml version="1.0" encoding="utf-8"?>
<ds:datastoreItem xmlns:ds="http://schemas.openxmlformats.org/officeDocument/2006/customXml" ds:itemID="{764B794D-E129-437A-8A55-05B1ACE308F4}">
  <ds:schemaRefs>
    <ds:schemaRef ds:uri="http://schemas.openxmlformats.org/officeDocument/2006/bibliography"/>
  </ds:schemaRefs>
</ds:datastoreItem>
</file>

<file path=customXml/itemProps4.xml><?xml version="1.0" encoding="utf-8"?>
<ds:datastoreItem xmlns:ds="http://schemas.openxmlformats.org/officeDocument/2006/customXml" ds:itemID="{4E35546B-B2B6-4126-AA96-A3E71FAC3A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3044</Words>
  <Characters>17354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Umar Abid</dc:creator>
  <cp:keywords/>
  <dc:description/>
  <cp:lastModifiedBy>Umar Abid</cp:lastModifiedBy>
  <cp:revision>2</cp:revision>
  <dcterms:created xsi:type="dcterms:W3CDTF">2026-07-15T21:11:00Z</dcterms:created>
  <dcterms:modified xsi:type="dcterms:W3CDTF">2026-07-15T21:11:00Z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0x010100464476A9CABB6D4EB9021D1334D2325C</vt:lpwstr>
  </property>
  <property fmtid="{D5CDD505-2E9C-101B-9397-08002B2CF9AE}" pid="3" name="GrammarlyDocumentId">
    <vt:lpwstr>b5a73933-e1d8-4398-ac0d-5dca3cb592e2</vt:lpwstr>
  </property>
</Properties>
</file>