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480059" w14:textId="14667286" w:rsidR="00EE2435" w:rsidRPr="00EE2435" w:rsidRDefault="00EE2435" w:rsidP="00EE2435">
      <w:pPr>
        <w:pStyle w:val="papertitle"/>
        <w:spacing w:before="100" w:beforeAutospacing="1" w:after="100" w:afterAutospacing="1"/>
      </w:pPr>
      <w:r w:rsidRPr="00EE2435">
        <w:t>Developing a Forward-Looking Cybersecurity Programme for Equifax</w:t>
      </w:r>
    </w:p>
    <w:p w14:paraId="6C1792DD" w14:textId="77777777" w:rsidR="00D7522C" w:rsidRDefault="00D7522C" w:rsidP="003B4E04">
      <w:pPr>
        <w:pStyle w:val="Author"/>
        <w:spacing w:before="100" w:beforeAutospacing="1" w:after="100" w:afterAutospacing="1" w:line="120" w:lineRule="auto"/>
        <w:rPr>
          <w:sz w:val="16"/>
          <w:szCs w:val="16"/>
        </w:rPr>
      </w:pPr>
    </w:p>
    <w:p w14:paraId="5F6A11DC" w14:textId="77777777" w:rsidR="00D7522C" w:rsidRPr="00CA4392" w:rsidRDefault="00D7522C" w:rsidP="00CA4392">
      <w:pPr>
        <w:pStyle w:val="Author"/>
        <w:spacing w:before="100" w:beforeAutospacing="1" w:after="100" w:afterAutospacing="1" w:line="120" w:lineRule="auto"/>
        <w:rPr>
          <w:sz w:val="16"/>
          <w:szCs w:val="16"/>
        </w:rPr>
        <w:sectPr w:rsidR="00D7522C" w:rsidRPr="00CA4392" w:rsidSect="003B4E04">
          <w:footerReference w:type="first" r:id="rId8"/>
          <w:pgSz w:w="11906" w:h="16838" w:code="9"/>
          <w:pgMar w:top="540" w:right="893" w:bottom="1440" w:left="893" w:header="720" w:footer="720" w:gutter="0"/>
          <w:cols w:space="720"/>
          <w:titlePg/>
          <w:docGrid w:linePitch="360"/>
        </w:sectPr>
      </w:pPr>
    </w:p>
    <w:p w14:paraId="28973C35" w14:textId="71990157" w:rsidR="004C1944" w:rsidRPr="004C1944" w:rsidRDefault="0061784B" w:rsidP="00662872">
      <w:pPr>
        <w:pStyle w:val="p1"/>
        <w:rPr>
          <w:sz w:val="18"/>
          <w:szCs w:val="18"/>
        </w:rPr>
      </w:pPr>
      <w:r>
        <w:rPr>
          <w:sz w:val="18"/>
          <w:szCs w:val="18"/>
        </w:rPr>
        <w:t>Alexandr Iancovschi</w:t>
      </w:r>
      <w:r w:rsidR="001A3B3D" w:rsidRPr="00F847A6">
        <w:rPr>
          <w:sz w:val="18"/>
          <w:szCs w:val="18"/>
        </w:rPr>
        <w:t xml:space="preserve"> </w:t>
      </w:r>
      <w:r w:rsidR="001A3B3D" w:rsidRPr="00F847A6">
        <w:rPr>
          <w:sz w:val="18"/>
          <w:szCs w:val="18"/>
        </w:rPr>
        <w:br/>
      </w:r>
      <w:r w:rsidR="003F75C8" w:rsidRPr="00662872">
        <w:rPr>
          <w:sz w:val="18"/>
          <w:szCs w:val="18"/>
        </w:rPr>
        <w:t>University of Wales Trinity Saint David</w:t>
      </w:r>
      <w:r w:rsidR="00662872">
        <w:rPr>
          <w:sz w:val="18"/>
          <w:szCs w:val="18"/>
        </w:rPr>
        <w:t xml:space="preserve"> </w:t>
      </w:r>
    </w:p>
    <w:p w14:paraId="2A4E5911" w14:textId="37032E2F" w:rsidR="00662872" w:rsidRDefault="00912ED1" w:rsidP="00662872">
      <w:pPr>
        <w:pStyle w:val="p1"/>
        <w:rPr>
          <w:sz w:val="18"/>
          <w:szCs w:val="18"/>
        </w:rPr>
      </w:pPr>
      <w:r w:rsidRPr="00662872">
        <w:rPr>
          <w:sz w:val="18"/>
          <w:szCs w:val="18"/>
        </w:rPr>
        <w:t>London Campus</w:t>
      </w:r>
      <w:r w:rsidR="001A3B3D" w:rsidRPr="00662872">
        <w:rPr>
          <w:sz w:val="18"/>
          <w:szCs w:val="18"/>
        </w:rPr>
        <w:br/>
      </w:r>
      <w:r w:rsidRPr="00662872">
        <w:rPr>
          <w:sz w:val="18"/>
          <w:szCs w:val="18"/>
        </w:rPr>
        <w:t>London, United Kingdom</w:t>
      </w:r>
    </w:p>
    <w:p w14:paraId="033BFC38" w14:textId="3F4EBC18" w:rsidR="00BD670B" w:rsidRPr="00662872" w:rsidRDefault="00662872" w:rsidP="00662872">
      <w:pPr>
        <w:pStyle w:val="p1"/>
        <w:rPr>
          <w:sz w:val="18"/>
          <w:szCs w:val="18"/>
        </w:rPr>
      </w:pPr>
      <w:r w:rsidRPr="00662872">
        <w:rPr>
          <w:sz w:val="18"/>
          <w:szCs w:val="18"/>
        </w:rPr>
        <w:t>2423378@student.uwtsd.ac.uk</w:t>
      </w:r>
    </w:p>
    <w:p w14:paraId="73F7FD84" w14:textId="3AE2C064" w:rsidR="00447BB9" w:rsidRDefault="00447BB9" w:rsidP="00447BB9">
      <w:pPr>
        <w:pStyle w:val="Author"/>
        <w:spacing w:before="100" w:beforeAutospacing="1"/>
      </w:pPr>
      <w:r>
        <w:t xml:space="preserve"> </w:t>
      </w:r>
    </w:p>
    <w:p w14:paraId="0BC59EA7" w14:textId="77777777" w:rsidR="009F1D79" w:rsidRDefault="009F1D79">
      <w:pPr>
        <w:sectPr w:rsidR="009F1D79" w:rsidSect="003B4E04">
          <w:type w:val="continuous"/>
          <w:pgSz w:w="11906" w:h="16838" w:code="9"/>
          <w:pgMar w:top="450" w:right="893" w:bottom="1440" w:left="893" w:header="720" w:footer="720" w:gutter="0"/>
          <w:cols w:num="3" w:space="720"/>
          <w:docGrid w:linePitch="360"/>
        </w:sectPr>
      </w:pPr>
    </w:p>
    <w:p w14:paraId="37641D26" w14:textId="77777777" w:rsidR="009303D9" w:rsidRPr="005B520E" w:rsidRDefault="00BD670B">
      <w:pPr>
        <w:sectPr w:rsidR="009303D9" w:rsidRPr="005B520E" w:rsidSect="003B4E04">
          <w:type w:val="continuous"/>
          <w:pgSz w:w="11906" w:h="16838" w:code="9"/>
          <w:pgMar w:top="450" w:right="893" w:bottom="1440" w:left="893" w:header="720" w:footer="720" w:gutter="0"/>
          <w:cols w:num="3" w:space="720"/>
          <w:docGrid w:linePitch="360"/>
        </w:sectPr>
      </w:pPr>
      <w:r>
        <w:br w:type="column"/>
      </w:r>
    </w:p>
    <w:p w14:paraId="66FB80BD" w14:textId="25DB9F84" w:rsidR="00862A3A" w:rsidRPr="00862A3A" w:rsidRDefault="009303D9" w:rsidP="00862A3A">
      <w:pPr>
        <w:pStyle w:val="Abstract"/>
        <w:rPr>
          <w:iCs/>
        </w:rPr>
      </w:pPr>
      <w:r>
        <w:rPr>
          <w:i/>
          <w:iCs/>
        </w:rPr>
        <w:t>Abstract</w:t>
      </w:r>
      <w:r w:rsidR="00862A3A">
        <w:rPr>
          <w:i/>
          <w:iCs/>
        </w:rPr>
        <w:t xml:space="preserve"> </w:t>
      </w:r>
      <w:r>
        <w:t>—</w:t>
      </w:r>
      <w:r w:rsidR="00862A3A">
        <w:rPr>
          <w:iCs/>
        </w:rPr>
        <w:t xml:space="preserve"> </w:t>
      </w:r>
      <w:r w:rsidR="00862A3A" w:rsidRPr="00862A3A">
        <w:rPr>
          <w:b w:val="0"/>
          <w:bCs w:val="0"/>
        </w:rPr>
        <w:t xml:space="preserve">Zero Trust Architecture (ZTA) has emerged as a modern cybersecurity approach designed to address the limitations of traditional perimeter-based security. This report critically evaluates the fundamental principles of Zero Trust, including continuous verification, least privilege access, micro-segmentation, continuous monitoring, and automated incident response. It examines how these principles can support organisations in anticipating cyber threats, protecting sensitive information assets, and limiting the impact of compromised accounts and devices. The report also compares Zero Trust with traditional security models and considers key implementation challenges, including legacy infrastructure, identity management, financial costs, and organisational resistance. In addition, the report applies cybersecurity governance and risk management principles to the 2017 Equifax data breach by developing a forward-looking cybersecurity programme. Recommendations address governance, security policies, risk management, regulatory compliance, incident response, and technical security controls. Overall, the report demonstrates that effective cybersecurity requires an integrated approach combining technology, organisational governance, continuous risk assessment, and security awareness. </w:t>
      </w:r>
    </w:p>
    <w:p w14:paraId="656ECEAC" w14:textId="77777777" w:rsidR="00862A3A" w:rsidRPr="00862A3A" w:rsidRDefault="00862A3A" w:rsidP="00972203">
      <w:pPr>
        <w:pStyle w:val="Abstract"/>
        <w:rPr>
          <w:i/>
          <w:iCs/>
          <w:lang w:val="en-GB"/>
        </w:rPr>
      </w:pPr>
    </w:p>
    <w:p w14:paraId="5746A04A" w14:textId="3F3E3A39" w:rsidR="0008421B" w:rsidRPr="00BE57D2" w:rsidRDefault="004D72B5" w:rsidP="00BE57D2">
      <w:pPr>
        <w:pStyle w:val="Keywords"/>
      </w:pPr>
      <w:r w:rsidRPr="004D72B5">
        <w:t>Keywords—</w:t>
      </w:r>
      <w:r w:rsidR="0008421B" w:rsidRPr="00BE57D2">
        <w:t>Zero Trust Architecture, Cybersecurity, Risk Management, Information Security, Equifax, Incident Response, Data Protection</w:t>
      </w:r>
    </w:p>
    <w:p w14:paraId="7F600111" w14:textId="77777777" w:rsidR="0008421B" w:rsidRPr="00BE57D2" w:rsidRDefault="0008421B" w:rsidP="0008421B">
      <w:pPr>
        <w:pStyle w:val="Keywords"/>
        <w:rPr>
          <w:lang w:val="en-GB"/>
        </w:rPr>
      </w:pPr>
    </w:p>
    <w:p w14:paraId="5AD13C36" w14:textId="04080AA9" w:rsidR="009303D9" w:rsidRPr="00D632BE" w:rsidRDefault="009303D9" w:rsidP="006B6B66">
      <w:pPr>
        <w:pStyle w:val="Heading1"/>
      </w:pPr>
      <w:r w:rsidRPr="00D632BE">
        <w:t xml:space="preserve">Introduction </w:t>
      </w:r>
    </w:p>
    <w:p w14:paraId="73F7C341" w14:textId="77777777" w:rsidR="008022E3" w:rsidRPr="00EB1001" w:rsidRDefault="008022E3" w:rsidP="008022E3">
      <w:pPr>
        <w:pStyle w:val="p1"/>
        <w:jc w:val="both"/>
        <w:rPr>
          <w:rFonts w:eastAsia="SimSun"/>
          <w:spacing w:val="-1"/>
          <w:sz w:val="20"/>
          <w:szCs w:val="20"/>
          <w:lang w:val="x-none" w:eastAsia="x-none"/>
        </w:rPr>
      </w:pPr>
      <w:r w:rsidRPr="00EB1001">
        <w:rPr>
          <w:rFonts w:eastAsia="SimSun"/>
          <w:spacing w:val="-1"/>
          <w:sz w:val="20"/>
          <w:szCs w:val="20"/>
          <w:lang w:val="x-none" w:eastAsia="x-none"/>
        </w:rPr>
        <w:t>Cybersecurity has become one of the most significant challenges facing modern organisations as digital transformation, cloud computing, remote working, and interconnected technologies continue to expand. Businesses increasingly rely on digital infrastructures to manage sensitive information, deliver services, and support critical operations. At the same time, cybercriminals are employing more sophisticated attack techniques, making traditional security approaches less effective against modern threats. Data breaches, ransomware attacks, insider threats, and supply chain compromises have demonstrated that organisations can no longer rely solely on perimeter-based security models.</w:t>
      </w:r>
    </w:p>
    <w:p w14:paraId="030A8649" w14:textId="77777777" w:rsidR="008022E3" w:rsidRPr="00EB1001" w:rsidRDefault="008022E3" w:rsidP="008022E3">
      <w:pPr>
        <w:pStyle w:val="p1"/>
        <w:jc w:val="both"/>
        <w:rPr>
          <w:rFonts w:eastAsia="SimSun"/>
          <w:spacing w:val="-1"/>
          <w:sz w:val="20"/>
          <w:szCs w:val="20"/>
          <w:lang w:val="x-none" w:eastAsia="x-none"/>
        </w:rPr>
      </w:pPr>
      <w:r w:rsidRPr="00EB1001">
        <w:rPr>
          <w:rFonts w:eastAsia="SimSun"/>
          <w:spacing w:val="-1"/>
          <w:sz w:val="20"/>
          <w:szCs w:val="20"/>
          <w:lang w:val="x-none" w:eastAsia="x-none"/>
        </w:rPr>
        <w:t>Traditional security architectures were designed around the assumption that users and devices operating within an organisation’s network could generally be trusted once authenticated. However, today’s hybrid working environments, cloud services, and distributed infrastructures have significantly expanded the attack surface. As a result, attackers who gain initial access to a network can often move laterally, escalate privileges, and compromise valuable organisational assets before being detected.</w:t>
      </w:r>
    </w:p>
    <w:p w14:paraId="640F7F1D" w14:textId="77777777" w:rsidR="00AB2FED" w:rsidRDefault="00AB2FED" w:rsidP="008022E3">
      <w:pPr>
        <w:pStyle w:val="p1"/>
        <w:rPr>
          <w:rFonts w:eastAsia="SimSun"/>
          <w:spacing w:val="-1"/>
          <w:sz w:val="20"/>
          <w:szCs w:val="20"/>
          <w:lang w:val="ru-RU" w:eastAsia="x-none"/>
        </w:rPr>
      </w:pPr>
    </w:p>
    <w:p w14:paraId="43856993" w14:textId="77777777" w:rsidR="00AB2FED" w:rsidRDefault="00AB2FED" w:rsidP="008022E3">
      <w:pPr>
        <w:pStyle w:val="p1"/>
        <w:rPr>
          <w:rFonts w:eastAsia="SimSun"/>
          <w:spacing w:val="-1"/>
          <w:sz w:val="20"/>
          <w:szCs w:val="20"/>
          <w:lang w:val="ru-RU" w:eastAsia="x-none"/>
        </w:rPr>
      </w:pPr>
    </w:p>
    <w:p w14:paraId="00186B6C" w14:textId="77777777" w:rsidR="00AB2FED" w:rsidRDefault="00AB2FED" w:rsidP="008022E3">
      <w:pPr>
        <w:pStyle w:val="p1"/>
        <w:rPr>
          <w:rFonts w:eastAsia="SimSun"/>
          <w:spacing w:val="-1"/>
          <w:sz w:val="20"/>
          <w:szCs w:val="20"/>
          <w:lang w:val="ru-RU" w:eastAsia="x-none"/>
        </w:rPr>
      </w:pPr>
    </w:p>
    <w:p w14:paraId="2A0A5B13" w14:textId="77777777" w:rsidR="00AB2FED" w:rsidRDefault="00AB2FED" w:rsidP="008022E3">
      <w:pPr>
        <w:pStyle w:val="p1"/>
        <w:rPr>
          <w:rFonts w:eastAsia="SimSun"/>
          <w:spacing w:val="-1"/>
          <w:sz w:val="20"/>
          <w:szCs w:val="20"/>
          <w:lang w:val="ru-RU" w:eastAsia="x-none"/>
        </w:rPr>
      </w:pPr>
    </w:p>
    <w:p w14:paraId="4BA8A099" w14:textId="77777777" w:rsidR="00AB2FED" w:rsidRDefault="00AB2FED" w:rsidP="008022E3">
      <w:pPr>
        <w:pStyle w:val="p1"/>
        <w:rPr>
          <w:rFonts w:eastAsia="SimSun"/>
          <w:spacing w:val="-1"/>
          <w:sz w:val="20"/>
          <w:szCs w:val="20"/>
          <w:lang w:val="ru-RU" w:eastAsia="x-none"/>
        </w:rPr>
      </w:pPr>
    </w:p>
    <w:p w14:paraId="0DA19B19" w14:textId="77777777" w:rsidR="00AB2FED" w:rsidRDefault="00AB2FED" w:rsidP="008022E3">
      <w:pPr>
        <w:pStyle w:val="p1"/>
        <w:rPr>
          <w:rFonts w:eastAsia="SimSun"/>
          <w:spacing w:val="-1"/>
          <w:sz w:val="20"/>
          <w:szCs w:val="20"/>
          <w:lang w:val="ru-RU" w:eastAsia="x-none"/>
        </w:rPr>
      </w:pPr>
    </w:p>
    <w:p w14:paraId="097BDB13" w14:textId="77777777" w:rsidR="00AB2FED" w:rsidRDefault="00AB2FED" w:rsidP="008022E3">
      <w:pPr>
        <w:pStyle w:val="p1"/>
        <w:rPr>
          <w:rFonts w:eastAsia="SimSun"/>
          <w:spacing w:val="-1"/>
          <w:sz w:val="20"/>
          <w:szCs w:val="20"/>
          <w:lang w:val="ru-RU" w:eastAsia="x-none"/>
        </w:rPr>
      </w:pPr>
    </w:p>
    <w:p w14:paraId="04BC7DD5" w14:textId="77777777" w:rsidR="00AB2FED" w:rsidRDefault="00AB2FED" w:rsidP="008022E3">
      <w:pPr>
        <w:pStyle w:val="p1"/>
        <w:rPr>
          <w:rFonts w:eastAsia="SimSun"/>
          <w:spacing w:val="-1"/>
          <w:sz w:val="20"/>
          <w:szCs w:val="20"/>
          <w:lang w:val="ru-RU" w:eastAsia="x-none"/>
        </w:rPr>
      </w:pPr>
    </w:p>
    <w:p w14:paraId="3A6C4D45" w14:textId="77777777" w:rsidR="00AB2FED" w:rsidRDefault="00AB2FED" w:rsidP="008022E3">
      <w:pPr>
        <w:pStyle w:val="p1"/>
        <w:rPr>
          <w:rFonts w:eastAsia="SimSun"/>
          <w:spacing w:val="-1"/>
          <w:sz w:val="20"/>
          <w:szCs w:val="20"/>
          <w:lang w:val="ru-RU" w:eastAsia="x-none"/>
        </w:rPr>
      </w:pPr>
    </w:p>
    <w:p w14:paraId="294A4A37" w14:textId="77777777" w:rsidR="00AB2FED" w:rsidRDefault="00AB2FED" w:rsidP="008022E3">
      <w:pPr>
        <w:pStyle w:val="p1"/>
        <w:rPr>
          <w:rFonts w:eastAsia="SimSun"/>
          <w:spacing w:val="-1"/>
          <w:sz w:val="20"/>
          <w:szCs w:val="20"/>
          <w:lang w:val="ru-RU" w:eastAsia="x-none"/>
        </w:rPr>
      </w:pPr>
    </w:p>
    <w:p w14:paraId="0B475535" w14:textId="77777777" w:rsidR="00AB2FED" w:rsidRDefault="00AB2FED" w:rsidP="008022E3">
      <w:pPr>
        <w:pStyle w:val="p1"/>
        <w:rPr>
          <w:rFonts w:eastAsia="SimSun"/>
          <w:spacing w:val="-1"/>
          <w:sz w:val="20"/>
          <w:szCs w:val="20"/>
          <w:lang w:val="ru-RU" w:eastAsia="x-none"/>
        </w:rPr>
      </w:pPr>
    </w:p>
    <w:p w14:paraId="746F49D3" w14:textId="77777777" w:rsidR="00AB2FED" w:rsidRDefault="00AB2FED" w:rsidP="008022E3">
      <w:pPr>
        <w:pStyle w:val="p1"/>
        <w:rPr>
          <w:rFonts w:eastAsia="SimSun"/>
          <w:spacing w:val="-1"/>
          <w:sz w:val="20"/>
          <w:szCs w:val="20"/>
          <w:lang w:val="ru-RU" w:eastAsia="x-none"/>
        </w:rPr>
      </w:pPr>
    </w:p>
    <w:p w14:paraId="21C98097" w14:textId="77777777" w:rsidR="00AB2FED" w:rsidRDefault="00AB2FED" w:rsidP="008022E3">
      <w:pPr>
        <w:pStyle w:val="p1"/>
        <w:rPr>
          <w:rFonts w:eastAsia="SimSun"/>
          <w:spacing w:val="-1"/>
          <w:sz w:val="20"/>
          <w:szCs w:val="20"/>
          <w:lang w:val="ru-RU" w:eastAsia="x-none"/>
        </w:rPr>
      </w:pPr>
    </w:p>
    <w:p w14:paraId="7FEE949E" w14:textId="77777777" w:rsidR="00AB2FED" w:rsidRDefault="00AB2FED" w:rsidP="008022E3">
      <w:pPr>
        <w:pStyle w:val="p1"/>
        <w:rPr>
          <w:rFonts w:eastAsia="SimSun"/>
          <w:spacing w:val="-1"/>
          <w:sz w:val="20"/>
          <w:szCs w:val="20"/>
          <w:lang w:val="ru-RU" w:eastAsia="x-none"/>
        </w:rPr>
      </w:pPr>
    </w:p>
    <w:p w14:paraId="690BC617" w14:textId="77777777" w:rsidR="00AB2FED" w:rsidRDefault="00AB2FED" w:rsidP="008022E3">
      <w:pPr>
        <w:pStyle w:val="p1"/>
        <w:rPr>
          <w:rFonts w:eastAsia="SimSun"/>
          <w:spacing w:val="-1"/>
          <w:sz w:val="20"/>
          <w:szCs w:val="20"/>
          <w:lang w:val="ru-RU" w:eastAsia="x-none"/>
        </w:rPr>
      </w:pPr>
    </w:p>
    <w:p w14:paraId="42580EF4" w14:textId="77777777" w:rsidR="00AB2FED" w:rsidRDefault="00AB2FED" w:rsidP="008022E3">
      <w:pPr>
        <w:pStyle w:val="p1"/>
        <w:rPr>
          <w:rFonts w:eastAsia="SimSun"/>
          <w:spacing w:val="-1"/>
          <w:sz w:val="20"/>
          <w:szCs w:val="20"/>
          <w:lang w:val="ru-RU" w:eastAsia="x-none"/>
        </w:rPr>
      </w:pPr>
    </w:p>
    <w:p w14:paraId="5D7070CB" w14:textId="77777777" w:rsidR="00A76729" w:rsidRDefault="00A76729" w:rsidP="008022E3">
      <w:pPr>
        <w:pStyle w:val="p1"/>
        <w:rPr>
          <w:rFonts w:eastAsia="SimSun"/>
          <w:spacing w:val="-1"/>
          <w:sz w:val="20"/>
          <w:szCs w:val="20"/>
          <w:lang w:val="ru-RU" w:eastAsia="x-none"/>
        </w:rPr>
      </w:pPr>
    </w:p>
    <w:p w14:paraId="45CE40C3" w14:textId="3DA415A8" w:rsidR="008022E3" w:rsidRPr="00EB1001" w:rsidRDefault="008022E3" w:rsidP="008022E3">
      <w:pPr>
        <w:pStyle w:val="p1"/>
        <w:rPr>
          <w:rFonts w:eastAsia="SimSun"/>
          <w:spacing w:val="-1"/>
          <w:sz w:val="20"/>
          <w:szCs w:val="20"/>
          <w:lang w:val="x-none" w:eastAsia="x-none"/>
        </w:rPr>
      </w:pPr>
      <w:r w:rsidRPr="00EB1001">
        <w:rPr>
          <w:rFonts w:eastAsia="SimSun"/>
          <w:spacing w:val="-1"/>
          <w:sz w:val="20"/>
          <w:szCs w:val="20"/>
          <w:lang w:val="x-none" w:eastAsia="x-none"/>
        </w:rPr>
        <w:t>Zero Trust Architecture (ZTA) has emerged as a modern cybersecurity strategy designed to address these challenges. Rather than assuming trust based on network location, Zero Trust follows the principle of “Never Trust, Always Verify,” requiring continuous authentication, authorisation, and validation of every user, device, application, and connection before access is granted [1].</w:t>
      </w:r>
    </w:p>
    <w:p w14:paraId="1497530F" w14:textId="77777777" w:rsidR="008022E3" w:rsidRDefault="008022E3" w:rsidP="008022E3">
      <w:pPr>
        <w:pStyle w:val="p2"/>
        <w:jc w:val="both"/>
        <w:rPr>
          <w:rFonts w:eastAsia="SimSun"/>
          <w:spacing w:val="-1"/>
          <w:sz w:val="20"/>
          <w:szCs w:val="20"/>
          <w:lang w:val="ru-RU" w:eastAsia="x-none"/>
        </w:rPr>
      </w:pPr>
      <w:r w:rsidRPr="00EB1001">
        <w:rPr>
          <w:rFonts w:eastAsia="SimSun"/>
          <w:spacing w:val="-1"/>
          <w:sz w:val="20"/>
          <w:szCs w:val="20"/>
          <w:lang w:val="x-none" w:eastAsia="x-none"/>
        </w:rPr>
        <w:t>This report critically analyses the principles of Zero Trust Architecture and evaluates its effectiveness in anticipating cyber threats, protecting information assets, detecting malicious activities, and supporting automated incident response. Furthermore, the report compares Zero Trust with traditional security models, discusses the challenges associated with its implementation, and examines how its principles can strengthen organisational cybersecurity in today’s evolving threat landscape.</w:t>
      </w:r>
    </w:p>
    <w:p w14:paraId="2C608657" w14:textId="77777777" w:rsidR="00A76729" w:rsidRPr="00A76729" w:rsidRDefault="00A76729" w:rsidP="008022E3">
      <w:pPr>
        <w:pStyle w:val="p2"/>
        <w:jc w:val="both"/>
        <w:rPr>
          <w:rFonts w:eastAsia="SimSun"/>
          <w:spacing w:val="-1"/>
          <w:sz w:val="20"/>
          <w:szCs w:val="20"/>
          <w:lang w:val="ru-RU" w:eastAsia="x-none"/>
        </w:rPr>
      </w:pPr>
    </w:p>
    <w:p w14:paraId="6C46D21E" w14:textId="77777777" w:rsidR="008022E3" w:rsidRPr="008022E3" w:rsidRDefault="008022E3" w:rsidP="00E7596C">
      <w:pPr>
        <w:pStyle w:val="BodyText"/>
        <w:rPr>
          <w:lang w:val="en-GB"/>
        </w:rPr>
      </w:pPr>
    </w:p>
    <w:p w14:paraId="65BDA8FE" w14:textId="5C91C0AC" w:rsidR="000A1958" w:rsidRPr="00C84CB4" w:rsidRDefault="00C667E8" w:rsidP="008713CF">
      <w:pPr>
        <w:pStyle w:val="Heading1"/>
      </w:pPr>
      <w:r w:rsidRPr="00C84CB4">
        <w:lastRenderedPageBreak/>
        <w:t>Principles of Zero Trust Architecture</w:t>
      </w:r>
    </w:p>
    <w:p w14:paraId="28F3862C" w14:textId="77777777" w:rsidR="00EC30ED" w:rsidRPr="00C8308F" w:rsidRDefault="00EC30ED" w:rsidP="00EC30ED">
      <w:pPr>
        <w:pStyle w:val="p1"/>
        <w:rPr>
          <w:rFonts w:eastAsia="SimSun"/>
          <w:spacing w:val="-1"/>
          <w:sz w:val="20"/>
          <w:szCs w:val="20"/>
          <w:lang w:val="x-none" w:eastAsia="x-none"/>
        </w:rPr>
      </w:pPr>
      <w:r w:rsidRPr="00C8308F">
        <w:rPr>
          <w:rFonts w:eastAsia="SimSun"/>
          <w:spacing w:val="-1"/>
          <w:sz w:val="20"/>
          <w:szCs w:val="20"/>
          <w:lang w:val="x-none" w:eastAsia="x-none"/>
        </w:rPr>
        <w:t>Zero Trust Architecture (ZTA) represents a fundamental shift from traditional perimeter-based security models by eliminating the assumption that users, devices, or applications should be automatically trusted based on their location within a network. Instead, Zero Trust operates on the principle of “Never Trust, Always Verify,” requiring continuous authentication, authorisation, and validation before access to organisational resources is granted. This approach recognises that cyber threats may originate from both external attackers and trusted insiders, making continuous verification essential for protecting modern digital environments.</w:t>
      </w:r>
    </w:p>
    <w:p w14:paraId="216F1376" w14:textId="77777777" w:rsidR="00EC30ED" w:rsidRPr="00C8308F" w:rsidRDefault="00EC30ED" w:rsidP="00EC30ED">
      <w:pPr>
        <w:pStyle w:val="p1"/>
        <w:rPr>
          <w:rFonts w:eastAsia="SimSun"/>
          <w:spacing w:val="-1"/>
          <w:sz w:val="20"/>
          <w:szCs w:val="20"/>
          <w:lang w:val="x-none" w:eastAsia="x-none"/>
        </w:rPr>
      </w:pPr>
      <w:r w:rsidRPr="00C8308F">
        <w:rPr>
          <w:rFonts w:eastAsia="SimSun"/>
          <w:spacing w:val="-1"/>
          <w:sz w:val="20"/>
          <w:szCs w:val="20"/>
          <w:lang w:val="x-none" w:eastAsia="x-none"/>
        </w:rPr>
        <w:t>One of the core principles of Zero Trust is least privilege access, which ensures that users and systems receive only the minimum permissions required to perform their authorised tasks. Limiting unnecessary privileges significantly reduces the potential impact of compromised accounts and restricts attackers from moving laterally across organisational networks. Closely related to this principle is micro-segmentation, where networks are divided into smaller, isolated security zones. Even if an attacker successfully compromises one segment, access to other critical systems remains restricted, reducing the overall impact of a security breach.</w:t>
      </w:r>
    </w:p>
    <w:p w14:paraId="3D4A68AA" w14:textId="77777777" w:rsidR="00EC30ED" w:rsidRPr="00C8308F" w:rsidRDefault="00EC30ED" w:rsidP="00EC30ED">
      <w:pPr>
        <w:pStyle w:val="p1"/>
        <w:rPr>
          <w:rFonts w:eastAsia="SimSun"/>
          <w:spacing w:val="-1"/>
          <w:sz w:val="20"/>
          <w:szCs w:val="20"/>
          <w:lang w:val="x-none" w:eastAsia="x-none"/>
        </w:rPr>
      </w:pPr>
      <w:r w:rsidRPr="00C8308F">
        <w:rPr>
          <w:rFonts w:eastAsia="SimSun"/>
          <w:spacing w:val="-1"/>
          <w:sz w:val="20"/>
          <w:szCs w:val="20"/>
          <w:lang w:val="x-none" w:eastAsia="x-none"/>
        </w:rPr>
        <w:t>Another essential component of Zero Trust is continuous monitoring and adaptive authentication. Rather than relying on a single authentication event during login, Zero Trust continuously evaluates user behaviour, device health, location, network conditions, and risk levels throughout an active session. Technologies such as Multi-Factor Authentication (MFA), identity and access management (IAM), endpoint detection and response (EDR), and behavioural analytics enable organisations to detect abnormal activities and dynamically adjust access permissions when suspicious behaviour is identified [1].</w:t>
      </w:r>
    </w:p>
    <w:p w14:paraId="6D32BBC5" w14:textId="77777777" w:rsidR="00C8308F" w:rsidRDefault="00EC30ED" w:rsidP="00EC30ED">
      <w:pPr>
        <w:pStyle w:val="p1"/>
        <w:rPr>
          <w:rFonts w:eastAsia="SimSun"/>
          <w:spacing w:val="-1"/>
          <w:sz w:val="20"/>
          <w:szCs w:val="20"/>
          <w:lang w:val="x-none" w:eastAsia="x-none"/>
        </w:rPr>
      </w:pPr>
      <w:r w:rsidRPr="00C8308F">
        <w:rPr>
          <w:rFonts w:eastAsia="SimSun"/>
          <w:spacing w:val="-1"/>
          <w:sz w:val="20"/>
          <w:szCs w:val="20"/>
          <w:lang w:val="x-none" w:eastAsia="x-none"/>
        </w:rPr>
        <w:t>Unlike traditional security approaches that primarily focus on defending the network perimeter, Zero Trust assumes that breaches are inevitable and therefore prioritises limiting attacker movement, protecting sensitive data, and rapidly detecting malicious activities. This proactive security model enables organisations to strengthen resilience against increasingly sophisticated cyber threats while supporting secure access across cloud environments, remote working, and hybrid infrastructures.</w:t>
      </w:r>
    </w:p>
    <w:p w14:paraId="7E7A4D15" w14:textId="77777777" w:rsidR="00371C92" w:rsidRDefault="00371C92" w:rsidP="00EC30ED">
      <w:pPr>
        <w:pStyle w:val="p1"/>
        <w:rPr>
          <w:rFonts w:eastAsia="SimSun"/>
          <w:spacing w:val="-1"/>
          <w:sz w:val="20"/>
          <w:szCs w:val="20"/>
          <w:lang w:val="ru-RU" w:eastAsia="x-none"/>
        </w:rPr>
      </w:pPr>
    </w:p>
    <w:p w14:paraId="5F07AE70" w14:textId="77777777" w:rsidR="00371C92" w:rsidRDefault="00371C92" w:rsidP="00EC30ED">
      <w:pPr>
        <w:pStyle w:val="p1"/>
        <w:rPr>
          <w:rFonts w:eastAsia="SimSun"/>
          <w:spacing w:val="-1"/>
          <w:sz w:val="20"/>
          <w:szCs w:val="20"/>
          <w:lang w:val="ru-RU" w:eastAsia="x-none"/>
        </w:rPr>
      </w:pPr>
    </w:p>
    <w:p w14:paraId="7A062FD1" w14:textId="77777777" w:rsidR="00371C92" w:rsidRDefault="00371C92" w:rsidP="00EC30ED">
      <w:pPr>
        <w:pStyle w:val="p1"/>
        <w:rPr>
          <w:rFonts w:eastAsia="SimSun"/>
          <w:spacing w:val="-1"/>
          <w:sz w:val="20"/>
          <w:szCs w:val="20"/>
          <w:lang w:val="ru-RU" w:eastAsia="x-none"/>
        </w:rPr>
      </w:pPr>
    </w:p>
    <w:p w14:paraId="7F33112A" w14:textId="77777777" w:rsidR="00371C92" w:rsidRDefault="00371C92" w:rsidP="00EC30ED">
      <w:pPr>
        <w:pStyle w:val="p1"/>
        <w:rPr>
          <w:rFonts w:eastAsia="SimSun"/>
          <w:spacing w:val="-1"/>
          <w:sz w:val="20"/>
          <w:szCs w:val="20"/>
          <w:lang w:val="ru-RU" w:eastAsia="x-none"/>
        </w:rPr>
      </w:pPr>
    </w:p>
    <w:p w14:paraId="106972B9" w14:textId="77777777" w:rsidR="00371C92" w:rsidRDefault="00371C92" w:rsidP="00EC30ED">
      <w:pPr>
        <w:pStyle w:val="p1"/>
        <w:rPr>
          <w:rFonts w:eastAsia="SimSun"/>
          <w:spacing w:val="-1"/>
          <w:sz w:val="20"/>
          <w:szCs w:val="20"/>
          <w:lang w:val="ru-RU" w:eastAsia="x-none"/>
        </w:rPr>
      </w:pPr>
    </w:p>
    <w:p w14:paraId="43B5DF08" w14:textId="77777777" w:rsidR="00371C92" w:rsidRDefault="00371C92" w:rsidP="00EC30ED">
      <w:pPr>
        <w:pStyle w:val="p1"/>
        <w:rPr>
          <w:rFonts w:eastAsia="SimSun"/>
          <w:spacing w:val="-1"/>
          <w:sz w:val="20"/>
          <w:szCs w:val="20"/>
          <w:lang w:val="ru-RU" w:eastAsia="x-none"/>
        </w:rPr>
      </w:pPr>
    </w:p>
    <w:p w14:paraId="5ADB1590" w14:textId="4062AD22" w:rsidR="00C30F5A" w:rsidRDefault="00EC30ED" w:rsidP="00EC30ED">
      <w:pPr>
        <w:pStyle w:val="p1"/>
        <w:rPr>
          <w:rFonts w:eastAsia="SimSun"/>
          <w:spacing w:val="-1"/>
          <w:sz w:val="20"/>
          <w:szCs w:val="20"/>
          <w:lang w:eastAsia="x-none"/>
        </w:rPr>
      </w:pPr>
      <w:r w:rsidRPr="00C8308F">
        <w:rPr>
          <w:rFonts w:eastAsia="SimSun"/>
          <w:spacing w:val="-1"/>
          <w:sz w:val="20"/>
          <w:szCs w:val="20"/>
          <w:lang w:val="x-none" w:eastAsia="x-none"/>
        </w:rPr>
        <w:t>Table 1 presents a comparison between traditional perimeter-based security and the Zero Trust security model.</w:t>
      </w:r>
    </w:p>
    <w:p w14:paraId="125963C3" w14:textId="77777777" w:rsidR="00C30F5A" w:rsidRPr="00504C9A" w:rsidRDefault="00C30F5A" w:rsidP="00EC30ED">
      <w:pPr>
        <w:pStyle w:val="p1"/>
        <w:rPr>
          <w:rFonts w:eastAsia="SimSun"/>
          <w:spacing w:val="-1"/>
          <w:sz w:val="20"/>
          <w:szCs w:val="20"/>
          <w:lang w:eastAsia="x-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260"/>
        <w:gridCol w:w="1332"/>
        <w:gridCol w:w="2258"/>
      </w:tblGrid>
      <w:tr w:rsidR="00EC30ED" w:rsidRPr="00C8308F" w14:paraId="3DEC2676" w14:textId="77777777" w:rsidTr="00693A71">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0ABBAF"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Feature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CF29D4"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Traditional Security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846A3B"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Zero Trust Architecture</w:t>
            </w:r>
          </w:p>
        </w:tc>
      </w:tr>
      <w:tr w:rsidR="00EC30ED" w:rsidRPr="00C8308F" w14:paraId="651B78BF"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8C4C38"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Trust Model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54C188"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Trust after login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91594B"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Continuous verification</w:t>
            </w:r>
          </w:p>
        </w:tc>
      </w:tr>
      <w:tr w:rsidR="00EC30ED" w:rsidRPr="00C8308F" w14:paraId="32229405"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F423CE"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Network Focus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0E8FAB"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Perimeter security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AA7A4D"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Identity and data security</w:t>
            </w:r>
          </w:p>
        </w:tc>
      </w:tr>
      <w:tr w:rsidR="00EC30ED" w:rsidRPr="00C8308F" w14:paraId="7A760217"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95588F"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Access Control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73507F"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Static permissions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E3FD37"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Least privilege access</w:t>
            </w:r>
          </w:p>
        </w:tc>
      </w:tr>
      <w:tr w:rsidR="00EC30ED" w:rsidRPr="00C8308F" w14:paraId="27342F4F"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3B27C4"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Authentication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7143FA"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Usually once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498305"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Continuous authentication</w:t>
            </w:r>
          </w:p>
        </w:tc>
      </w:tr>
      <w:tr w:rsidR="00EC30ED" w:rsidRPr="00C8308F" w14:paraId="53347B36"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07B109"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Lateral Movement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1F56BF"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Higher risk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4FCB3C"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Restricted through micro-segmentation</w:t>
            </w:r>
          </w:p>
        </w:tc>
      </w:tr>
      <w:tr w:rsidR="00EC30ED" w:rsidRPr="00C8308F" w14:paraId="2ACAF5B9"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67AC39"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Monitoring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46C5DF"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Periodic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21DA93" w14:textId="77777777" w:rsidR="00EC30ED" w:rsidRPr="00C8308F" w:rsidRDefault="00EC30ED" w:rsidP="00693A71">
            <w:pPr>
              <w:spacing w:before="100" w:beforeAutospacing="1" w:after="100" w:afterAutospacing="1"/>
              <w:rPr>
                <w:spacing w:val="-1"/>
                <w:lang w:val="x-none" w:eastAsia="x-none"/>
              </w:rPr>
            </w:pPr>
            <w:r w:rsidRPr="00C8308F">
              <w:rPr>
                <w:spacing w:val="-1"/>
                <w:lang w:val="x-none" w:eastAsia="x-none"/>
              </w:rPr>
              <w:t>Continuous monitoring</w:t>
            </w:r>
          </w:p>
        </w:tc>
      </w:tr>
    </w:tbl>
    <w:p w14:paraId="47417626" w14:textId="77777777" w:rsidR="00EC30ED" w:rsidRPr="00C8308F" w:rsidRDefault="00EC30ED" w:rsidP="00EC30ED">
      <w:pPr>
        <w:rPr>
          <w:spacing w:val="-1"/>
          <w:lang w:val="x-none" w:eastAsia="x-none"/>
        </w:rPr>
      </w:pPr>
    </w:p>
    <w:p w14:paraId="355E75A2" w14:textId="77777777" w:rsidR="00EC30ED" w:rsidRPr="00C8308F" w:rsidRDefault="00EC30ED" w:rsidP="00EC30ED">
      <w:pPr>
        <w:pStyle w:val="p1"/>
        <w:rPr>
          <w:rFonts w:eastAsia="SimSun"/>
          <w:spacing w:val="-1"/>
          <w:sz w:val="20"/>
          <w:szCs w:val="20"/>
          <w:lang w:val="x-none" w:eastAsia="x-none"/>
        </w:rPr>
      </w:pPr>
      <w:r w:rsidRPr="00C8308F">
        <w:rPr>
          <w:rFonts w:eastAsia="SimSun"/>
          <w:spacing w:val="-1"/>
          <w:sz w:val="20"/>
          <w:szCs w:val="20"/>
          <w:lang w:val="x-none" w:eastAsia="x-none"/>
        </w:rPr>
        <w:t>Table 1. Comparison of Traditional Security and Zero Trust Architecture</w:t>
      </w:r>
    </w:p>
    <w:p w14:paraId="45DA3ACC" w14:textId="77777777" w:rsidR="00452299" w:rsidRDefault="00EC30ED" w:rsidP="00452299">
      <w:pPr>
        <w:pStyle w:val="p1"/>
        <w:rPr>
          <w:rFonts w:eastAsia="SimSun"/>
          <w:spacing w:val="-1"/>
          <w:sz w:val="20"/>
          <w:szCs w:val="20"/>
          <w:lang w:val="x-none" w:eastAsia="x-none"/>
        </w:rPr>
      </w:pPr>
      <w:r w:rsidRPr="00C8308F">
        <w:rPr>
          <w:rFonts w:eastAsia="SimSun"/>
          <w:spacing w:val="-1"/>
          <w:sz w:val="20"/>
          <w:szCs w:val="20"/>
          <w:lang w:val="x-none" w:eastAsia="x-none"/>
        </w:rPr>
        <w:t>As shown in Table 1, Zero Trust replaces implicit trust with continuous verification and significantly strengthens organisational resilience against modern cyber threats. These characteristics make Zero Trust particularly suitable for cloud environments, hybrid workforces, and organisations managing sensitive information.</w:t>
      </w:r>
    </w:p>
    <w:p w14:paraId="1FC2EF9E" w14:textId="15705232" w:rsidR="007671C9" w:rsidRPr="00C84CB4" w:rsidRDefault="00452299" w:rsidP="00DF2F32">
      <w:pPr>
        <w:pStyle w:val="Heading1"/>
      </w:pPr>
      <w:r w:rsidRPr="00802438">
        <w:rPr>
          <w:rFonts w:eastAsia="Times New Roman"/>
          <w:noProof w:val="0"/>
          <w:sz w:val="24"/>
          <w:szCs w:val="24"/>
          <w:lang w:val="en-GB" w:eastAsia="zh-TW"/>
        </w:rPr>
        <w:t xml:space="preserve"> </w:t>
      </w:r>
      <w:r w:rsidR="007671C9">
        <w:t>Anticipating Cyber Threats</w:t>
      </w:r>
      <w:r w:rsidR="000E49D2">
        <w:t xml:space="preserve"> </w:t>
      </w:r>
    </w:p>
    <w:p w14:paraId="5291003C" w14:textId="77777777" w:rsidR="007671C9" w:rsidRPr="007671C9" w:rsidRDefault="007671C9" w:rsidP="007671C9"/>
    <w:p w14:paraId="2C4FA164" w14:textId="77777777" w:rsidR="00B70411" w:rsidRPr="00776C4B" w:rsidRDefault="00B70411" w:rsidP="00315E97">
      <w:pPr>
        <w:pStyle w:val="bulletlist"/>
        <w:numPr>
          <w:ilvl w:val="0"/>
          <w:numId w:val="0"/>
        </w:numPr>
        <w:ind w:left="576"/>
      </w:pPr>
      <w:r w:rsidRPr="00A76EE0">
        <w:t>Modern cyber threats continue to evolve in both scale and complexity, making proactive threat anticipation a critical component of organisational cybersecurity. Attackers increasingly exploit phishing campaigns, ransomware, zero-day vulnerabilities, credential theft, insider threats, and supply chain compromises to gain unauthorised access to sensitive information. Traditional security models often identify these threats only after attackers have penetrated the network, increasing the likelihood of significant operational disruption and financial loss</w:t>
      </w:r>
      <w:r>
        <w:t xml:space="preserve"> </w:t>
      </w:r>
      <w:r w:rsidRPr="00776C4B">
        <w:rPr>
          <w:b/>
          <w:bCs/>
        </w:rPr>
        <w:t>[2]</w:t>
      </w:r>
      <w:r w:rsidRPr="00776C4B">
        <w:t>.</w:t>
      </w:r>
    </w:p>
    <w:p w14:paraId="05EF5724" w14:textId="77777777" w:rsidR="00B70411" w:rsidRPr="00E4135F" w:rsidRDefault="00B70411" w:rsidP="00315E97">
      <w:pPr>
        <w:pStyle w:val="bulletlist"/>
        <w:numPr>
          <w:ilvl w:val="0"/>
          <w:numId w:val="0"/>
        </w:numPr>
        <w:ind w:left="576"/>
      </w:pPr>
      <w:r w:rsidRPr="00A76EE0">
        <w:t xml:space="preserve">Zero Trust Architecture addresses this challenge by assuming that every access request may represent a potential threat, regardless of whether it originates from inside or outside the organisational network. Every user, device, and application must continuously </w:t>
      </w:r>
      <w:r w:rsidRPr="00A76EE0">
        <w:lastRenderedPageBreak/>
        <w:t>prove its identity before access is granted or maintained. This significantly reduces the opportunities available to attackers attempting to exploit compromised credentials or trusted network locations</w:t>
      </w:r>
      <w:r>
        <w:t xml:space="preserve"> </w:t>
      </w:r>
      <w:r w:rsidRPr="00E4135F">
        <w:rPr>
          <w:b/>
          <w:bCs/>
        </w:rPr>
        <w:t>[1]</w:t>
      </w:r>
      <w:r w:rsidRPr="00E4135F">
        <w:t>.</w:t>
      </w:r>
    </w:p>
    <w:p w14:paraId="49EEC370" w14:textId="77777777" w:rsidR="00B70411" w:rsidRPr="00E4135F" w:rsidRDefault="00B70411" w:rsidP="00315E97">
      <w:pPr>
        <w:pStyle w:val="bulletlist"/>
        <w:numPr>
          <w:ilvl w:val="0"/>
          <w:numId w:val="0"/>
        </w:numPr>
        <w:ind w:left="576"/>
      </w:pPr>
      <w:r w:rsidRPr="00A76EE0">
        <w:t>Continuous monitoring plays a central role in threat anticipation. Security Information and Event Management (SIEM) platforms, Endpoint Detection and Response (EDR) technologies, User and Entity Behaviour Analytics (UEBA), and Artificial Intelligence (AI)-supported monitoring enable organisations to identify suspicious activities at an early stage. Rather than waiting for an attack to succeed, these technologies analyse behavioural patterns, detect anomalies, and generate alerts that allow security teams to respond before attackers achieve their objectives</w:t>
      </w:r>
      <w:r w:rsidRPr="00E4135F">
        <w:t>.</w:t>
      </w:r>
    </w:p>
    <w:p w14:paraId="67CC84D7" w14:textId="77777777" w:rsidR="00B70411" w:rsidRPr="00D424B0" w:rsidRDefault="00B70411" w:rsidP="00315E97">
      <w:pPr>
        <w:pStyle w:val="bulletlist"/>
        <w:numPr>
          <w:ilvl w:val="0"/>
          <w:numId w:val="0"/>
        </w:numPr>
        <w:ind w:left="576"/>
      </w:pPr>
      <w:r w:rsidRPr="00A76EE0">
        <w:t>However, Zero Trust should not be viewed as a complete solution to every cybersecurity challenge. Its effectiveness depends on accurate identity management, well-configured security controls, continuous policy updates, and skilled security personnel. Organisations that fail to maintain these capabilities may remain vulnerable despite adopting Zero Trust principles. Consequently, successful threat anticipation requires a combination of technology, governance, user awareness, and continuous risk assessment rather than relying solely on technical controls</w:t>
      </w:r>
      <w:r w:rsidRPr="00D424B0">
        <w:t>.</w:t>
      </w:r>
    </w:p>
    <w:p w14:paraId="05A52A2D" w14:textId="77777777" w:rsidR="00B70411" w:rsidRPr="005B520E" w:rsidRDefault="00B70411" w:rsidP="00315E97">
      <w:pPr>
        <w:pStyle w:val="bulletlist"/>
        <w:numPr>
          <w:ilvl w:val="0"/>
          <w:numId w:val="0"/>
        </w:numPr>
        <w:ind w:left="576"/>
      </w:pPr>
    </w:p>
    <w:p w14:paraId="3CD84776" w14:textId="252FA1BD" w:rsidR="009303D9" w:rsidRPr="00C84CB4" w:rsidRDefault="00802438" w:rsidP="00DF2F32">
      <w:pPr>
        <w:pStyle w:val="Heading1"/>
      </w:pPr>
      <w:r w:rsidRPr="00802438">
        <w:rPr>
          <w:lang w:val="en-GB" w:eastAsia="zh-TW"/>
        </w:rPr>
        <w:t xml:space="preserve"> </w:t>
      </w:r>
      <w:r w:rsidR="00FC54E1" w:rsidRPr="00C84CB4">
        <w:t>Protecting Information Assets</w:t>
      </w:r>
    </w:p>
    <w:p w14:paraId="2C66EE55" w14:textId="32E1C81A" w:rsidR="00802438" w:rsidRPr="00802438" w:rsidRDefault="00802438" w:rsidP="00802438">
      <w:pPr>
        <w:pStyle w:val="p1"/>
        <w:rPr>
          <w:rFonts w:eastAsia="SimSun"/>
          <w:spacing w:val="-1"/>
          <w:sz w:val="20"/>
          <w:szCs w:val="20"/>
          <w:lang w:val="x-none" w:eastAsia="x-none"/>
        </w:rPr>
      </w:pPr>
      <w:r w:rsidRPr="00802438">
        <w:rPr>
          <w:rFonts w:eastAsia="SimSun"/>
          <w:spacing w:val="-1"/>
          <w:sz w:val="20"/>
          <w:szCs w:val="20"/>
          <w:lang w:val="x-none" w:eastAsia="x-none"/>
        </w:rPr>
        <w:t>Information assets represent one of the most valuable resources within modern organisations, including customer records, financial information, intellectual property, operational data, and business-critical systems. Protecting these assets has become increasingly challenging as organisations adopt cloud computing, mobile technologies, remote working, and interconnected digital services. Consequently, effective information protection requires security strategies that address both external attacks and internal risks.</w:t>
      </w:r>
    </w:p>
    <w:p w14:paraId="03D205E7" w14:textId="77777777" w:rsidR="00802438" w:rsidRPr="00802438" w:rsidRDefault="00802438" w:rsidP="00802438">
      <w:pPr>
        <w:pStyle w:val="p1"/>
        <w:rPr>
          <w:rFonts w:eastAsia="SimSun"/>
          <w:spacing w:val="-1"/>
          <w:sz w:val="20"/>
          <w:szCs w:val="20"/>
          <w:lang w:val="x-none" w:eastAsia="x-none"/>
        </w:rPr>
      </w:pPr>
      <w:r w:rsidRPr="00802438">
        <w:rPr>
          <w:rFonts w:eastAsia="SimSun"/>
          <w:spacing w:val="-1"/>
          <w:sz w:val="20"/>
          <w:szCs w:val="20"/>
          <w:lang w:val="x-none" w:eastAsia="x-none"/>
        </w:rPr>
        <w:t>Zero Trust Architecture strengthens the protection of information assets by enforcing strict identity verification and limiting access according to the principle of least privilege. Rather than allowing users unrestricted access after authentication, Zero Trust continuously evaluates user identity, device status, location, and behavioural patterns before granting or maintaining access. This significantly reduces the likelihood of unauthorised access to sensitive information [1].</w:t>
      </w:r>
    </w:p>
    <w:p w14:paraId="2B392C49" w14:textId="52E14D1A" w:rsidR="00802438" w:rsidRPr="00802438" w:rsidRDefault="00802438" w:rsidP="00802438">
      <w:pPr>
        <w:pStyle w:val="p1"/>
        <w:rPr>
          <w:rFonts w:eastAsia="SimSun"/>
          <w:spacing w:val="-1"/>
          <w:sz w:val="20"/>
          <w:szCs w:val="20"/>
          <w:lang w:val="x-none" w:eastAsia="x-none"/>
        </w:rPr>
      </w:pPr>
      <w:r w:rsidRPr="00802438">
        <w:rPr>
          <w:rFonts w:eastAsia="SimSun"/>
          <w:spacing w:val="-1"/>
          <w:sz w:val="20"/>
          <w:szCs w:val="20"/>
          <w:lang w:val="x-none" w:eastAsia="x-none"/>
        </w:rPr>
        <w:t xml:space="preserve">Data protection is further enhanced through encryption, data classification, and secure access controls. Encryption protects information both while stored and during transmission, ensuring that intercepted data remains unreadable to unauthorised parties. Data classification enables organisations to identify sensitive assets and apply stronger security controls where they are most needed. Combined with role-based access control (RBAC) and </w:t>
      </w:r>
      <w:r w:rsidRPr="00802438">
        <w:rPr>
          <w:rFonts w:eastAsia="SimSun"/>
          <w:spacing w:val="-1"/>
          <w:sz w:val="20"/>
          <w:szCs w:val="20"/>
          <w:lang w:val="x-none" w:eastAsia="x-none"/>
        </w:rPr>
        <w:t>Multi-Factor Authentication (MFA), these measures create multiple layers of defence that reduce the impact of compromised credentials [</w:t>
      </w:r>
      <w:r w:rsidR="00E0199A">
        <w:rPr>
          <w:rFonts w:eastAsia="SimSun"/>
          <w:spacing w:val="-1"/>
          <w:sz w:val="20"/>
          <w:szCs w:val="20"/>
          <w:lang w:val="x-none" w:eastAsia="x-none"/>
        </w:rPr>
        <w:t>3</w:t>
      </w:r>
      <w:r w:rsidRPr="00802438">
        <w:rPr>
          <w:rFonts w:eastAsia="SimSun"/>
          <w:spacing w:val="-1"/>
          <w:sz w:val="20"/>
          <w:szCs w:val="20"/>
          <w:lang w:val="x-none" w:eastAsia="x-none"/>
        </w:rPr>
        <w:t>].</w:t>
      </w:r>
    </w:p>
    <w:p w14:paraId="4B64BD4B" w14:textId="77777777" w:rsidR="00802438" w:rsidRPr="00802438" w:rsidRDefault="00802438" w:rsidP="00802438">
      <w:pPr>
        <w:pStyle w:val="p2"/>
        <w:rPr>
          <w:rFonts w:eastAsia="SimSun"/>
          <w:spacing w:val="-1"/>
          <w:sz w:val="20"/>
          <w:szCs w:val="20"/>
          <w:lang w:val="x-none" w:eastAsia="x-none"/>
        </w:rPr>
      </w:pPr>
      <w:r w:rsidRPr="00802438">
        <w:rPr>
          <w:rFonts w:eastAsia="SimSun"/>
          <w:spacing w:val="-1"/>
          <w:sz w:val="20"/>
          <w:szCs w:val="20"/>
          <w:lang w:val="x-none" w:eastAsia="x-none"/>
        </w:rPr>
        <w:t>Nevertheless, protecting information assets is not solely a technological challenge. Human error continues to be one of the leading causes of security incidents, including accidental data disclosure, weak passwords, and successful phishing attacks. Therefore, organisations should complement Zero Trust with regular security awareness training, clear information governance policies, and continuous auditing of access privileges. A balanced combination of technical controls, organisational governance, and employee awareness provides a far more resilient approach to protecting critical information assets than relying on technology alone.</w:t>
      </w:r>
    </w:p>
    <w:p w14:paraId="21DA74F9" w14:textId="452744F7" w:rsidR="009303D9" w:rsidRDefault="00532CA9" w:rsidP="00532CA9">
      <w:pPr>
        <w:pStyle w:val="Heading1"/>
      </w:pPr>
      <w:r>
        <w:t>Detection and Automate</w:t>
      </w:r>
      <w:r w:rsidR="003C50E7">
        <w:t>d</w:t>
      </w:r>
      <w:r>
        <w:t xml:space="preserve"> response</w:t>
      </w:r>
    </w:p>
    <w:p w14:paraId="610716EF" w14:textId="77777777" w:rsidR="00532CA9" w:rsidRPr="00532CA9" w:rsidRDefault="00532CA9" w:rsidP="00532CA9">
      <w:pPr>
        <w:pStyle w:val="p1"/>
        <w:rPr>
          <w:rFonts w:eastAsia="SimSun"/>
          <w:spacing w:val="-1"/>
          <w:sz w:val="20"/>
          <w:szCs w:val="20"/>
          <w:lang w:val="x-none" w:eastAsia="x-none"/>
        </w:rPr>
      </w:pPr>
      <w:r w:rsidRPr="00532CA9">
        <w:rPr>
          <w:rFonts w:eastAsia="SimSun"/>
          <w:spacing w:val="-1"/>
          <w:sz w:val="20"/>
          <w:szCs w:val="20"/>
          <w:lang w:val="x-none" w:eastAsia="x-none"/>
        </w:rPr>
        <w:t>Detecting cyber threats at an early stage is essential for minimising the impact of security incidents. Modern organisations generate vast amounts of security-related data from endpoints, servers, cloud platforms, applications, and network devices. Without effective detection capabilities, malicious activities may remain unnoticed for extended periods, allowing attackers to compromise sensitive information, disrupt business operations, and establish long-term persistence within organisational environments.</w:t>
      </w:r>
    </w:p>
    <w:p w14:paraId="6807B254" w14:textId="77777777" w:rsidR="00532CA9" w:rsidRPr="00532CA9" w:rsidRDefault="00532CA9" w:rsidP="00532CA9">
      <w:pPr>
        <w:pStyle w:val="p1"/>
        <w:rPr>
          <w:rFonts w:eastAsia="SimSun"/>
          <w:spacing w:val="-1"/>
          <w:sz w:val="20"/>
          <w:szCs w:val="20"/>
          <w:lang w:val="x-none" w:eastAsia="x-none"/>
        </w:rPr>
      </w:pPr>
      <w:r w:rsidRPr="00532CA9">
        <w:rPr>
          <w:rFonts w:eastAsia="SimSun"/>
          <w:spacing w:val="-1"/>
          <w:sz w:val="20"/>
          <w:szCs w:val="20"/>
          <w:lang w:val="x-none" w:eastAsia="x-none"/>
        </w:rPr>
        <w:t>Zero Trust Architecture enhances threat detection by continuously monitoring authentication events, user behaviour, device compliance, and network activity. Rather than assuming that authenticated users remain trustworthy, Zero Trust continuously reassesses risk throughout each active session. This enables organisations to detect unusual behaviour, such as abnormal login locations, excessive privilege requests, unusual file access patterns, or unexpected data transfers, before they develop into major security incidents [1].</w:t>
      </w:r>
    </w:p>
    <w:p w14:paraId="0A5122C0" w14:textId="6ED09003" w:rsidR="00532CA9" w:rsidRPr="00532CA9" w:rsidRDefault="00532CA9" w:rsidP="00532CA9">
      <w:pPr>
        <w:pStyle w:val="p1"/>
        <w:rPr>
          <w:rFonts w:eastAsia="SimSun"/>
          <w:spacing w:val="-1"/>
          <w:sz w:val="20"/>
          <w:szCs w:val="20"/>
          <w:lang w:val="x-none" w:eastAsia="x-none"/>
        </w:rPr>
      </w:pPr>
      <w:r w:rsidRPr="00532CA9">
        <w:rPr>
          <w:rFonts w:eastAsia="SimSun"/>
          <w:spacing w:val="-1"/>
          <w:sz w:val="20"/>
          <w:szCs w:val="20"/>
          <w:lang w:val="x-none" w:eastAsia="x-none"/>
        </w:rPr>
        <w:t>Automated response capabilities further strengthen organisational resilience by reducing the time required to contain cyber threats. Security Orchestration, Automation and Response (SOAR) platforms integrate information from Security Information and Event Management (SIEM) systems, Endpoint Detection and Response (EDR) tools, and threat intelligence feeds to automatically execute predefined security actions. These actions may include isolating compromised devices, disabling user accounts, blocking malicious IP addresses, or initiating incident response procedures without requiring immediate human intervention [</w:t>
      </w:r>
      <w:r w:rsidR="007A4FE3">
        <w:rPr>
          <w:rFonts w:eastAsia="SimSun"/>
          <w:spacing w:val="-1"/>
          <w:sz w:val="20"/>
          <w:szCs w:val="20"/>
          <w:lang w:val="x-none" w:eastAsia="x-none"/>
        </w:rPr>
        <w:t>4</w:t>
      </w:r>
      <w:r w:rsidRPr="00532CA9">
        <w:rPr>
          <w:rFonts w:eastAsia="SimSun"/>
          <w:spacing w:val="-1"/>
          <w:sz w:val="20"/>
          <w:szCs w:val="20"/>
          <w:lang w:val="x-none" w:eastAsia="x-none"/>
        </w:rPr>
        <w:t>].</w:t>
      </w:r>
    </w:p>
    <w:p w14:paraId="65AED83E" w14:textId="77777777" w:rsidR="00532CA9" w:rsidRPr="00532CA9" w:rsidRDefault="00532CA9" w:rsidP="00532CA9">
      <w:pPr>
        <w:pStyle w:val="p1"/>
        <w:rPr>
          <w:rFonts w:eastAsia="SimSun"/>
          <w:spacing w:val="-1"/>
          <w:sz w:val="20"/>
          <w:szCs w:val="20"/>
          <w:lang w:val="x-none" w:eastAsia="x-none"/>
        </w:rPr>
      </w:pPr>
      <w:r w:rsidRPr="00532CA9">
        <w:rPr>
          <w:rFonts w:eastAsia="SimSun"/>
          <w:spacing w:val="-1"/>
          <w:sz w:val="20"/>
          <w:szCs w:val="20"/>
          <w:lang w:val="x-none" w:eastAsia="x-none"/>
        </w:rPr>
        <w:t>However, excessive reliance on automation may also introduce operational risks. Incorrectly configured automated responses can interrupt legitimate business activities, generate false positives, or restrict authorised users from accessing critical resources. Therefore, organisations should balance automation with human oversight, continuous policy reviews, and regular testing to ensure that automated security controls remain accurate, reliable, and aligned with organisational objectives.</w:t>
      </w:r>
    </w:p>
    <w:p w14:paraId="00153DB0" w14:textId="366C0535" w:rsidR="009303D9" w:rsidRDefault="00957A4A" w:rsidP="006B6B66">
      <w:pPr>
        <w:pStyle w:val="Heading1"/>
      </w:pPr>
      <w:r>
        <w:lastRenderedPageBreak/>
        <w:t>Comparison</w:t>
      </w:r>
      <w:r w:rsidR="008136A4">
        <w:t xml:space="preserve"> with Traditional Security</w:t>
      </w:r>
    </w:p>
    <w:p w14:paraId="3050F5B9" w14:textId="77777777" w:rsidR="000B4488" w:rsidRPr="00BE0E5F" w:rsidRDefault="000B4488" w:rsidP="000B4488">
      <w:pPr>
        <w:pStyle w:val="p1"/>
        <w:rPr>
          <w:rFonts w:eastAsia="SimSun"/>
          <w:spacing w:val="-1"/>
          <w:sz w:val="20"/>
          <w:szCs w:val="20"/>
          <w:lang w:val="x-none" w:eastAsia="x-none"/>
        </w:rPr>
      </w:pPr>
      <w:r w:rsidRPr="00BE0E5F">
        <w:rPr>
          <w:rFonts w:eastAsia="SimSun"/>
          <w:spacing w:val="-1"/>
          <w:sz w:val="20"/>
          <w:szCs w:val="20"/>
          <w:lang w:val="x-none" w:eastAsia="x-none"/>
        </w:rPr>
        <w:t>Traditional cybersecurity models were primarily designed to defend organisational networks by establishing a trusted internal environment protected by perimeter-based security controls such as firewalls and Virtual Private Networks (VPNs). Once users successfully authenticated and entered the network, they were generally considered trustworthy, often receiving broad access to organisational resources. While this approach proved effective for traditional office environments, it has become increasingly inadequate in the era of cloud computing, remote working, and highly distributed infrastructures [2].</w:t>
      </w:r>
    </w:p>
    <w:p w14:paraId="2CEF9253" w14:textId="77777777" w:rsidR="000B4488" w:rsidRPr="00BE0E5F" w:rsidRDefault="000B4488" w:rsidP="000B4488">
      <w:pPr>
        <w:pStyle w:val="p1"/>
        <w:rPr>
          <w:rFonts w:eastAsia="SimSun"/>
          <w:spacing w:val="-1"/>
          <w:sz w:val="20"/>
          <w:szCs w:val="20"/>
          <w:lang w:val="x-none" w:eastAsia="x-none"/>
        </w:rPr>
      </w:pPr>
      <w:r w:rsidRPr="00BE0E5F">
        <w:rPr>
          <w:rFonts w:eastAsia="SimSun"/>
          <w:spacing w:val="-1"/>
          <w:sz w:val="20"/>
          <w:szCs w:val="20"/>
          <w:lang w:val="x-none" w:eastAsia="x-none"/>
        </w:rPr>
        <w:t>Zero Trust Architecture fundamentally changes this security philosophy by eliminating implicit trust and requiring continuous verification of every user, device, and application regardless of network location. Instead of relying solely on network boundaries, Zero Trust focuses on protecting identities, data, applications, and individual resources. This significantly limits lateral movement within compromised environments and reduces the likelihood of attackers escalating privileges after gaining initial access [1].</w:t>
      </w:r>
    </w:p>
    <w:p w14:paraId="7DCD4501" w14:textId="77777777" w:rsidR="000B4488" w:rsidRPr="00BE0E5F" w:rsidRDefault="000B4488" w:rsidP="000B4488">
      <w:pPr>
        <w:pStyle w:val="p1"/>
        <w:rPr>
          <w:rFonts w:eastAsia="SimSun"/>
          <w:spacing w:val="-1"/>
          <w:sz w:val="20"/>
          <w:szCs w:val="20"/>
          <w:lang w:val="x-none" w:eastAsia="x-none"/>
        </w:rPr>
      </w:pPr>
      <w:r w:rsidRPr="00BE0E5F">
        <w:rPr>
          <w:rFonts w:eastAsia="SimSun"/>
          <w:spacing w:val="-1"/>
          <w:sz w:val="20"/>
          <w:szCs w:val="20"/>
          <w:lang w:val="x-none" w:eastAsia="x-none"/>
        </w:rPr>
        <w:t>Despite its significant advantages, Zero Trust is considerably more complex to implement than traditional security architectures. Organisations must deploy advanced identity management systems, continuous monitoring technologies, multi-factor authentication, endpoint protection, and comprehensive policy management. These requirements often increase implementation costs, demand specialised expertise, and require substantial organisational change before the full benefits of Zero Trust can be realised [2].</w:t>
      </w:r>
    </w:p>
    <w:p w14:paraId="12D8D145" w14:textId="714D0B71" w:rsidR="000B4488" w:rsidRDefault="000B4488" w:rsidP="00BE0E5F">
      <w:pPr>
        <w:pStyle w:val="p2"/>
        <w:rPr>
          <w:rFonts w:eastAsia="SimSun"/>
          <w:spacing w:val="-1"/>
          <w:sz w:val="20"/>
          <w:szCs w:val="20"/>
          <w:lang w:val="x-none" w:eastAsia="x-none"/>
        </w:rPr>
      </w:pPr>
      <w:r w:rsidRPr="00BE0E5F">
        <w:rPr>
          <w:rFonts w:eastAsia="SimSun"/>
          <w:spacing w:val="-1"/>
          <w:sz w:val="20"/>
          <w:szCs w:val="20"/>
          <w:lang w:val="x-none" w:eastAsia="x-none"/>
        </w:rPr>
        <w:t>Overall, traditional perimeter-based security remains appropriate for certain small or less complex environments where infrastructure is relatively stable and operational requirements are limited. However, organisations operating within cloud environments, hybrid workforces, or highly regulated industries generally benefit more from adopting Zero Trust principles. Consequently, Zero Trust should be viewed not as a complete replacement for every traditional security control but as a modern security strategy that complements existing technologies while providing significantly stronger protection against contemporary cyber threats.</w:t>
      </w:r>
    </w:p>
    <w:p w14:paraId="521891B1" w14:textId="77777777" w:rsidR="00924CEC" w:rsidRDefault="00924CEC" w:rsidP="00BE0E5F">
      <w:pPr>
        <w:pStyle w:val="p2"/>
        <w:rPr>
          <w:rFonts w:eastAsia="SimSun"/>
          <w:spacing w:val="-1"/>
          <w:sz w:val="20"/>
          <w:szCs w:val="20"/>
          <w:lang w:val="x-none" w:eastAsia="x-none"/>
        </w:rPr>
      </w:pPr>
    </w:p>
    <w:p w14:paraId="16EB9BC8" w14:textId="77777777" w:rsidR="00924CEC" w:rsidRDefault="00924CEC" w:rsidP="00BE0E5F">
      <w:pPr>
        <w:pStyle w:val="p2"/>
        <w:rPr>
          <w:rFonts w:eastAsia="SimSun"/>
          <w:spacing w:val="-1"/>
          <w:sz w:val="20"/>
          <w:szCs w:val="20"/>
          <w:lang w:val="x-none" w:eastAsia="x-none"/>
        </w:rPr>
      </w:pPr>
    </w:p>
    <w:p w14:paraId="64667A72" w14:textId="77777777" w:rsidR="00924CEC" w:rsidRDefault="00924CEC" w:rsidP="00BE0E5F">
      <w:pPr>
        <w:pStyle w:val="p2"/>
        <w:rPr>
          <w:rFonts w:eastAsia="SimSun"/>
          <w:spacing w:val="-1"/>
          <w:sz w:val="20"/>
          <w:szCs w:val="20"/>
          <w:lang w:val="x-none" w:eastAsia="x-none"/>
        </w:rPr>
      </w:pPr>
    </w:p>
    <w:p w14:paraId="69F24108" w14:textId="77777777" w:rsidR="00924CEC" w:rsidRDefault="00924CEC" w:rsidP="00BE0E5F">
      <w:pPr>
        <w:pStyle w:val="p2"/>
        <w:rPr>
          <w:rFonts w:eastAsia="SimSun"/>
          <w:spacing w:val="-1"/>
          <w:sz w:val="20"/>
          <w:szCs w:val="20"/>
          <w:lang w:val="x-none" w:eastAsia="x-none"/>
        </w:rPr>
      </w:pPr>
    </w:p>
    <w:p w14:paraId="71428736" w14:textId="77777777" w:rsidR="005076DF" w:rsidRPr="00BE0E5F" w:rsidRDefault="005076DF" w:rsidP="00BE0E5F">
      <w:pPr>
        <w:pStyle w:val="p2"/>
        <w:rPr>
          <w:rFonts w:eastAsia="SimSun"/>
          <w:spacing w:val="-1"/>
          <w:sz w:val="20"/>
          <w:szCs w:val="20"/>
          <w:lang w:val="x-none" w:eastAsia="x-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431"/>
        <w:gridCol w:w="1563"/>
        <w:gridCol w:w="1856"/>
      </w:tblGrid>
      <w:tr w:rsidR="000B4488" w:rsidRPr="00BE0E5F" w14:paraId="37C55F9A" w14:textId="77777777" w:rsidTr="00693A71">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E0F9DE"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Aspect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DE7D29"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Traditional Security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745AA0"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Zero Trust</w:t>
            </w:r>
          </w:p>
        </w:tc>
      </w:tr>
      <w:tr w:rsidR="000B4488" w:rsidRPr="00BE0E5F" w14:paraId="422E516D"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F1689E"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Trust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474ECA"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Implicit after login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A6699C"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Continuous verification</w:t>
            </w:r>
          </w:p>
        </w:tc>
      </w:tr>
      <w:tr w:rsidR="000B4488" w:rsidRPr="00BE0E5F" w14:paraId="6C5FD446"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F68E94"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Security Boundary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C87E48"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Network perimeter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A18B0A"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Identity and resources</w:t>
            </w:r>
          </w:p>
        </w:tc>
      </w:tr>
      <w:tr w:rsidR="000B4488" w:rsidRPr="00BE0E5F" w14:paraId="5B1D9BD1"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5F72DF"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Authentication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C6AEFF"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Single authentication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34729C"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Continuous authentication</w:t>
            </w:r>
          </w:p>
        </w:tc>
      </w:tr>
      <w:tr w:rsidR="000B4488" w:rsidRPr="00BE0E5F" w14:paraId="09B6BBD9"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EF9644"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Access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64736A"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Broad permissions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AC72A4"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Least privilege</w:t>
            </w:r>
          </w:p>
        </w:tc>
      </w:tr>
      <w:tr w:rsidR="000B4488" w:rsidRPr="00BE0E5F" w14:paraId="42F0A243"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512523"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Monitoring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0A771F"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Periodic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88BE13"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Continuous</w:t>
            </w:r>
          </w:p>
        </w:tc>
      </w:tr>
      <w:tr w:rsidR="000B4488" w:rsidRPr="00BE0E5F" w14:paraId="2373311E"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8DC97F"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Cloud Support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77C8DA"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Limited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614A7C"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High</w:t>
            </w:r>
          </w:p>
        </w:tc>
      </w:tr>
      <w:tr w:rsidR="000B4488" w:rsidRPr="00BE0E5F" w14:paraId="527FF891"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301CF9"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Remote Working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D44476"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Moderate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53520F"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Excellent</w:t>
            </w:r>
          </w:p>
        </w:tc>
      </w:tr>
      <w:tr w:rsidR="000B4488" w:rsidRPr="00BE0E5F" w14:paraId="4B2AE11C"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6FBAE7"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Lateral Movement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61FCCB"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Higher risk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2BDF86" w14:textId="77777777" w:rsidR="000B4488" w:rsidRPr="00BE0E5F" w:rsidRDefault="000B4488" w:rsidP="00693A71">
            <w:pPr>
              <w:spacing w:before="100" w:beforeAutospacing="1" w:after="100" w:afterAutospacing="1"/>
              <w:rPr>
                <w:spacing w:val="-1"/>
                <w:lang w:val="x-none" w:eastAsia="x-none"/>
              </w:rPr>
            </w:pPr>
            <w:r w:rsidRPr="00BE0E5F">
              <w:rPr>
                <w:spacing w:val="-1"/>
                <w:lang w:val="x-none" w:eastAsia="x-none"/>
              </w:rPr>
              <w:t>Strongly restricted</w:t>
            </w:r>
          </w:p>
        </w:tc>
      </w:tr>
    </w:tbl>
    <w:p w14:paraId="470AC94F" w14:textId="77777777" w:rsidR="000B4488" w:rsidRPr="00BE0E5F" w:rsidRDefault="000B4488" w:rsidP="000B4488">
      <w:pPr>
        <w:rPr>
          <w:spacing w:val="-1"/>
          <w:lang w:val="x-none" w:eastAsia="x-none"/>
        </w:rPr>
      </w:pPr>
    </w:p>
    <w:p w14:paraId="03D9C940" w14:textId="77777777" w:rsidR="000B4488" w:rsidRPr="00BE0E5F" w:rsidRDefault="000B4488" w:rsidP="000B4488">
      <w:pPr>
        <w:pStyle w:val="p1"/>
        <w:rPr>
          <w:rFonts w:eastAsia="SimSun"/>
          <w:spacing w:val="-1"/>
          <w:sz w:val="20"/>
          <w:szCs w:val="20"/>
          <w:lang w:val="x-none" w:eastAsia="x-none"/>
        </w:rPr>
      </w:pPr>
      <w:r w:rsidRPr="00BE0E5F">
        <w:rPr>
          <w:rFonts w:eastAsia="SimSun"/>
          <w:spacing w:val="-1"/>
          <w:sz w:val="20"/>
          <w:szCs w:val="20"/>
          <w:lang w:val="x-none" w:eastAsia="x-none"/>
        </w:rPr>
        <w:t>Table 2. Comparison between Traditional Security and Zero Trust Security Models</w:t>
      </w:r>
    </w:p>
    <w:p w14:paraId="550A3ECA" w14:textId="77777777" w:rsidR="000B4488" w:rsidRDefault="000B4488" w:rsidP="000B4488">
      <w:pPr>
        <w:pStyle w:val="p1"/>
      </w:pPr>
      <w:r w:rsidRPr="00BE0E5F">
        <w:rPr>
          <w:rFonts w:eastAsia="SimSun"/>
          <w:spacing w:val="-1"/>
          <w:sz w:val="20"/>
          <w:szCs w:val="20"/>
          <w:lang w:val="x-none" w:eastAsia="x-none"/>
        </w:rPr>
        <w:t>Table 2 highlights the fundamental differences between traditional perimeter-based security and Zero Trust Architecture. While traditional security relies primarily on network boundaries, Zero Trust continuously validates access requests and provides stronger protection for modern cloud-based and hybrid organisational environments.</w:t>
      </w:r>
    </w:p>
    <w:p w14:paraId="03CE631A" w14:textId="7F937762" w:rsidR="009303D9" w:rsidRDefault="00AF779A" w:rsidP="00444676">
      <w:pPr>
        <w:pStyle w:val="Heading1"/>
      </w:pPr>
      <w:r>
        <w:t>Implementation</w:t>
      </w:r>
      <w:r w:rsidR="00D44A36">
        <w:t xml:space="preserve"> Ch</w:t>
      </w:r>
      <w:r w:rsidR="008D540F">
        <w:t>a</w:t>
      </w:r>
      <w:r w:rsidR="00D44A36">
        <w:t>llenges</w:t>
      </w:r>
    </w:p>
    <w:p w14:paraId="45B55986" w14:textId="605EBF9F" w:rsidR="00154467" w:rsidRPr="00997D72" w:rsidRDefault="00154467" w:rsidP="00154467">
      <w:pPr>
        <w:pStyle w:val="p1"/>
        <w:rPr>
          <w:rFonts w:eastAsia="SimSun"/>
          <w:spacing w:val="-1"/>
          <w:sz w:val="20"/>
          <w:szCs w:val="20"/>
          <w:lang w:val="x-none" w:eastAsia="x-none"/>
        </w:rPr>
      </w:pPr>
      <w:r w:rsidRPr="00997D72">
        <w:rPr>
          <w:rFonts w:eastAsia="SimSun"/>
          <w:spacing w:val="-1"/>
          <w:sz w:val="20"/>
          <w:szCs w:val="20"/>
          <w:lang w:val="x-none" w:eastAsia="x-none"/>
        </w:rPr>
        <w:t>Although Zero Trust Architecture offers significant security advantages, its implementation presents several organisational, technical, and financial challenges. Many organisations continue to rely on legacy systems that were not designed to support continuous authentication, identity-based access control, or real-time monitoring. Integrating these existing technologies with modern Zero Trust principles often requires extensive system upgrades, careful planning, and substantial financial investment [</w:t>
      </w:r>
      <w:r w:rsidR="00F27B0B">
        <w:rPr>
          <w:rFonts w:eastAsia="SimSun"/>
          <w:spacing w:val="-1"/>
          <w:sz w:val="20"/>
          <w:szCs w:val="20"/>
          <w:lang w:val="x-none" w:eastAsia="x-none"/>
        </w:rPr>
        <w:t>5</w:t>
      </w:r>
      <w:r w:rsidRPr="00997D72">
        <w:rPr>
          <w:rFonts w:eastAsia="SimSun"/>
          <w:spacing w:val="-1"/>
          <w:sz w:val="20"/>
          <w:szCs w:val="20"/>
          <w:lang w:val="x-none" w:eastAsia="x-none"/>
        </w:rPr>
        <w:t>].</w:t>
      </w:r>
    </w:p>
    <w:p w14:paraId="59384632" w14:textId="77777777" w:rsidR="00154467" w:rsidRPr="00997D72" w:rsidRDefault="00154467" w:rsidP="00154467">
      <w:pPr>
        <w:pStyle w:val="p1"/>
        <w:rPr>
          <w:rFonts w:eastAsia="SimSun"/>
          <w:spacing w:val="-1"/>
          <w:sz w:val="20"/>
          <w:szCs w:val="20"/>
          <w:lang w:val="x-none" w:eastAsia="x-none"/>
        </w:rPr>
      </w:pPr>
      <w:r w:rsidRPr="00997D72">
        <w:rPr>
          <w:rFonts w:eastAsia="SimSun"/>
          <w:spacing w:val="-1"/>
          <w:sz w:val="20"/>
          <w:szCs w:val="20"/>
          <w:lang w:val="x-none" w:eastAsia="x-none"/>
        </w:rPr>
        <w:t xml:space="preserve">One of the most significant implementation challenges is identity management. Zero Trust depends on accurate identification and authentication of every user, device, application, and service requesting access to organisational </w:t>
      </w:r>
      <w:r w:rsidRPr="00997D72">
        <w:rPr>
          <w:rFonts w:eastAsia="SimSun"/>
          <w:spacing w:val="-1"/>
          <w:sz w:val="20"/>
          <w:szCs w:val="20"/>
          <w:lang w:val="x-none" w:eastAsia="x-none"/>
        </w:rPr>
        <w:lastRenderedPageBreak/>
        <w:t>resources. Maintaining this level of visibility becomes increasingly difficult in large enterprises where thousands of employees, contractors, third-party suppliers, and cloud services require different levels of authorised access. Without effective Identity and Access Management (IAM), Zero Trust cannot operate as intended [1].</w:t>
      </w:r>
    </w:p>
    <w:p w14:paraId="5EE9DA62" w14:textId="77777777" w:rsidR="00154467" w:rsidRPr="00997D72" w:rsidRDefault="00154467" w:rsidP="00154467">
      <w:pPr>
        <w:pStyle w:val="p1"/>
        <w:rPr>
          <w:rFonts w:eastAsia="SimSun"/>
          <w:spacing w:val="-1"/>
          <w:sz w:val="20"/>
          <w:szCs w:val="20"/>
          <w:lang w:val="x-none" w:eastAsia="x-none"/>
        </w:rPr>
      </w:pPr>
      <w:r w:rsidRPr="00997D72">
        <w:rPr>
          <w:rFonts w:eastAsia="SimSun"/>
          <w:spacing w:val="-1"/>
          <w:sz w:val="20"/>
          <w:szCs w:val="20"/>
          <w:lang w:val="x-none" w:eastAsia="x-none"/>
        </w:rPr>
        <w:t>Organisational culture also plays an important role in successful implementation. Employees may initially perceive continuous authentication, Multi-Factor Authentication (MFA), and stricter access controls as inconvenient or disruptive to daily business activities. Resistance to organisational change can reduce user acceptance and negatively affect the effectiveness of security initiatives. Consequently, organisations should provide regular security awareness training, communicate the purpose of Zero Trust clearly, and involve employees throughout the implementation process.</w:t>
      </w:r>
    </w:p>
    <w:p w14:paraId="5941D2C1" w14:textId="2487083E" w:rsidR="00997D72" w:rsidRDefault="00154467" w:rsidP="00154467">
      <w:pPr>
        <w:pStyle w:val="p2"/>
        <w:rPr>
          <w:rFonts w:eastAsia="SimSun"/>
          <w:spacing w:val="-1"/>
          <w:sz w:val="20"/>
          <w:szCs w:val="20"/>
          <w:lang w:val="x-none" w:eastAsia="x-none"/>
        </w:rPr>
      </w:pPr>
      <w:r w:rsidRPr="00997D72">
        <w:rPr>
          <w:rFonts w:eastAsia="SimSun"/>
          <w:spacing w:val="-1"/>
          <w:sz w:val="20"/>
          <w:szCs w:val="20"/>
          <w:lang w:val="x-none" w:eastAsia="x-none"/>
        </w:rPr>
        <w:t>Despite these challenges, the long-term benefits generally outweigh the initial implementation costs. Organisations adopting Zero Trust often experience stronger protection against cyber threats, improved regulatory compliance, greater visibility of organisational assets, and enhanced resilience against increasingly sophisticated attacks. Therefore, successful implementation should be viewed as a gradual strategic transformation rather than a single technology deployment.</w:t>
      </w:r>
    </w:p>
    <w:p w14:paraId="117C8832" w14:textId="77777777" w:rsidR="00997D72" w:rsidRPr="00997D72" w:rsidRDefault="00997D72" w:rsidP="00154467">
      <w:pPr>
        <w:pStyle w:val="p2"/>
        <w:rPr>
          <w:rFonts w:eastAsia="SimSun"/>
          <w:spacing w:val="-1"/>
          <w:sz w:val="20"/>
          <w:szCs w:val="20"/>
          <w:lang w:val="x-none" w:eastAsia="x-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953"/>
        <w:gridCol w:w="2897"/>
      </w:tblGrid>
      <w:tr w:rsidR="00154467" w:rsidRPr="00997D72" w14:paraId="12807018" w14:textId="77777777" w:rsidTr="00693A71">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9F05EB"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Challenge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B2DACB"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Recommended Solution</w:t>
            </w:r>
          </w:p>
        </w:tc>
      </w:tr>
      <w:tr w:rsidR="00154467" w:rsidRPr="00997D72" w14:paraId="5EEF6D40"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591418"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Legacy systems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64D295"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Gradual system modernisation</w:t>
            </w:r>
          </w:p>
        </w:tc>
      </w:tr>
      <w:tr w:rsidR="00154467" w:rsidRPr="00997D72" w14:paraId="705B8672"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3F2943"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High implementation costs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1EB03A"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Phased deployment strategy</w:t>
            </w:r>
          </w:p>
        </w:tc>
      </w:tr>
      <w:tr w:rsidR="00154467" w:rsidRPr="00997D72" w14:paraId="24393325"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41BA7B"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User resistance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9BA5ED"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Security awareness training</w:t>
            </w:r>
          </w:p>
        </w:tc>
      </w:tr>
      <w:tr w:rsidR="00154467" w:rsidRPr="00997D72" w14:paraId="17A0077F"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6BC5D8"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Identity 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91BA2C"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Strong IAM and MFA</w:t>
            </w:r>
          </w:p>
        </w:tc>
      </w:tr>
      <w:tr w:rsidR="00154467" w:rsidRPr="00997D72" w14:paraId="7BCE80A7"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4C60FC"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Complex cloud environments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319930" w14:textId="77777777" w:rsidR="00154467" w:rsidRPr="00997D72" w:rsidRDefault="00154467" w:rsidP="00693A71">
            <w:pPr>
              <w:spacing w:before="100" w:beforeAutospacing="1" w:after="100" w:afterAutospacing="1"/>
              <w:rPr>
                <w:spacing w:val="-1"/>
                <w:lang w:val="x-none" w:eastAsia="x-none"/>
              </w:rPr>
            </w:pPr>
            <w:r w:rsidRPr="00997D72">
              <w:rPr>
                <w:spacing w:val="-1"/>
                <w:lang w:val="x-none" w:eastAsia="x-none"/>
              </w:rPr>
              <w:t>Continuous monitoring and Zero Trust policies</w:t>
            </w:r>
          </w:p>
        </w:tc>
      </w:tr>
    </w:tbl>
    <w:p w14:paraId="3C2A8C0A" w14:textId="77777777" w:rsidR="00154467" w:rsidRPr="00997D72" w:rsidRDefault="00154467" w:rsidP="00154467">
      <w:pPr>
        <w:rPr>
          <w:spacing w:val="-1"/>
          <w:lang w:val="x-none" w:eastAsia="x-none"/>
        </w:rPr>
      </w:pPr>
    </w:p>
    <w:p w14:paraId="474B41C3" w14:textId="77777777" w:rsidR="00154467" w:rsidRPr="00997D72" w:rsidRDefault="00154467" w:rsidP="00154467">
      <w:pPr>
        <w:pStyle w:val="p1"/>
        <w:rPr>
          <w:rFonts w:eastAsia="SimSun"/>
          <w:spacing w:val="-1"/>
          <w:sz w:val="20"/>
          <w:szCs w:val="20"/>
          <w:lang w:val="x-none" w:eastAsia="x-none"/>
        </w:rPr>
      </w:pPr>
      <w:r w:rsidRPr="00997D72">
        <w:rPr>
          <w:rFonts w:eastAsia="SimSun"/>
          <w:spacing w:val="-1"/>
          <w:sz w:val="20"/>
          <w:szCs w:val="20"/>
          <w:lang w:val="x-none" w:eastAsia="x-none"/>
        </w:rPr>
        <w:t>Table 3. Common Zero Trust Implementation Challenges and Recommended Solutions</w:t>
      </w:r>
    </w:p>
    <w:p w14:paraId="643671C9" w14:textId="75903B2F" w:rsidR="006F6D3D" w:rsidRPr="00877184" w:rsidRDefault="00154467" w:rsidP="00877184">
      <w:pPr>
        <w:pStyle w:val="p1"/>
        <w:rPr>
          <w:rFonts w:eastAsia="SimSun"/>
          <w:spacing w:val="-1"/>
          <w:sz w:val="20"/>
          <w:szCs w:val="20"/>
          <w:lang w:val="x-none" w:eastAsia="x-none"/>
        </w:rPr>
      </w:pPr>
      <w:r w:rsidRPr="00997D72">
        <w:rPr>
          <w:rFonts w:eastAsia="SimSun"/>
          <w:spacing w:val="-1"/>
          <w:sz w:val="20"/>
          <w:szCs w:val="20"/>
          <w:lang w:val="x-none" w:eastAsia="x-none"/>
        </w:rPr>
        <w:t xml:space="preserve">Table 3 demonstrates that the successful implementation of Zero Trust requires not only technical improvements but also organisational planning, employee engagement, and long-term strategic investment. Addressing these challenges systematically enables organisations to maximise the </w:t>
      </w:r>
      <w:r w:rsidRPr="00997D72">
        <w:rPr>
          <w:rFonts w:eastAsia="SimSun"/>
          <w:spacing w:val="-1"/>
          <w:sz w:val="20"/>
          <w:szCs w:val="20"/>
          <w:lang w:val="x-none" w:eastAsia="x-none"/>
        </w:rPr>
        <w:t>effectiveness of Zero Trust while reducing implementation risks.</w:t>
      </w:r>
    </w:p>
    <w:p w14:paraId="26459368" w14:textId="1363EAC1" w:rsidR="00D6795C" w:rsidRPr="00877184" w:rsidRDefault="00877184" w:rsidP="00877184">
      <w:pPr>
        <w:pStyle w:val="Heading1"/>
        <w:numPr>
          <w:ilvl w:val="0"/>
          <w:numId w:val="30"/>
        </w:numPr>
        <w:rPr>
          <w:spacing w:val="-1"/>
          <w:lang w:val="x-none" w:eastAsia="x-none"/>
        </w:rPr>
      </w:pPr>
      <w:r>
        <w:rPr>
          <w:spacing w:val="-1"/>
          <w:lang w:val="x-none" w:eastAsia="x-none"/>
        </w:rPr>
        <w:t>Conclusion</w:t>
      </w:r>
    </w:p>
    <w:p w14:paraId="2C2303F2" w14:textId="665A0383" w:rsidR="00E800C9" w:rsidRPr="00D6795C" w:rsidRDefault="00E800C9" w:rsidP="00E800C9">
      <w:pPr>
        <w:pStyle w:val="p1"/>
        <w:rPr>
          <w:rFonts w:eastAsia="SimSun"/>
          <w:spacing w:val="-1"/>
          <w:sz w:val="20"/>
          <w:szCs w:val="20"/>
          <w:lang w:val="x-none" w:eastAsia="x-none"/>
        </w:rPr>
      </w:pPr>
      <w:r w:rsidRPr="00D6795C">
        <w:rPr>
          <w:rFonts w:eastAsia="SimSun"/>
          <w:spacing w:val="-1"/>
          <w:sz w:val="20"/>
          <w:szCs w:val="20"/>
          <w:lang w:val="x-none" w:eastAsia="x-none"/>
        </w:rPr>
        <w:t>This report has demonstrated that Zero Trust Architecture provides a comprehensive approach to protecting modern organisations against evolving cyber threats. Traditional perimeter-based security approaches are no longer sufficient to protect distributed infrastructures, cloud environments, and hybrid workforces. Consequently, organisations require security strategies capable of continuously validating identities, monitoring user behaviour, and protecting critical information assets regardless of network location.</w:t>
      </w:r>
    </w:p>
    <w:p w14:paraId="565B27DD" w14:textId="77777777" w:rsidR="00E800C9" w:rsidRPr="00D6795C" w:rsidRDefault="00E800C9" w:rsidP="00E800C9">
      <w:pPr>
        <w:rPr>
          <w:spacing w:val="-1"/>
          <w:lang w:val="x-none" w:eastAsia="x-none"/>
        </w:rPr>
      </w:pPr>
    </w:p>
    <w:p w14:paraId="02153809" w14:textId="2FC4FB26" w:rsidR="00E800C9" w:rsidRPr="00D6795C" w:rsidRDefault="00E800C9" w:rsidP="00E800C9">
      <w:pPr>
        <w:rPr>
          <w:spacing w:val="-1"/>
          <w:lang w:val="x-none" w:eastAsia="x-none"/>
        </w:rPr>
      </w:pPr>
      <w:r w:rsidRPr="00D6795C">
        <w:rPr>
          <w:spacing w:val="-1"/>
          <w:lang w:val="x-none" w:eastAsia="x-none"/>
        </w:rPr>
        <w:t>This report has critically analyse</w:t>
      </w:r>
      <w:r w:rsidR="00287F4A">
        <w:rPr>
          <w:spacing w:val="-1"/>
          <w:lang w:val="x-none" w:eastAsia="x-none"/>
        </w:rPr>
        <w:t>d</w:t>
      </w:r>
      <w:r w:rsidRPr="00D6795C">
        <w:rPr>
          <w:spacing w:val="-1"/>
          <w:lang w:val="x-none" w:eastAsia="x-none"/>
        </w:rPr>
        <w:t xml:space="preserve"> the fundamental principles of Zero Trust Architecture, including continuous verification, least privilege access, micro-segmentation, continuous monitoring, and automated incident response. It has also demonstrated how these principles improve the protection of organisationa</w:t>
      </w:r>
      <w:r w:rsidR="00287F4A">
        <w:rPr>
          <w:spacing w:val="-1"/>
          <w:lang w:val="x-none" w:eastAsia="x-none"/>
        </w:rPr>
        <w:t xml:space="preserve">l </w:t>
      </w:r>
      <w:r w:rsidRPr="00D6795C">
        <w:rPr>
          <w:spacing w:val="-1"/>
          <w:lang w:val="x-none" w:eastAsia="x-none"/>
        </w:rPr>
        <w:t>information assets while reducing the opportunities available to cyber attackers. Furthermore, the report has compared Zero Trust with traditional security architectures and evaluated the organisational challenges associated with successful implementation.</w:t>
      </w:r>
    </w:p>
    <w:p w14:paraId="03135038" w14:textId="77777777" w:rsidR="00E800C9" w:rsidRPr="00D6795C" w:rsidRDefault="00E800C9" w:rsidP="00E800C9">
      <w:pPr>
        <w:rPr>
          <w:spacing w:val="-1"/>
          <w:lang w:val="x-none" w:eastAsia="x-none"/>
        </w:rPr>
      </w:pPr>
    </w:p>
    <w:p w14:paraId="16F92880" w14:textId="21AEE00C" w:rsidR="00E800C9" w:rsidRPr="00D6795C" w:rsidRDefault="00E800C9" w:rsidP="00E800C9">
      <w:pPr>
        <w:rPr>
          <w:spacing w:val="-1"/>
          <w:lang w:val="x-none" w:eastAsia="x-none"/>
        </w:rPr>
      </w:pPr>
      <w:r w:rsidRPr="00D6795C">
        <w:rPr>
          <w:spacing w:val="-1"/>
          <w:lang w:val="x-none" w:eastAsia="x-none"/>
        </w:rPr>
        <w:t>Although implementing Zero Trust requires significant investment, organisationa</w:t>
      </w:r>
      <w:r w:rsidR="00CB5299">
        <w:rPr>
          <w:spacing w:val="-1"/>
          <w:lang w:val="x-none" w:eastAsia="x-none"/>
        </w:rPr>
        <w:t>l</w:t>
      </w:r>
      <w:r w:rsidRPr="00D6795C">
        <w:rPr>
          <w:spacing w:val="-1"/>
          <w:lang w:val="x-none" w:eastAsia="x-none"/>
        </w:rPr>
        <w:t xml:space="preserve"> change, and ongoing management, the long-term benefits generally outweigh the initial costs. Organisation</w:t>
      </w:r>
      <w:r w:rsidR="00CB5299">
        <w:rPr>
          <w:spacing w:val="-1"/>
          <w:lang w:val="x-none" w:eastAsia="x-none"/>
        </w:rPr>
        <w:t>s</w:t>
      </w:r>
      <w:r w:rsidRPr="00D6795C">
        <w:rPr>
          <w:spacing w:val="-1"/>
          <w:lang w:val="x-none" w:eastAsia="x-none"/>
        </w:rPr>
        <w:t xml:space="preserve"> adopting Zero Trust are better positioned to reduce cyber risks, strengthen regulatory compliance, improve visibility across digital assets, and enhance resilience against modern cyber threats.</w:t>
      </w:r>
    </w:p>
    <w:p w14:paraId="6F936ACB" w14:textId="77777777" w:rsidR="00E800C9" w:rsidRPr="00D6795C" w:rsidRDefault="00E800C9" w:rsidP="00E800C9">
      <w:pPr>
        <w:rPr>
          <w:spacing w:val="-1"/>
          <w:lang w:val="x-none" w:eastAsia="x-none"/>
        </w:rPr>
      </w:pPr>
    </w:p>
    <w:p w14:paraId="0574DE16" w14:textId="4D5956AE" w:rsidR="00E800C9" w:rsidRDefault="00E800C9" w:rsidP="00E800C9">
      <w:pPr>
        <w:rPr>
          <w:spacing w:val="-1"/>
          <w:lang w:val="x-none" w:eastAsia="x-none"/>
        </w:rPr>
      </w:pPr>
      <w:r w:rsidRPr="00D6795C">
        <w:rPr>
          <w:spacing w:val="-1"/>
          <w:lang w:val="x-none" w:eastAsia="x-none"/>
        </w:rPr>
        <w:t>In conclusion, Zero Trust should not be viewed as a single security product but as a comprehensive organisationa</w:t>
      </w:r>
      <w:r w:rsidR="00CB5299">
        <w:rPr>
          <w:spacing w:val="-1"/>
          <w:lang w:val="x-none" w:eastAsia="x-none"/>
        </w:rPr>
        <w:t xml:space="preserve">l </w:t>
      </w:r>
      <w:r w:rsidRPr="00D6795C">
        <w:rPr>
          <w:spacing w:val="-1"/>
          <w:lang w:val="x-none" w:eastAsia="x-none"/>
        </w:rPr>
        <w:t>security strategy that combines technology, governance, risk management, and continuous improvement. As cyber threats continue to evolve, Zero Trust provides organisatio</w:t>
      </w:r>
      <w:r w:rsidR="00287F4A">
        <w:rPr>
          <w:spacing w:val="-1"/>
          <w:lang w:val="x-none" w:eastAsia="x-none"/>
        </w:rPr>
        <w:t xml:space="preserve">ns </w:t>
      </w:r>
      <w:r w:rsidRPr="00D6795C">
        <w:rPr>
          <w:spacing w:val="-1"/>
          <w:lang w:val="x-none" w:eastAsia="x-none"/>
        </w:rPr>
        <w:t>with a flexible and sustainable framework capable of supporting long-term cybersecurity resilience.</w:t>
      </w:r>
    </w:p>
    <w:p w14:paraId="75C32C5F" w14:textId="77777777" w:rsidR="00AD2AF6" w:rsidRDefault="00AD2AF6" w:rsidP="00AD2AF6">
      <w:pPr>
        <w:pStyle w:val="p1"/>
        <w:rPr>
          <w:rFonts w:ascii="Aptos" w:hAnsi="Aptos"/>
        </w:rPr>
      </w:pPr>
    </w:p>
    <w:p w14:paraId="16EF5A8C" w14:textId="6AA44D83" w:rsidR="00AD2AF6" w:rsidRPr="00012FF3" w:rsidRDefault="00AD2AF6" w:rsidP="00BF775D">
      <w:pPr>
        <w:pStyle w:val="Heading1"/>
        <w:numPr>
          <w:ilvl w:val="0"/>
          <w:numId w:val="0"/>
        </w:numPr>
        <w:ind w:firstLine="216"/>
        <w:rPr>
          <w:b/>
          <w:bCs/>
          <w:spacing w:val="-1"/>
          <w:lang w:val="x-none" w:eastAsia="x-none"/>
        </w:rPr>
      </w:pPr>
      <w:r w:rsidRPr="00012FF3">
        <w:rPr>
          <w:b/>
          <w:bCs/>
          <w:spacing w:val="-1"/>
          <w:lang w:val="x-none" w:eastAsia="x-none"/>
        </w:rPr>
        <w:t>Task 2 – Developing a Forward-Looking Cybersecurity Programme for Equifax</w:t>
      </w:r>
    </w:p>
    <w:p w14:paraId="6C282C92" w14:textId="77777777" w:rsidR="00DF6BDE" w:rsidRPr="00AD2AF6" w:rsidRDefault="00DF6BDE" w:rsidP="00E800C9">
      <w:pPr>
        <w:rPr>
          <w:spacing w:val="-1"/>
          <w:lang w:val="en-GB" w:eastAsia="x-none"/>
        </w:rPr>
      </w:pPr>
    </w:p>
    <w:p w14:paraId="77926EEE" w14:textId="5BA9CB03" w:rsidR="009303D9" w:rsidRDefault="009E36D9" w:rsidP="009E36D9">
      <w:pPr>
        <w:pStyle w:val="Heading2"/>
        <w:jc w:val="center"/>
      </w:pPr>
      <w:r>
        <w:t>Introduction</w:t>
      </w:r>
    </w:p>
    <w:p w14:paraId="35E0A5E0" w14:textId="16C5CC94" w:rsidR="009E36D9" w:rsidRPr="009E36D9" w:rsidRDefault="009E36D9" w:rsidP="009E36D9">
      <w:pPr>
        <w:pStyle w:val="p1"/>
        <w:rPr>
          <w:rFonts w:eastAsia="SimSun"/>
          <w:spacing w:val="-1"/>
          <w:sz w:val="20"/>
          <w:szCs w:val="20"/>
          <w:lang w:val="x-none" w:eastAsia="x-none"/>
        </w:rPr>
      </w:pPr>
      <w:r w:rsidRPr="009E36D9">
        <w:rPr>
          <w:rFonts w:eastAsia="SimSun"/>
          <w:spacing w:val="-1"/>
          <w:sz w:val="20"/>
          <w:szCs w:val="20"/>
          <w:lang w:val="x-none" w:eastAsia="x-none"/>
        </w:rPr>
        <w:t>The 2017 Equifax cyberattack remains one of the most significant data breaches in modern cybersecurity history, exposing the personal information of approximately 147 million individuals. The incident demonstrated how vulnerabilities in software, delayed patch management, and weak governance structures can result in severe financial, legal, and reputational consequences for organisations. Following the breach, Equifax faced regulatory penalties, legal actions, and widespread criticism regarding its cybersecurity practices [</w:t>
      </w:r>
      <w:r w:rsidR="006B56EB">
        <w:rPr>
          <w:rFonts w:eastAsia="SimSun"/>
          <w:spacing w:val="-1"/>
          <w:sz w:val="20"/>
          <w:szCs w:val="20"/>
          <w:lang w:val="x-none" w:eastAsia="x-none"/>
        </w:rPr>
        <w:t>6</w:t>
      </w:r>
      <w:r w:rsidRPr="009E36D9">
        <w:rPr>
          <w:rFonts w:eastAsia="SimSun"/>
          <w:spacing w:val="-1"/>
          <w:sz w:val="20"/>
          <w:szCs w:val="20"/>
          <w:lang w:val="x-none" w:eastAsia="x-none"/>
        </w:rPr>
        <w:t>], [</w:t>
      </w:r>
      <w:r w:rsidR="003C36CB">
        <w:rPr>
          <w:rFonts w:eastAsia="SimSun"/>
          <w:spacing w:val="-1"/>
          <w:sz w:val="20"/>
          <w:szCs w:val="20"/>
          <w:lang w:val="x-none" w:eastAsia="x-none"/>
        </w:rPr>
        <w:t>7</w:t>
      </w:r>
      <w:r w:rsidRPr="009E36D9">
        <w:rPr>
          <w:rFonts w:eastAsia="SimSun"/>
          <w:spacing w:val="-1"/>
          <w:sz w:val="20"/>
          <w:szCs w:val="20"/>
          <w:lang w:val="x-none" w:eastAsia="x-none"/>
        </w:rPr>
        <w:t>].</w:t>
      </w:r>
    </w:p>
    <w:p w14:paraId="064855D9" w14:textId="77777777" w:rsidR="009E36D9" w:rsidRPr="009E36D9" w:rsidRDefault="009E36D9" w:rsidP="009E36D9">
      <w:pPr>
        <w:pStyle w:val="p1"/>
        <w:rPr>
          <w:rFonts w:eastAsia="SimSun"/>
          <w:spacing w:val="-1"/>
          <w:sz w:val="20"/>
          <w:szCs w:val="20"/>
          <w:lang w:val="x-none" w:eastAsia="x-none"/>
        </w:rPr>
      </w:pPr>
      <w:r w:rsidRPr="009E36D9">
        <w:rPr>
          <w:rFonts w:eastAsia="SimSun"/>
          <w:spacing w:val="-1"/>
          <w:sz w:val="20"/>
          <w:szCs w:val="20"/>
          <w:lang w:val="x-none" w:eastAsia="x-none"/>
        </w:rPr>
        <w:lastRenderedPageBreak/>
        <w:t>The incident highlighted that cybersecurity should not be viewed solely as a technical responsibility but as a strategic business function requiring effective governance, continuous risk management, regulatory compliance, and rapid incident response. Modern organisations operate within increasingly complex digital environments involving cloud services, third-party suppliers, remote working, and evolving cyber threats. Consequently, organisations require comprehensive cybersecurity programmes capable of preventing, detecting, responding to, and recovering from security incidents.</w:t>
      </w:r>
    </w:p>
    <w:p w14:paraId="4494A7A0" w14:textId="52A3DE16" w:rsidR="009303D9" w:rsidRPr="002256E9" w:rsidRDefault="009E36D9" w:rsidP="002256E9">
      <w:pPr>
        <w:pStyle w:val="p2"/>
        <w:rPr>
          <w:rFonts w:eastAsia="SimSun"/>
          <w:spacing w:val="-1"/>
          <w:sz w:val="20"/>
          <w:szCs w:val="20"/>
          <w:lang w:val="x-none" w:eastAsia="x-none"/>
        </w:rPr>
      </w:pPr>
      <w:r w:rsidRPr="009E36D9">
        <w:rPr>
          <w:rFonts w:eastAsia="SimSun"/>
          <w:spacing w:val="-1"/>
          <w:sz w:val="20"/>
          <w:szCs w:val="20"/>
          <w:lang w:val="x-none" w:eastAsia="x-none"/>
        </w:rPr>
        <w:t>This report develops a forward-looking cybersecurity programme for Equifax based on recognised security frameworks and best practices. It proposes improvements in governance, organisational policies, risk management, compliance, incident response, and technical security controls to strengthen organisational resilience and reduce the likelihood of future cyber incidents.</w:t>
      </w:r>
    </w:p>
    <w:p w14:paraId="125A4112" w14:textId="77777777" w:rsidR="004C0E4C" w:rsidRPr="002256E9" w:rsidRDefault="004C0E4C" w:rsidP="002256E9">
      <w:pPr>
        <w:pStyle w:val="Heading2"/>
        <w:jc w:val="center"/>
      </w:pPr>
      <w:r>
        <w:t>Governance Structure</w:t>
      </w:r>
    </w:p>
    <w:p w14:paraId="2B7F1A65" w14:textId="06F34BA6" w:rsidR="004C0E4C" w:rsidRPr="002256E9" w:rsidRDefault="004C0E4C" w:rsidP="004C0E4C">
      <w:pPr>
        <w:pStyle w:val="p1"/>
        <w:rPr>
          <w:rFonts w:eastAsia="SimSun"/>
          <w:spacing w:val="-1"/>
          <w:sz w:val="20"/>
          <w:szCs w:val="20"/>
          <w:lang w:val="x-none" w:eastAsia="x-none"/>
        </w:rPr>
      </w:pPr>
      <w:r w:rsidRPr="002256E9">
        <w:rPr>
          <w:rFonts w:eastAsia="SimSun"/>
          <w:spacing w:val="-1"/>
          <w:sz w:val="20"/>
          <w:szCs w:val="20"/>
          <w:lang w:val="x-none" w:eastAsia="x-none"/>
        </w:rPr>
        <w:t>Effective cybersecurity governance is essential for ensuring that information security supports organisational objectives and reduces cyber risk. Following the Equifax data breach, it became evident that cybersecurity must be treated as a strategic business responsibility rather than solely an IT function. A clear governance structure enables accountability, improves decision-making, and ensures that security risks are managed at every organisational level [</w:t>
      </w:r>
      <w:r w:rsidR="005F43D8">
        <w:rPr>
          <w:rFonts w:eastAsia="SimSun"/>
          <w:spacing w:val="-1"/>
          <w:sz w:val="20"/>
          <w:szCs w:val="20"/>
          <w:lang w:val="x-none" w:eastAsia="x-none"/>
        </w:rPr>
        <w:t>6</w:t>
      </w:r>
      <w:r w:rsidRPr="002256E9">
        <w:rPr>
          <w:rFonts w:eastAsia="SimSun"/>
          <w:spacing w:val="-1"/>
          <w:sz w:val="20"/>
          <w:szCs w:val="20"/>
          <w:lang w:val="x-none" w:eastAsia="x-none"/>
        </w:rPr>
        <w:t>].</w:t>
      </w:r>
    </w:p>
    <w:p w14:paraId="462459C6" w14:textId="77777777" w:rsidR="004C0E4C" w:rsidRPr="002256E9" w:rsidRDefault="004C0E4C" w:rsidP="004C0E4C">
      <w:pPr>
        <w:pStyle w:val="p1"/>
        <w:rPr>
          <w:rFonts w:eastAsia="SimSun"/>
          <w:spacing w:val="-1"/>
          <w:sz w:val="20"/>
          <w:szCs w:val="20"/>
          <w:lang w:val="x-none" w:eastAsia="x-none"/>
        </w:rPr>
      </w:pPr>
      <w:r w:rsidRPr="002256E9">
        <w:rPr>
          <w:rFonts w:eastAsia="SimSun"/>
          <w:spacing w:val="-1"/>
          <w:sz w:val="20"/>
          <w:szCs w:val="20"/>
          <w:lang w:val="x-none" w:eastAsia="x-none"/>
        </w:rPr>
        <w:t>The Board of Directors should provide strategic oversight of cybersecurity by approving security policies, allocating sufficient resources, and reviewing organisational cyber risks on a regular basis. Executive management should ensure that cybersecurity objectives are integrated into overall business strategy and supported across all departments.</w:t>
      </w:r>
    </w:p>
    <w:p w14:paraId="7B94ECE6" w14:textId="77777777" w:rsidR="004C0E4C" w:rsidRPr="002256E9" w:rsidRDefault="004C0E4C" w:rsidP="004C0E4C">
      <w:pPr>
        <w:pStyle w:val="p1"/>
        <w:rPr>
          <w:rFonts w:eastAsia="SimSun"/>
          <w:spacing w:val="-1"/>
          <w:sz w:val="20"/>
          <w:szCs w:val="20"/>
          <w:lang w:val="x-none" w:eastAsia="x-none"/>
        </w:rPr>
      </w:pPr>
      <w:r w:rsidRPr="002256E9">
        <w:rPr>
          <w:rFonts w:eastAsia="SimSun"/>
          <w:spacing w:val="-1"/>
          <w:sz w:val="20"/>
          <w:szCs w:val="20"/>
          <w:lang w:val="x-none" w:eastAsia="x-none"/>
        </w:rPr>
        <w:t>The Chief Information Security Officer (CISO) should lead the organisation’s cybersecurity programme and report directly to senior management. Responsibilities include developing security strategies, managing cyber risks, ensuring regulatory compliance, overseeing security operations, and coordinating incident response activities. The CISO should also communicate security performance through regular reports and key performance indicators.</w:t>
      </w:r>
    </w:p>
    <w:p w14:paraId="70740CA3" w14:textId="37FF75EA" w:rsidR="00923129" w:rsidRPr="002256E9" w:rsidRDefault="004C0E4C" w:rsidP="004C0E4C">
      <w:pPr>
        <w:pStyle w:val="p2"/>
        <w:rPr>
          <w:rFonts w:eastAsia="SimSun"/>
          <w:spacing w:val="-1"/>
          <w:sz w:val="20"/>
          <w:szCs w:val="20"/>
          <w:lang w:val="x-none" w:eastAsia="x-none"/>
        </w:rPr>
      </w:pPr>
      <w:r w:rsidRPr="002256E9">
        <w:rPr>
          <w:rFonts w:eastAsia="SimSun"/>
          <w:spacing w:val="-1"/>
          <w:sz w:val="20"/>
          <w:szCs w:val="20"/>
          <w:lang w:val="x-none" w:eastAsia="x-none"/>
        </w:rPr>
        <w:t>Operational responsibilities should be distributed across dedicated security teams, including Security Operations Centre (SOC) analysts, risk management specialists, compliance officers, IT administrators, and business unit representatives. Regular governance meetings, internal audits, security awareness programmes, and continuous performance monitoring should ensure accountability and continuous improvement throughout the organisation.</w:t>
      </w:r>
    </w:p>
    <w:p w14:paraId="7F910148" w14:textId="5F64D95A" w:rsidR="004C0E4C" w:rsidRPr="002256E9" w:rsidRDefault="004C0E4C" w:rsidP="004C0E4C">
      <w:pPr>
        <w:rPr>
          <w:spacing w:val="-1"/>
          <w:lang w:val="x-none" w:eastAsia="x-none"/>
        </w:rPr>
      </w:pPr>
      <w:r w:rsidRPr="002256E9">
        <w:rPr>
          <w:spacing w:val="-1"/>
          <w:lang w:val="x-none" w:eastAsia="x-none"/>
        </w:rPr>
        <w:t xml:space="preserve"> </w:t>
      </w:r>
    </w:p>
    <w:p w14:paraId="74C96F8D" w14:textId="77777777" w:rsidR="00923129" w:rsidRDefault="004C0E4C" w:rsidP="004C0E4C">
      <w:pPr>
        <w:rPr>
          <w:spacing w:val="-1"/>
          <w:lang w:val="x-none" w:eastAsia="x-none"/>
        </w:rPr>
      </w:pPr>
      <w:r w:rsidRPr="002256E9">
        <w:rPr>
          <w:spacing w:val="-1"/>
          <w:lang w:val="x-none" w:eastAsia="x-none"/>
        </w:rPr>
        <w:t xml:space="preserve">             </w:t>
      </w:r>
    </w:p>
    <w:p w14:paraId="41C9483E" w14:textId="77777777" w:rsidR="00923129" w:rsidRDefault="00923129" w:rsidP="004C0E4C">
      <w:pPr>
        <w:rPr>
          <w:spacing w:val="-1"/>
          <w:lang w:val="x-none" w:eastAsia="x-none"/>
        </w:rPr>
      </w:pPr>
    </w:p>
    <w:p w14:paraId="3259785C" w14:textId="77777777" w:rsidR="00923129" w:rsidRDefault="00923129" w:rsidP="004C0E4C">
      <w:pPr>
        <w:rPr>
          <w:spacing w:val="-1"/>
          <w:lang w:val="x-none" w:eastAsia="x-none"/>
        </w:rPr>
      </w:pPr>
    </w:p>
    <w:p w14:paraId="01F6373F" w14:textId="77777777" w:rsidR="00923129" w:rsidRDefault="00923129" w:rsidP="004C0E4C">
      <w:pPr>
        <w:rPr>
          <w:spacing w:val="-1"/>
          <w:lang w:val="x-none" w:eastAsia="x-none"/>
        </w:rPr>
      </w:pPr>
    </w:p>
    <w:p w14:paraId="13D79691" w14:textId="77777777" w:rsidR="00923129" w:rsidRDefault="00923129" w:rsidP="004C0E4C">
      <w:pPr>
        <w:rPr>
          <w:spacing w:val="-1"/>
          <w:lang w:val="x-none" w:eastAsia="x-none"/>
        </w:rPr>
      </w:pPr>
    </w:p>
    <w:p w14:paraId="3E861C54" w14:textId="77777777" w:rsidR="00923129" w:rsidRDefault="00923129" w:rsidP="004C0E4C">
      <w:pPr>
        <w:rPr>
          <w:spacing w:val="-1"/>
          <w:lang w:val="x-none" w:eastAsia="x-none"/>
        </w:rPr>
      </w:pPr>
    </w:p>
    <w:p w14:paraId="30FDAC02" w14:textId="77777777" w:rsidR="00923129" w:rsidRDefault="00923129" w:rsidP="004C0E4C">
      <w:pPr>
        <w:rPr>
          <w:spacing w:val="-1"/>
          <w:lang w:val="x-none" w:eastAsia="x-none"/>
        </w:rPr>
      </w:pPr>
    </w:p>
    <w:p w14:paraId="73905F0C" w14:textId="77777777" w:rsidR="00923129" w:rsidRDefault="00923129" w:rsidP="004C0E4C">
      <w:pPr>
        <w:rPr>
          <w:spacing w:val="-1"/>
          <w:lang w:val="x-none" w:eastAsia="x-none"/>
        </w:rPr>
      </w:pPr>
    </w:p>
    <w:p w14:paraId="78EB1479" w14:textId="0EBC9442" w:rsidR="004C0E4C" w:rsidRPr="002256E9" w:rsidRDefault="004C0E4C" w:rsidP="004C0E4C">
      <w:pPr>
        <w:rPr>
          <w:spacing w:val="-1"/>
          <w:lang w:val="x-none" w:eastAsia="x-none"/>
        </w:rPr>
      </w:pPr>
      <w:r w:rsidRPr="002256E9">
        <w:rPr>
          <w:spacing w:val="-1"/>
          <w:lang w:val="x-none" w:eastAsia="x-none"/>
        </w:rPr>
        <w:t xml:space="preserve">       Board of Directors</w:t>
      </w:r>
    </w:p>
    <w:p w14:paraId="6D7D66C2" w14:textId="77777777" w:rsidR="004C0E4C" w:rsidRPr="002256E9" w:rsidRDefault="004C0E4C" w:rsidP="004C0E4C">
      <w:pPr>
        <w:rPr>
          <w:spacing w:val="-1"/>
          <w:lang w:val="x-none" w:eastAsia="x-none"/>
        </w:rPr>
      </w:pPr>
      <w:r w:rsidRPr="002256E9">
        <w:rPr>
          <w:rFonts w:hint="eastAsia"/>
          <w:spacing w:val="-1"/>
          <w:lang w:val="x-none" w:eastAsia="x-none"/>
        </w:rPr>
        <w:t xml:space="preserve">                         </w:t>
      </w:r>
      <w:r w:rsidRPr="002256E9">
        <w:rPr>
          <w:rFonts w:hint="eastAsia"/>
          <w:spacing w:val="-1"/>
          <w:lang w:val="x-none" w:eastAsia="x-none"/>
        </w:rPr>
        <w:t>│</w:t>
      </w:r>
    </w:p>
    <w:p w14:paraId="7EDC039A" w14:textId="77777777" w:rsidR="004C0E4C" w:rsidRPr="002256E9" w:rsidRDefault="004C0E4C" w:rsidP="004C0E4C">
      <w:pPr>
        <w:rPr>
          <w:spacing w:val="-1"/>
          <w:lang w:val="x-none" w:eastAsia="x-none"/>
        </w:rPr>
      </w:pPr>
      <w:r w:rsidRPr="002256E9">
        <w:rPr>
          <w:rFonts w:hint="eastAsia"/>
          <w:spacing w:val="-1"/>
          <w:lang w:val="x-none" w:eastAsia="x-none"/>
        </w:rPr>
        <w:t xml:space="preserve">                         </w:t>
      </w:r>
      <w:r w:rsidRPr="002256E9">
        <w:rPr>
          <w:rFonts w:hint="eastAsia"/>
          <w:spacing w:val="-1"/>
          <w:lang w:val="x-none" w:eastAsia="x-none"/>
        </w:rPr>
        <w:t>▼</w:t>
      </w:r>
    </w:p>
    <w:p w14:paraId="59833723" w14:textId="77777777" w:rsidR="004C0E4C" w:rsidRPr="002256E9" w:rsidRDefault="004C0E4C" w:rsidP="004C0E4C">
      <w:pPr>
        <w:rPr>
          <w:spacing w:val="-1"/>
          <w:lang w:val="x-none" w:eastAsia="x-none"/>
        </w:rPr>
      </w:pPr>
      <w:r w:rsidRPr="002256E9">
        <w:rPr>
          <w:spacing w:val="-1"/>
          <w:lang w:val="x-none" w:eastAsia="x-none"/>
        </w:rPr>
        <w:t xml:space="preserve">                        CEO</w:t>
      </w:r>
    </w:p>
    <w:p w14:paraId="19E70DDD" w14:textId="77777777" w:rsidR="004C0E4C" w:rsidRPr="002256E9" w:rsidRDefault="004C0E4C" w:rsidP="004C0E4C">
      <w:pPr>
        <w:rPr>
          <w:spacing w:val="-1"/>
          <w:lang w:val="x-none" w:eastAsia="x-none"/>
        </w:rPr>
      </w:pPr>
      <w:r w:rsidRPr="002256E9">
        <w:rPr>
          <w:rFonts w:hint="eastAsia"/>
          <w:spacing w:val="-1"/>
          <w:lang w:val="x-none" w:eastAsia="x-none"/>
        </w:rPr>
        <w:t xml:space="preserve">                         </w:t>
      </w:r>
      <w:r w:rsidRPr="002256E9">
        <w:rPr>
          <w:rFonts w:hint="eastAsia"/>
          <w:spacing w:val="-1"/>
          <w:lang w:val="x-none" w:eastAsia="x-none"/>
        </w:rPr>
        <w:t>│</w:t>
      </w:r>
    </w:p>
    <w:p w14:paraId="500B8A16" w14:textId="77777777" w:rsidR="004C0E4C" w:rsidRPr="002256E9" w:rsidRDefault="004C0E4C" w:rsidP="004C0E4C">
      <w:pPr>
        <w:rPr>
          <w:spacing w:val="-1"/>
          <w:lang w:val="x-none" w:eastAsia="x-none"/>
        </w:rPr>
      </w:pPr>
      <w:r w:rsidRPr="002256E9">
        <w:rPr>
          <w:rFonts w:hint="eastAsia"/>
          <w:spacing w:val="-1"/>
          <w:lang w:val="x-none" w:eastAsia="x-none"/>
        </w:rPr>
        <w:t xml:space="preserve">                         </w:t>
      </w:r>
      <w:r w:rsidRPr="002256E9">
        <w:rPr>
          <w:rFonts w:hint="eastAsia"/>
          <w:spacing w:val="-1"/>
          <w:lang w:val="x-none" w:eastAsia="x-none"/>
        </w:rPr>
        <w:t>▼</w:t>
      </w:r>
    </w:p>
    <w:p w14:paraId="65BD4DAC" w14:textId="77777777" w:rsidR="004C0E4C" w:rsidRPr="002256E9" w:rsidRDefault="004C0E4C" w:rsidP="004C0E4C">
      <w:pPr>
        <w:rPr>
          <w:spacing w:val="-1"/>
          <w:lang w:val="x-none" w:eastAsia="x-none"/>
        </w:rPr>
      </w:pPr>
      <w:r w:rsidRPr="002256E9">
        <w:rPr>
          <w:spacing w:val="-1"/>
          <w:lang w:val="x-none" w:eastAsia="x-none"/>
        </w:rPr>
        <w:t xml:space="preserve">                       CISO</w:t>
      </w:r>
    </w:p>
    <w:p w14:paraId="2A59BDF7" w14:textId="77777777" w:rsidR="004C0E4C" w:rsidRPr="002256E9" w:rsidRDefault="004C0E4C" w:rsidP="004C0E4C">
      <w:pPr>
        <w:rPr>
          <w:spacing w:val="-1"/>
          <w:lang w:val="x-none" w:eastAsia="x-none"/>
        </w:rPr>
      </w:pPr>
      <w:r w:rsidRPr="002256E9">
        <w:rPr>
          <w:rFonts w:hint="eastAsia"/>
          <w:spacing w:val="-1"/>
          <w:lang w:val="x-none" w:eastAsia="x-none"/>
        </w:rPr>
        <w:t xml:space="preserve">                         </w:t>
      </w:r>
      <w:r w:rsidRPr="002256E9">
        <w:rPr>
          <w:rFonts w:hint="eastAsia"/>
          <w:spacing w:val="-1"/>
          <w:lang w:val="x-none" w:eastAsia="x-none"/>
        </w:rPr>
        <w:t>│</w:t>
      </w:r>
    </w:p>
    <w:p w14:paraId="4FD97795" w14:textId="77777777" w:rsidR="004C0E4C" w:rsidRPr="002256E9" w:rsidRDefault="004C0E4C" w:rsidP="004C0E4C">
      <w:pPr>
        <w:rPr>
          <w:spacing w:val="-1"/>
          <w:lang w:val="x-none" w:eastAsia="x-none"/>
        </w:rPr>
      </w:pPr>
      <w:r w:rsidRPr="002256E9">
        <w:rPr>
          <w:rFonts w:hint="eastAsia"/>
          <w:spacing w:val="-1"/>
          <w:lang w:val="x-none" w:eastAsia="x-none"/>
        </w:rPr>
        <w:t>┌─────────┬───────────┬────────────┐</w:t>
      </w:r>
    </w:p>
    <w:p w14:paraId="64CD7A93" w14:textId="77777777" w:rsidR="004C0E4C" w:rsidRPr="002256E9" w:rsidRDefault="004C0E4C" w:rsidP="004C0E4C">
      <w:pPr>
        <w:rPr>
          <w:spacing w:val="-1"/>
          <w:lang w:val="x-none" w:eastAsia="x-none"/>
        </w:rPr>
      </w:pPr>
      <w:r w:rsidRPr="002256E9">
        <w:rPr>
          <w:rFonts w:hint="eastAsia"/>
          <w:spacing w:val="-1"/>
          <w:lang w:val="x-none" w:eastAsia="x-none"/>
        </w:rPr>
        <w:t xml:space="preserve"> </w:t>
      </w:r>
      <w:r w:rsidRPr="002256E9">
        <w:rPr>
          <w:rFonts w:hint="eastAsia"/>
          <w:spacing w:val="-1"/>
          <w:lang w:val="x-none" w:eastAsia="x-none"/>
        </w:rPr>
        <w:t>▼</w:t>
      </w:r>
      <w:r w:rsidRPr="002256E9">
        <w:rPr>
          <w:rFonts w:hint="eastAsia"/>
          <w:spacing w:val="-1"/>
          <w:lang w:val="x-none" w:eastAsia="x-none"/>
        </w:rPr>
        <w:t xml:space="preserve">        </w:t>
      </w:r>
      <w:r w:rsidRPr="002256E9">
        <w:rPr>
          <w:spacing w:val="-1"/>
          <w:lang w:val="x-none" w:eastAsia="x-none"/>
        </w:rPr>
        <w:t xml:space="preserve">                             </w:t>
      </w:r>
      <w:r w:rsidRPr="002256E9">
        <w:rPr>
          <w:rFonts w:hint="eastAsia"/>
          <w:spacing w:val="-1"/>
          <w:lang w:val="x-none" w:eastAsia="x-none"/>
        </w:rPr>
        <w:t xml:space="preserve"> </w:t>
      </w:r>
      <w:r w:rsidRPr="002256E9">
        <w:rPr>
          <w:spacing w:val="-1"/>
          <w:lang w:val="x-none" w:eastAsia="x-none"/>
        </w:rPr>
        <w:t xml:space="preserve">    </w:t>
      </w:r>
      <w:r w:rsidRPr="002256E9">
        <w:rPr>
          <w:rFonts w:hint="eastAsia"/>
          <w:spacing w:val="-1"/>
          <w:lang w:val="x-none" w:eastAsia="x-none"/>
        </w:rPr>
        <w:t xml:space="preserve"> </w:t>
      </w:r>
      <w:r w:rsidRPr="002256E9">
        <w:rPr>
          <w:rFonts w:hint="eastAsia"/>
          <w:spacing w:val="-1"/>
          <w:lang w:val="x-none" w:eastAsia="x-none"/>
        </w:rPr>
        <w:t>▼</w:t>
      </w:r>
      <w:r w:rsidRPr="002256E9">
        <w:rPr>
          <w:rFonts w:hint="eastAsia"/>
          <w:spacing w:val="-1"/>
          <w:lang w:val="x-none" w:eastAsia="x-none"/>
        </w:rPr>
        <w:t xml:space="preserve">          </w:t>
      </w:r>
      <w:r w:rsidRPr="002256E9">
        <w:rPr>
          <w:spacing w:val="-1"/>
          <w:lang w:val="x-none" w:eastAsia="x-none"/>
        </w:rPr>
        <w:t xml:space="preserve">                                           </w:t>
      </w:r>
      <w:r w:rsidRPr="002256E9">
        <w:rPr>
          <w:rFonts w:hint="eastAsia"/>
          <w:spacing w:val="-1"/>
          <w:lang w:val="x-none" w:eastAsia="x-none"/>
        </w:rPr>
        <w:t xml:space="preserve"> </w:t>
      </w:r>
      <w:r w:rsidRPr="002256E9">
        <w:rPr>
          <w:rFonts w:hint="eastAsia"/>
          <w:spacing w:val="-1"/>
          <w:lang w:val="x-none" w:eastAsia="x-none"/>
        </w:rPr>
        <w:t>▼</w:t>
      </w:r>
      <w:r w:rsidRPr="002256E9">
        <w:rPr>
          <w:rFonts w:hint="eastAsia"/>
          <w:spacing w:val="-1"/>
          <w:lang w:val="x-none" w:eastAsia="x-none"/>
        </w:rPr>
        <w:t xml:space="preserve"> </w:t>
      </w:r>
      <w:r w:rsidRPr="002256E9">
        <w:rPr>
          <w:spacing w:val="-1"/>
          <w:lang w:val="x-none" w:eastAsia="x-none"/>
        </w:rPr>
        <w:t xml:space="preserve">                                              </w:t>
      </w:r>
      <w:r w:rsidRPr="002256E9">
        <w:rPr>
          <w:rFonts w:hint="eastAsia"/>
          <w:spacing w:val="-1"/>
          <w:lang w:val="x-none" w:eastAsia="x-none"/>
        </w:rPr>
        <w:t xml:space="preserve">            </w:t>
      </w:r>
      <w:r w:rsidRPr="002256E9">
        <w:rPr>
          <w:rFonts w:hint="eastAsia"/>
          <w:spacing w:val="-1"/>
          <w:lang w:val="x-none" w:eastAsia="x-none"/>
        </w:rPr>
        <w:t>▼</w:t>
      </w:r>
      <w:r w:rsidRPr="002256E9">
        <w:rPr>
          <w:spacing w:val="-1"/>
          <w:lang w:val="x-none" w:eastAsia="x-none"/>
        </w:rPr>
        <w:t>Security                            Risk                                         Compliance                                                  IT Operations              Management                                       Team                                      Administration</w:t>
      </w:r>
    </w:p>
    <w:p w14:paraId="39E44560" w14:textId="77777777" w:rsidR="004C0E4C" w:rsidRPr="002256E9" w:rsidRDefault="004C0E4C" w:rsidP="004C0E4C">
      <w:pPr>
        <w:rPr>
          <w:spacing w:val="-1"/>
          <w:lang w:val="x-none" w:eastAsia="x-none"/>
        </w:rPr>
      </w:pPr>
      <w:r w:rsidRPr="002256E9">
        <w:rPr>
          <w:rFonts w:hint="eastAsia"/>
          <w:spacing w:val="-1"/>
          <w:lang w:val="x-none" w:eastAsia="x-none"/>
        </w:rPr>
        <w:t xml:space="preserve">     </w:t>
      </w:r>
      <w:r w:rsidRPr="002256E9">
        <w:rPr>
          <w:rFonts w:hint="eastAsia"/>
          <w:spacing w:val="-1"/>
          <w:lang w:val="x-none" w:eastAsia="x-none"/>
        </w:rPr>
        <w:t>│</w:t>
      </w:r>
    </w:p>
    <w:p w14:paraId="054643E7" w14:textId="77777777" w:rsidR="004C0E4C" w:rsidRPr="002256E9" w:rsidRDefault="004C0E4C" w:rsidP="004C0E4C">
      <w:pPr>
        <w:rPr>
          <w:spacing w:val="-1"/>
          <w:lang w:val="x-none" w:eastAsia="x-none"/>
        </w:rPr>
      </w:pPr>
      <w:r w:rsidRPr="002256E9">
        <w:rPr>
          <w:rFonts w:hint="eastAsia"/>
          <w:spacing w:val="-1"/>
          <w:lang w:val="x-none" w:eastAsia="x-none"/>
        </w:rPr>
        <w:t xml:space="preserve">     </w:t>
      </w:r>
      <w:r w:rsidRPr="002256E9">
        <w:rPr>
          <w:rFonts w:hint="eastAsia"/>
          <w:spacing w:val="-1"/>
          <w:lang w:val="x-none" w:eastAsia="x-none"/>
        </w:rPr>
        <w:t>▼</w:t>
      </w:r>
    </w:p>
    <w:p w14:paraId="73A7A817" w14:textId="77777777" w:rsidR="004C0E4C" w:rsidRPr="002256E9" w:rsidRDefault="004C0E4C" w:rsidP="004C0E4C">
      <w:pPr>
        <w:rPr>
          <w:spacing w:val="-1"/>
          <w:lang w:val="x-none" w:eastAsia="x-none"/>
        </w:rPr>
      </w:pPr>
      <w:r w:rsidRPr="002256E9">
        <w:rPr>
          <w:spacing w:val="-1"/>
          <w:lang w:val="x-none" w:eastAsia="x-none"/>
        </w:rPr>
        <w:t xml:space="preserve"> Employees and Users</w:t>
      </w:r>
    </w:p>
    <w:p w14:paraId="598D5D44" w14:textId="77777777" w:rsidR="004C0E4C" w:rsidRPr="002256E9" w:rsidRDefault="004C0E4C" w:rsidP="004C0E4C">
      <w:pPr>
        <w:rPr>
          <w:spacing w:val="-1"/>
          <w:lang w:val="x-none" w:eastAsia="x-none"/>
        </w:rPr>
      </w:pPr>
    </w:p>
    <w:p w14:paraId="52ED4261" w14:textId="3595075D" w:rsidR="00A400D3" w:rsidRPr="002256E9" w:rsidRDefault="004C0E4C" w:rsidP="004C0E4C">
      <w:pPr>
        <w:pStyle w:val="p1"/>
        <w:rPr>
          <w:rFonts w:eastAsia="SimSun"/>
          <w:spacing w:val="-1"/>
          <w:sz w:val="20"/>
          <w:szCs w:val="20"/>
          <w:lang w:val="x-none" w:eastAsia="x-none"/>
        </w:rPr>
      </w:pPr>
      <w:r w:rsidRPr="002256E9">
        <w:rPr>
          <w:rFonts w:eastAsia="SimSun"/>
          <w:spacing w:val="-1"/>
          <w:sz w:val="20"/>
          <w:szCs w:val="20"/>
          <w:lang w:val="x-none" w:eastAsia="x-none"/>
        </w:rPr>
        <w:t>Figure 1. Proposed Cybersecurity Governance Structure for Equifax</w:t>
      </w:r>
    </w:p>
    <w:p w14:paraId="695306A2" w14:textId="4127F98C" w:rsidR="00FD60EC" w:rsidRDefault="00FD60EC" w:rsidP="00FD60EC">
      <w:pPr>
        <w:pStyle w:val="Heading2"/>
        <w:jc w:val="center"/>
      </w:pPr>
      <w:r>
        <w:t>Security Policies</w:t>
      </w:r>
    </w:p>
    <w:p w14:paraId="31327009" w14:textId="37D3400F" w:rsidR="00FD60EC" w:rsidRPr="00FD60EC" w:rsidRDefault="00FD60EC" w:rsidP="00FD60EC">
      <w:pPr>
        <w:pStyle w:val="p1"/>
        <w:rPr>
          <w:rFonts w:eastAsia="SimSun"/>
          <w:spacing w:val="-1"/>
          <w:sz w:val="20"/>
          <w:szCs w:val="20"/>
          <w:lang w:val="x-none" w:eastAsia="x-none"/>
        </w:rPr>
      </w:pPr>
      <w:r w:rsidRPr="00FD60EC">
        <w:rPr>
          <w:rFonts w:eastAsia="SimSun"/>
          <w:spacing w:val="-1"/>
          <w:sz w:val="20"/>
          <w:szCs w:val="20"/>
          <w:lang w:val="x-none" w:eastAsia="x-none"/>
        </w:rPr>
        <w:t>Effective security policies provide the foundation for protecting organisational information assets and ensuring consistent cybersecurity practices across all departments. Following the Equifax breach, it became clear that security policies must be regularly reviewed, enforced, and aligned with recognised cybersecurity standards [</w:t>
      </w:r>
      <w:r w:rsidR="00B84C90">
        <w:rPr>
          <w:rFonts w:eastAsia="SimSun"/>
          <w:spacing w:val="-1"/>
          <w:sz w:val="20"/>
          <w:szCs w:val="20"/>
          <w:lang w:val="x-none" w:eastAsia="x-none"/>
        </w:rPr>
        <w:t>6</w:t>
      </w:r>
      <w:r w:rsidRPr="00FD60EC">
        <w:rPr>
          <w:rFonts w:eastAsia="SimSun"/>
          <w:spacing w:val="-1"/>
          <w:sz w:val="20"/>
          <w:szCs w:val="20"/>
          <w:lang w:val="x-none" w:eastAsia="x-none"/>
        </w:rPr>
        <w:t>].</w:t>
      </w:r>
    </w:p>
    <w:p w14:paraId="75E21430" w14:textId="12D1CB7D" w:rsidR="00FD60EC" w:rsidRPr="00FD60EC" w:rsidRDefault="00FD60EC" w:rsidP="00FD60EC">
      <w:pPr>
        <w:pStyle w:val="p1"/>
        <w:rPr>
          <w:rFonts w:eastAsia="SimSun"/>
          <w:spacing w:val="-1"/>
          <w:sz w:val="20"/>
          <w:szCs w:val="20"/>
          <w:lang w:val="x-none" w:eastAsia="x-none"/>
        </w:rPr>
      </w:pPr>
      <w:r w:rsidRPr="00FD60EC">
        <w:rPr>
          <w:rFonts w:eastAsia="SimSun"/>
          <w:spacing w:val="-1"/>
          <w:sz w:val="20"/>
          <w:szCs w:val="20"/>
          <w:lang w:val="x-none" w:eastAsia="x-none"/>
        </w:rPr>
        <w:t>The organisation should establish a comprehensive Information Security Policy defining security responsibilities, acceptable use of information systems, data classification requirements, password standards, and access control procedures. Multi-Factor Authentication (MFA) should be mandatory for all employees accessing sensitive information, while the principle of least privilege should ensure users receive only the permissions necessary to perform their job functions [</w:t>
      </w:r>
      <w:r w:rsidR="007F4F38">
        <w:rPr>
          <w:rFonts w:eastAsia="SimSun"/>
          <w:spacing w:val="-1"/>
          <w:sz w:val="20"/>
          <w:szCs w:val="20"/>
          <w:lang w:val="x-none" w:eastAsia="x-none"/>
        </w:rPr>
        <w:t>8</w:t>
      </w:r>
      <w:r w:rsidRPr="00FD60EC">
        <w:rPr>
          <w:rFonts w:eastAsia="SimSun"/>
          <w:spacing w:val="-1"/>
          <w:sz w:val="20"/>
          <w:szCs w:val="20"/>
          <w:lang w:val="x-none" w:eastAsia="x-none"/>
        </w:rPr>
        <w:t>], [</w:t>
      </w:r>
      <w:r w:rsidR="007F4F38">
        <w:rPr>
          <w:rFonts w:eastAsia="SimSun"/>
          <w:spacing w:val="-1"/>
          <w:sz w:val="20"/>
          <w:szCs w:val="20"/>
          <w:lang w:val="x-none" w:eastAsia="x-none"/>
        </w:rPr>
        <w:t>9</w:t>
      </w:r>
      <w:r w:rsidRPr="00FD60EC">
        <w:rPr>
          <w:rFonts w:eastAsia="SimSun"/>
          <w:spacing w:val="-1"/>
          <w:sz w:val="20"/>
          <w:szCs w:val="20"/>
          <w:lang w:val="x-none" w:eastAsia="x-none"/>
        </w:rPr>
        <w:t>].</w:t>
      </w:r>
    </w:p>
    <w:p w14:paraId="4FBF0345" w14:textId="63AC34CF" w:rsidR="008E318E" w:rsidRDefault="00FD60EC" w:rsidP="00FD60EC">
      <w:pPr>
        <w:pStyle w:val="p1"/>
        <w:rPr>
          <w:rFonts w:eastAsia="SimSun"/>
          <w:spacing w:val="-1"/>
          <w:sz w:val="20"/>
          <w:szCs w:val="20"/>
          <w:lang w:val="x-none" w:eastAsia="x-none"/>
        </w:rPr>
      </w:pPr>
      <w:r w:rsidRPr="00FD60EC">
        <w:rPr>
          <w:rFonts w:eastAsia="SimSun"/>
          <w:spacing w:val="-1"/>
          <w:sz w:val="20"/>
          <w:szCs w:val="20"/>
          <w:lang w:val="x-none" w:eastAsia="x-none"/>
        </w:rPr>
        <w:t>Patch Management Policies should require security updates to be applied promptly after vulnerabilities are identified. Regular vulnerability scanning and penetration testing should verify that systems remain protected against emerging threats. Secure software development practices should also be implemented to reduce vulnerabilities throughout the software lifecycle [</w:t>
      </w:r>
      <w:r w:rsidR="00120026">
        <w:rPr>
          <w:rFonts w:eastAsia="SimSun"/>
          <w:spacing w:val="-1"/>
          <w:sz w:val="20"/>
          <w:szCs w:val="20"/>
          <w:lang w:val="x-none" w:eastAsia="x-none"/>
        </w:rPr>
        <w:t>6</w:t>
      </w:r>
      <w:r w:rsidRPr="00FD60EC">
        <w:rPr>
          <w:rFonts w:eastAsia="SimSun"/>
          <w:spacing w:val="-1"/>
          <w:sz w:val="20"/>
          <w:szCs w:val="20"/>
          <w:lang w:val="x-none" w:eastAsia="x-none"/>
        </w:rPr>
        <w:t>], [</w:t>
      </w:r>
      <w:r w:rsidR="00120026">
        <w:rPr>
          <w:rFonts w:eastAsia="SimSun"/>
          <w:spacing w:val="-1"/>
          <w:sz w:val="20"/>
          <w:szCs w:val="20"/>
          <w:lang w:val="x-none" w:eastAsia="x-none"/>
        </w:rPr>
        <w:t>10</w:t>
      </w:r>
      <w:r w:rsidRPr="00FD60EC">
        <w:rPr>
          <w:rFonts w:eastAsia="SimSun"/>
          <w:spacing w:val="-1"/>
          <w:sz w:val="20"/>
          <w:szCs w:val="20"/>
          <w:lang w:val="x-none" w:eastAsia="x-none"/>
        </w:rPr>
        <w:t>].</w:t>
      </w:r>
    </w:p>
    <w:p w14:paraId="5446237B" w14:textId="020EBB30" w:rsidR="00FD60EC" w:rsidRPr="00FD60EC" w:rsidRDefault="00FD60EC" w:rsidP="00FD60EC">
      <w:pPr>
        <w:pStyle w:val="p1"/>
        <w:rPr>
          <w:rFonts w:eastAsia="SimSun"/>
          <w:spacing w:val="-1"/>
          <w:sz w:val="20"/>
          <w:szCs w:val="20"/>
          <w:lang w:val="x-none" w:eastAsia="x-none"/>
        </w:rPr>
      </w:pPr>
      <w:r w:rsidRPr="00FD60EC">
        <w:rPr>
          <w:rFonts w:eastAsia="SimSun"/>
          <w:spacing w:val="-1"/>
          <w:sz w:val="20"/>
          <w:szCs w:val="20"/>
          <w:lang w:val="x-none" w:eastAsia="x-none"/>
        </w:rPr>
        <w:t>Security awareness training should be mandatory for all employees and contractors. Regular phishing simulations, cybersecurity workshops, and policy reviews can significantly reduce human error and improve organisational security culture. Furthermore, all security policies should be reviewed annually or following major security incidents to ensure they remain effective against evolving cyber threats [</w:t>
      </w:r>
      <w:r w:rsidR="009D59B5">
        <w:rPr>
          <w:rFonts w:eastAsia="SimSun"/>
          <w:spacing w:val="-1"/>
          <w:sz w:val="20"/>
          <w:szCs w:val="20"/>
          <w:lang w:val="x-none" w:eastAsia="x-none"/>
        </w:rPr>
        <w:t>11</w:t>
      </w:r>
      <w:r w:rsidRPr="00FD60EC">
        <w:rPr>
          <w:rFonts w:eastAsia="SimSun"/>
          <w:spacing w:val="-1"/>
          <w:sz w:val="20"/>
          <w:szCs w:val="20"/>
          <w:lang w:val="x-none" w:eastAsia="x-none"/>
        </w:rPr>
        <w:t>].</w:t>
      </w:r>
    </w:p>
    <w:p w14:paraId="06AB91CE" w14:textId="77777777" w:rsidR="00FD60EC" w:rsidRPr="00FD60EC" w:rsidRDefault="00FD60EC" w:rsidP="008E318E">
      <w:pPr>
        <w:jc w:val="both"/>
        <w:rPr>
          <w:spacing w:val="-1"/>
          <w:lang w:val="x-none" w:eastAsia="x-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500"/>
        <w:gridCol w:w="3350"/>
      </w:tblGrid>
      <w:tr w:rsidR="00FD60EC" w:rsidRPr="00FD60EC" w14:paraId="72CC4F4D" w14:textId="77777777" w:rsidTr="00693A71">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053558"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lastRenderedPageBreak/>
              <w:t>Policy Area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DC62F0"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t>Recommended Control</w:t>
            </w:r>
          </w:p>
        </w:tc>
      </w:tr>
      <w:tr w:rsidR="00FD60EC" w:rsidRPr="00FD60EC" w14:paraId="0E41DFB7"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0B2D11"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t>Access Control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CCB4D2"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t>Least privilege and MFA</w:t>
            </w:r>
          </w:p>
        </w:tc>
      </w:tr>
      <w:tr w:rsidR="00FD60EC" w:rsidRPr="00FD60EC" w14:paraId="436472C8"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3039E3"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t>Password Policy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297B1B"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t>Strong passwords with regular updates</w:t>
            </w:r>
          </w:p>
        </w:tc>
      </w:tr>
      <w:tr w:rsidR="00FD60EC" w:rsidRPr="00FD60EC" w14:paraId="355A3745"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94306E"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t>Patch 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12DAA1"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t>Apply critical updates immediately</w:t>
            </w:r>
          </w:p>
        </w:tc>
      </w:tr>
      <w:tr w:rsidR="00FD60EC" w:rsidRPr="00FD60EC" w14:paraId="1C99E0BD"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071161"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t>Data Protection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32A2BB"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t>Encryption for data at rest and in transit</w:t>
            </w:r>
          </w:p>
        </w:tc>
      </w:tr>
      <w:tr w:rsidR="00FD60EC" w:rsidRPr="00FD60EC" w14:paraId="178575E9"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4F6F5A"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t>Security Awareness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6FAE7B" w14:textId="77777777" w:rsidR="00FD60EC" w:rsidRPr="00FD60EC" w:rsidRDefault="00FD60EC" w:rsidP="00693A71">
            <w:pPr>
              <w:spacing w:before="100" w:beforeAutospacing="1" w:after="100" w:afterAutospacing="1"/>
              <w:rPr>
                <w:spacing w:val="-1"/>
                <w:lang w:val="x-none" w:eastAsia="x-none"/>
              </w:rPr>
            </w:pPr>
            <w:r w:rsidRPr="00FD60EC">
              <w:rPr>
                <w:spacing w:val="-1"/>
                <w:lang w:val="x-none" w:eastAsia="x-none"/>
              </w:rPr>
              <w:t>Mandatory annual training and phishing simulations</w:t>
            </w:r>
          </w:p>
        </w:tc>
      </w:tr>
    </w:tbl>
    <w:p w14:paraId="76091B39" w14:textId="77777777" w:rsidR="00FD60EC" w:rsidRPr="00FD60EC" w:rsidRDefault="00FD60EC" w:rsidP="00FD60EC">
      <w:pPr>
        <w:rPr>
          <w:spacing w:val="-1"/>
          <w:lang w:val="x-none" w:eastAsia="x-none"/>
        </w:rPr>
      </w:pPr>
    </w:p>
    <w:p w14:paraId="566640A8" w14:textId="77777777" w:rsidR="00FD60EC" w:rsidRPr="00FD60EC" w:rsidRDefault="00FD60EC" w:rsidP="00FD60EC">
      <w:pPr>
        <w:pStyle w:val="p1"/>
        <w:rPr>
          <w:rFonts w:eastAsia="SimSun"/>
          <w:spacing w:val="-1"/>
          <w:sz w:val="20"/>
          <w:szCs w:val="20"/>
          <w:lang w:val="x-none" w:eastAsia="x-none"/>
        </w:rPr>
      </w:pPr>
      <w:r w:rsidRPr="00FD60EC">
        <w:rPr>
          <w:rFonts w:eastAsia="SimSun"/>
          <w:spacing w:val="-1"/>
          <w:sz w:val="20"/>
          <w:szCs w:val="20"/>
          <w:lang w:val="x-none" w:eastAsia="x-none"/>
        </w:rPr>
        <w:t>Table 1. Recommended Security Policies for Equifax</w:t>
      </w:r>
    </w:p>
    <w:p w14:paraId="2BCB5CE7" w14:textId="77777777" w:rsidR="00FD60EC" w:rsidRPr="00FD60EC" w:rsidRDefault="00FD60EC" w:rsidP="00FD60EC">
      <w:pPr>
        <w:pStyle w:val="p1"/>
        <w:rPr>
          <w:rFonts w:eastAsia="SimSun"/>
          <w:spacing w:val="-1"/>
          <w:sz w:val="20"/>
          <w:szCs w:val="20"/>
          <w:lang w:val="x-none" w:eastAsia="x-none"/>
        </w:rPr>
      </w:pPr>
      <w:r w:rsidRPr="00FD60EC">
        <w:rPr>
          <w:rFonts w:eastAsia="SimSun"/>
          <w:spacing w:val="-1"/>
          <w:sz w:val="20"/>
          <w:szCs w:val="20"/>
          <w:lang w:val="x-none" w:eastAsia="x-none"/>
        </w:rPr>
        <w:t>Table 1 summarises the key security policies required to strengthen Equifax’s cybersecurity programme. These policies support secure access management, timely vulnerability remediation, employee awareness, and effective protection of sensitive organisational information.</w:t>
      </w:r>
    </w:p>
    <w:p w14:paraId="6B0FF4A4" w14:textId="7193805A" w:rsidR="00BB2D08" w:rsidRDefault="00BB2D08" w:rsidP="00CD0A12">
      <w:pPr>
        <w:pStyle w:val="Heading2"/>
        <w:jc w:val="center"/>
      </w:pPr>
      <w:r w:rsidRPr="00CD0A12">
        <w:t>Risk Management</w:t>
      </w:r>
    </w:p>
    <w:p w14:paraId="5E2915E9" w14:textId="77777777" w:rsidR="00BB2D08" w:rsidRPr="005568AA" w:rsidRDefault="00BB2D08" w:rsidP="00BB2D08">
      <w:pPr>
        <w:pStyle w:val="p1"/>
        <w:rPr>
          <w:rFonts w:eastAsia="SimSun"/>
          <w:spacing w:val="-1"/>
          <w:sz w:val="20"/>
          <w:szCs w:val="20"/>
          <w:lang w:val="x-none" w:eastAsia="x-none"/>
        </w:rPr>
      </w:pPr>
      <w:r w:rsidRPr="005568AA">
        <w:rPr>
          <w:rFonts w:eastAsia="SimSun"/>
          <w:spacing w:val="-1"/>
          <w:sz w:val="20"/>
          <w:szCs w:val="20"/>
          <w:lang w:val="x-none" w:eastAsia="x-none"/>
        </w:rPr>
        <w:t>Effective risk management enables organisations to identify, assess, and mitigate cybersecurity threats before they result in significant business disruption. The 2017 Equifax breach demonstrated that inadequate vulnerability management, delayed patching, and poor visibility of organisational risks can lead to severe financial, legal, and reputational consequences. A forward-looking cybersecurity programme should therefore establish a continuous risk management process that supports informed decision-making and organisational resilience [2].</w:t>
      </w:r>
    </w:p>
    <w:p w14:paraId="693A7FDB" w14:textId="77777777" w:rsidR="00BB2D08" w:rsidRPr="005568AA" w:rsidRDefault="00BB2D08" w:rsidP="00BB2D08">
      <w:pPr>
        <w:pStyle w:val="p1"/>
        <w:rPr>
          <w:rFonts w:eastAsia="SimSun"/>
          <w:spacing w:val="-1"/>
          <w:sz w:val="20"/>
          <w:szCs w:val="20"/>
          <w:lang w:val="x-none" w:eastAsia="x-none"/>
        </w:rPr>
      </w:pPr>
      <w:r w:rsidRPr="005568AA">
        <w:rPr>
          <w:rFonts w:eastAsia="SimSun"/>
          <w:spacing w:val="-1"/>
          <w:sz w:val="20"/>
          <w:szCs w:val="20"/>
          <w:lang w:val="x-none" w:eastAsia="x-none"/>
        </w:rPr>
        <w:t>Risk identification should include regular assessments of internal and external threats affecting business operations, information assets, cloud environments, third-party suppliers, and remote working arrangements. Organisations should maintain an up-to-date risk register that records identified risks, their likelihood, business impact, ownership, and mitigation strategies. Continuous vulnerability scanning, penetration testing, and threat intelligence should be used to identify emerging risks before they are exploited by attackers.</w:t>
      </w:r>
    </w:p>
    <w:p w14:paraId="0447EA33" w14:textId="2C9F73BE" w:rsidR="00BB2D08" w:rsidRPr="005568AA" w:rsidRDefault="00BB2D08" w:rsidP="00BB2D08">
      <w:pPr>
        <w:pStyle w:val="p1"/>
        <w:rPr>
          <w:rFonts w:eastAsia="SimSun"/>
          <w:spacing w:val="-1"/>
          <w:sz w:val="20"/>
          <w:szCs w:val="20"/>
          <w:lang w:val="x-none" w:eastAsia="x-none"/>
        </w:rPr>
      </w:pPr>
      <w:r w:rsidRPr="005568AA">
        <w:rPr>
          <w:rFonts w:eastAsia="SimSun"/>
          <w:spacing w:val="-1"/>
          <w:sz w:val="20"/>
          <w:szCs w:val="20"/>
          <w:lang w:val="x-none" w:eastAsia="x-none"/>
        </w:rPr>
        <w:t xml:space="preserve">Risk assessment should follow recognised frameworks such as ISO 27005 or the NIST Risk Management Framework, allowing risks to be prioritised according to business impact and probability. High-risk vulnerabilities should be addressed immediately </w:t>
      </w:r>
      <w:r w:rsidRPr="00CD0A12">
        <w:rPr>
          <w:rFonts w:eastAsia="SimSun"/>
          <w:spacing w:val="-1"/>
          <w:sz w:val="20"/>
          <w:szCs w:val="20"/>
          <w:lang w:val="x-none" w:eastAsia="x-none"/>
        </w:rPr>
        <w:t>through timely patch management, strengthened access controls, and continuous</w:t>
      </w:r>
      <w:r w:rsidRPr="005568AA">
        <w:rPr>
          <w:rFonts w:eastAsia="SimSun"/>
          <w:spacing w:val="-1"/>
          <w:sz w:val="20"/>
          <w:szCs w:val="20"/>
          <w:lang w:val="x-none" w:eastAsia="x-none"/>
        </w:rPr>
        <w:t xml:space="preserve"> monitoring. </w:t>
      </w:r>
      <w:r w:rsidRPr="005568AA">
        <w:rPr>
          <w:rFonts w:eastAsia="SimSun"/>
          <w:spacing w:val="-1"/>
          <w:sz w:val="20"/>
          <w:szCs w:val="20"/>
          <w:lang w:val="x-none" w:eastAsia="x-none"/>
        </w:rPr>
        <w:t>Risk assessments should also evaluate supply chain security, insider threats, and compliance risks to provide a comprehensive understanding of the organisation’s cybersecurity posture [1</w:t>
      </w:r>
      <w:r w:rsidR="005861C6">
        <w:rPr>
          <w:rFonts w:eastAsia="SimSun"/>
          <w:spacing w:val="-1"/>
          <w:sz w:val="20"/>
          <w:szCs w:val="20"/>
          <w:lang w:val="x-none" w:eastAsia="x-none"/>
        </w:rPr>
        <w:t>2</w:t>
      </w:r>
      <w:r w:rsidRPr="005568AA">
        <w:rPr>
          <w:rFonts w:eastAsia="SimSun"/>
          <w:spacing w:val="-1"/>
          <w:sz w:val="20"/>
          <w:szCs w:val="20"/>
          <w:lang w:val="x-none" w:eastAsia="x-none"/>
        </w:rPr>
        <w:t>].</w:t>
      </w:r>
    </w:p>
    <w:p w14:paraId="4BB31D11" w14:textId="1B405686" w:rsidR="005568AA" w:rsidRDefault="00BB2D08" w:rsidP="00BB2D08">
      <w:pPr>
        <w:pStyle w:val="p2"/>
        <w:rPr>
          <w:rFonts w:eastAsia="SimSun"/>
          <w:spacing w:val="-1"/>
          <w:sz w:val="20"/>
          <w:szCs w:val="20"/>
          <w:lang w:val="x-none" w:eastAsia="x-none"/>
        </w:rPr>
      </w:pPr>
      <w:r w:rsidRPr="005568AA">
        <w:rPr>
          <w:rFonts w:eastAsia="SimSun"/>
          <w:spacing w:val="-1"/>
          <w:sz w:val="20"/>
          <w:szCs w:val="20"/>
          <w:lang w:val="x-none" w:eastAsia="x-none"/>
        </w:rPr>
        <w:t>Risk treatment should combine technical, administrative, and organisational controls. Multi-Factor Authentication (MFA), encryption, network segmentation, Security Information and Event Management (SIEM), and regular employee security awareness training all contribute to reducing organisational risk. Risk reviews should be performed regularly, with reports presented to senior management to ensure that cybersecurity remains aligned with changing business objectives and the evolving threat landscape.</w:t>
      </w:r>
    </w:p>
    <w:p w14:paraId="668F9174" w14:textId="77777777" w:rsidR="00C64011" w:rsidRPr="005568AA" w:rsidRDefault="00C64011" w:rsidP="00BB2D08">
      <w:pPr>
        <w:pStyle w:val="p2"/>
        <w:rPr>
          <w:rFonts w:eastAsia="SimSun"/>
          <w:spacing w:val="-1"/>
          <w:sz w:val="20"/>
          <w:szCs w:val="20"/>
          <w:lang w:val="x-none" w:eastAsia="x-none"/>
        </w:rPr>
      </w:pPr>
    </w:p>
    <w:tbl>
      <w:tblPr>
        <w:tblW w:w="5000"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1530"/>
        <w:gridCol w:w="1014"/>
        <w:gridCol w:w="2306"/>
      </w:tblGrid>
      <w:tr w:rsidR="00BB2D08" w:rsidRPr="005568AA" w14:paraId="63F59EA5" w14:textId="77777777" w:rsidTr="0081314B">
        <w:trPr>
          <w:tblHeader/>
        </w:trPr>
        <w:tc>
          <w:tcPr>
            <w:tcW w:w="15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084737" w14:textId="77777777" w:rsidR="00BB2D08" w:rsidRPr="005568AA" w:rsidRDefault="00BB2D08" w:rsidP="00693A71">
            <w:pPr>
              <w:pStyle w:val="p1"/>
              <w:jc w:val="center"/>
              <w:rPr>
                <w:rFonts w:eastAsia="SimSun"/>
                <w:spacing w:val="-1"/>
                <w:sz w:val="20"/>
                <w:szCs w:val="20"/>
                <w:lang w:val="x-none" w:eastAsia="x-none"/>
              </w:rPr>
            </w:pPr>
            <w:r w:rsidRPr="005568AA">
              <w:rPr>
                <w:rFonts w:eastAsia="SimSun"/>
                <w:spacing w:val="-1"/>
                <w:sz w:val="20"/>
                <w:szCs w:val="20"/>
                <w:lang w:val="x-none" w:eastAsia="x-none"/>
              </w:rPr>
              <w:t>Risk</w:t>
            </w:r>
          </w:p>
        </w:tc>
        <w:tc>
          <w:tcPr>
            <w:tcW w:w="10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A0DE19" w14:textId="3E7F64AB" w:rsidR="00BB2D08" w:rsidRPr="00A35DC2" w:rsidRDefault="00BB2D08" w:rsidP="00693A71">
            <w:pPr>
              <w:pStyle w:val="p1"/>
              <w:jc w:val="center"/>
              <w:rPr>
                <w:rFonts w:eastAsia="SimSun"/>
                <w:spacing w:val="-1"/>
                <w:sz w:val="20"/>
                <w:szCs w:val="20"/>
                <w:lang w:val="x-none" w:eastAsia="x-none"/>
              </w:rPr>
            </w:pPr>
            <w:r w:rsidRPr="00A35DC2">
              <w:rPr>
                <w:rFonts w:eastAsia="SimSun"/>
                <w:spacing w:val="-1"/>
                <w:sz w:val="20"/>
                <w:szCs w:val="20"/>
                <w:lang w:val="x-none" w:eastAsia="x-none"/>
              </w:rPr>
              <w:t>Risk Le</w:t>
            </w:r>
            <w:r w:rsidR="00A35DC2">
              <w:rPr>
                <w:rFonts w:eastAsia="SimSun"/>
                <w:spacing w:val="-1"/>
                <w:sz w:val="20"/>
                <w:szCs w:val="20"/>
                <w:lang w:val="x-none" w:eastAsia="x-none"/>
              </w:rPr>
              <w:t>v</w:t>
            </w:r>
            <w:r w:rsidR="007926E2">
              <w:rPr>
                <w:rFonts w:eastAsia="SimSun"/>
                <w:spacing w:val="-1"/>
                <w:sz w:val="20"/>
                <w:szCs w:val="20"/>
                <w:lang w:val="x-none" w:eastAsia="x-none"/>
              </w:rPr>
              <w:t>el</w:t>
            </w:r>
          </w:p>
        </w:tc>
        <w:tc>
          <w:tcPr>
            <w:tcW w:w="23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754C1C" w14:textId="77777777" w:rsidR="00BB2D08" w:rsidRPr="005568AA" w:rsidRDefault="00BB2D08" w:rsidP="00693A71">
            <w:pPr>
              <w:pStyle w:val="p1"/>
              <w:jc w:val="center"/>
              <w:rPr>
                <w:rFonts w:eastAsia="SimSun"/>
                <w:spacing w:val="-1"/>
                <w:sz w:val="20"/>
                <w:szCs w:val="20"/>
                <w:lang w:val="x-none" w:eastAsia="x-none"/>
              </w:rPr>
            </w:pPr>
            <w:r w:rsidRPr="005568AA">
              <w:rPr>
                <w:rFonts w:eastAsia="SimSun"/>
                <w:spacing w:val="-1"/>
                <w:sz w:val="20"/>
                <w:szCs w:val="20"/>
                <w:lang w:val="x-none" w:eastAsia="x-none"/>
              </w:rPr>
              <w:t>Recommended Mitigation</w:t>
            </w:r>
          </w:p>
        </w:tc>
      </w:tr>
      <w:tr w:rsidR="00BB2D08" w:rsidRPr="005568AA" w14:paraId="1FD28506" w14:textId="77777777" w:rsidTr="0081314B">
        <w:tc>
          <w:tcPr>
            <w:tcW w:w="15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D3FCED"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Unpatched vulnerabilities</w:t>
            </w:r>
          </w:p>
        </w:tc>
        <w:tc>
          <w:tcPr>
            <w:tcW w:w="10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9AF9E6" w14:textId="5D84B1E8" w:rsidR="00BB2D08" w:rsidRPr="0081314B" w:rsidRDefault="00BB2D08" w:rsidP="00693A71">
            <w:pPr>
              <w:pStyle w:val="p1"/>
              <w:rPr>
                <w:rFonts w:eastAsia="SimSun"/>
                <w:spacing w:val="-1"/>
                <w:sz w:val="20"/>
                <w:szCs w:val="20"/>
                <w:lang w:val="x-none" w:eastAsia="x-none"/>
              </w:rPr>
            </w:pPr>
            <w:r w:rsidRPr="0081314B">
              <w:rPr>
                <w:rFonts w:eastAsia="SimSun"/>
                <w:spacing w:val="-1"/>
                <w:sz w:val="20"/>
                <w:szCs w:val="20"/>
                <w:lang w:val="x-none" w:eastAsia="x-none"/>
              </w:rPr>
              <w:t>Hi</w:t>
            </w:r>
            <w:r w:rsidR="00A35DC2" w:rsidRPr="0081314B">
              <w:rPr>
                <w:rFonts w:eastAsia="SimSun"/>
                <w:spacing w:val="-1"/>
                <w:sz w:val="20"/>
                <w:szCs w:val="20"/>
                <w:lang w:val="x-none" w:eastAsia="x-none"/>
              </w:rPr>
              <w:t>g</w:t>
            </w:r>
            <w:r w:rsidRPr="0081314B">
              <w:rPr>
                <w:rFonts w:eastAsia="SimSun"/>
                <w:spacing w:val="-1"/>
                <w:sz w:val="20"/>
                <w:szCs w:val="20"/>
                <w:lang w:val="x-none" w:eastAsia="x-none"/>
              </w:rPr>
              <w:t>h</w:t>
            </w:r>
          </w:p>
        </w:tc>
        <w:tc>
          <w:tcPr>
            <w:tcW w:w="23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71B250"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Automated patch management and vulnerability scanning</w:t>
            </w:r>
          </w:p>
        </w:tc>
      </w:tr>
      <w:tr w:rsidR="00BB2D08" w:rsidRPr="005568AA" w14:paraId="71FAC194" w14:textId="77777777" w:rsidTr="0081314B">
        <w:tc>
          <w:tcPr>
            <w:tcW w:w="15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46087A"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Internet-facing assets</w:t>
            </w:r>
          </w:p>
        </w:tc>
        <w:tc>
          <w:tcPr>
            <w:tcW w:w="10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C00D3C" w14:textId="751D5454" w:rsidR="00BB2D08" w:rsidRPr="0081314B" w:rsidRDefault="00BB2D08" w:rsidP="00693A71">
            <w:pPr>
              <w:pStyle w:val="p1"/>
              <w:rPr>
                <w:rFonts w:eastAsia="SimSun"/>
                <w:spacing w:val="-1"/>
                <w:sz w:val="20"/>
                <w:szCs w:val="20"/>
                <w:lang w:val="x-none" w:eastAsia="x-none"/>
              </w:rPr>
            </w:pPr>
            <w:r w:rsidRPr="0081314B">
              <w:rPr>
                <w:rFonts w:eastAsia="SimSun"/>
                <w:spacing w:val="-1"/>
                <w:sz w:val="20"/>
                <w:szCs w:val="20"/>
                <w:lang w:val="x-none" w:eastAsia="x-none"/>
              </w:rPr>
              <w:t>Hi</w:t>
            </w:r>
            <w:r w:rsidR="00A35DC2" w:rsidRPr="0081314B">
              <w:rPr>
                <w:rFonts w:eastAsia="SimSun"/>
                <w:spacing w:val="-1"/>
                <w:sz w:val="20"/>
                <w:szCs w:val="20"/>
                <w:lang w:val="x-none" w:eastAsia="x-none"/>
              </w:rPr>
              <w:t>g</w:t>
            </w:r>
            <w:r w:rsidRPr="0081314B">
              <w:rPr>
                <w:rFonts w:eastAsia="SimSun"/>
                <w:spacing w:val="-1"/>
                <w:sz w:val="20"/>
                <w:szCs w:val="20"/>
                <w:lang w:val="x-none" w:eastAsia="x-none"/>
              </w:rPr>
              <w:t>h</w:t>
            </w:r>
          </w:p>
        </w:tc>
        <w:tc>
          <w:tcPr>
            <w:tcW w:w="23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C87344"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Continuous attack-surface monitoring and strict firewall controls</w:t>
            </w:r>
          </w:p>
        </w:tc>
      </w:tr>
      <w:tr w:rsidR="00BB2D08" w:rsidRPr="005568AA" w14:paraId="01BB867A" w14:textId="77777777" w:rsidTr="0081314B">
        <w:tc>
          <w:tcPr>
            <w:tcW w:w="15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E14EB7"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Network segmentation weaknesses</w:t>
            </w:r>
          </w:p>
        </w:tc>
        <w:tc>
          <w:tcPr>
            <w:tcW w:w="10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959760" w14:textId="77777777" w:rsidR="00BB2D08" w:rsidRPr="00A35DC2" w:rsidRDefault="00BB2D08" w:rsidP="00693A71">
            <w:pPr>
              <w:pStyle w:val="p1"/>
              <w:rPr>
                <w:rFonts w:eastAsia="SimSun"/>
                <w:spacing w:val="-1"/>
                <w:sz w:val="20"/>
                <w:szCs w:val="20"/>
                <w:lang w:val="x-none" w:eastAsia="x-none"/>
              </w:rPr>
            </w:pPr>
            <w:r w:rsidRPr="0081314B">
              <w:rPr>
                <w:rFonts w:eastAsia="SimSun"/>
                <w:spacing w:val="-1"/>
                <w:sz w:val="20"/>
                <w:szCs w:val="20"/>
                <w:lang w:val="x-none" w:eastAsia="x-none"/>
              </w:rPr>
              <w:t>High</w:t>
            </w:r>
          </w:p>
        </w:tc>
        <w:tc>
          <w:tcPr>
            <w:tcW w:w="23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DD0FFE"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Micro-segmentation and Zero Trust access controls</w:t>
            </w:r>
          </w:p>
        </w:tc>
      </w:tr>
      <w:tr w:rsidR="00BB2D08" w:rsidRPr="005568AA" w14:paraId="28712A90" w14:textId="77777777" w:rsidTr="0081314B">
        <w:tc>
          <w:tcPr>
            <w:tcW w:w="15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22ABE6"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Third-party supplier risks</w:t>
            </w:r>
          </w:p>
        </w:tc>
        <w:tc>
          <w:tcPr>
            <w:tcW w:w="10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294529" w14:textId="77777777" w:rsidR="00BB2D08" w:rsidRPr="0081314B" w:rsidRDefault="00BB2D08" w:rsidP="00693A71">
            <w:pPr>
              <w:pStyle w:val="p1"/>
              <w:rPr>
                <w:rFonts w:eastAsia="SimSun"/>
                <w:spacing w:val="-1"/>
                <w:sz w:val="20"/>
                <w:szCs w:val="20"/>
                <w:lang w:val="x-none" w:eastAsia="x-none"/>
              </w:rPr>
            </w:pPr>
            <w:r w:rsidRPr="0081314B">
              <w:rPr>
                <w:rFonts w:eastAsia="SimSun"/>
                <w:spacing w:val="-1"/>
                <w:sz w:val="20"/>
                <w:szCs w:val="20"/>
                <w:lang w:val="x-none" w:eastAsia="x-none"/>
              </w:rPr>
              <w:t>High</w:t>
            </w:r>
          </w:p>
        </w:tc>
        <w:tc>
          <w:tcPr>
            <w:tcW w:w="23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4F25FC"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Vendor security assessments and contractual security requirements</w:t>
            </w:r>
          </w:p>
        </w:tc>
      </w:tr>
      <w:tr w:rsidR="00BB2D08" w:rsidRPr="005568AA" w14:paraId="23873544" w14:textId="77777777" w:rsidTr="0081314B">
        <w:tc>
          <w:tcPr>
            <w:tcW w:w="15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7A8D03"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Phishing attacks</w:t>
            </w:r>
          </w:p>
        </w:tc>
        <w:tc>
          <w:tcPr>
            <w:tcW w:w="10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80767F" w14:textId="77777777" w:rsidR="00BB2D08" w:rsidRPr="007926E2" w:rsidRDefault="00BB2D08" w:rsidP="00693A71">
            <w:pPr>
              <w:pStyle w:val="p1"/>
              <w:rPr>
                <w:rFonts w:eastAsia="SimSun"/>
                <w:spacing w:val="-1"/>
                <w:sz w:val="18"/>
                <w:szCs w:val="18"/>
                <w:lang w:val="x-none" w:eastAsia="x-none"/>
              </w:rPr>
            </w:pPr>
            <w:r w:rsidRPr="007926E2">
              <w:rPr>
                <w:rFonts w:eastAsia="SimSun"/>
                <w:spacing w:val="-1"/>
                <w:sz w:val="18"/>
                <w:szCs w:val="18"/>
                <w:lang w:val="x-none" w:eastAsia="x-none"/>
              </w:rPr>
              <w:t>Medium</w:t>
            </w:r>
          </w:p>
        </w:tc>
        <w:tc>
          <w:tcPr>
            <w:tcW w:w="23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4EA7C6"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Security awareness training and MFA</w:t>
            </w:r>
          </w:p>
        </w:tc>
      </w:tr>
      <w:tr w:rsidR="00BB2D08" w:rsidRPr="005568AA" w14:paraId="0724DCAC" w14:textId="77777777" w:rsidTr="0081314B">
        <w:tc>
          <w:tcPr>
            <w:tcW w:w="15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133F7B" w14:textId="1F5561FE"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Insider threats</w:t>
            </w:r>
          </w:p>
        </w:tc>
        <w:tc>
          <w:tcPr>
            <w:tcW w:w="10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7719FE" w14:textId="77777777" w:rsidR="00BB2D08" w:rsidRPr="007926E2" w:rsidRDefault="00BB2D08" w:rsidP="00693A71">
            <w:pPr>
              <w:pStyle w:val="p1"/>
              <w:rPr>
                <w:rFonts w:eastAsia="SimSun"/>
                <w:spacing w:val="-1"/>
                <w:sz w:val="18"/>
                <w:szCs w:val="18"/>
                <w:lang w:val="x-none" w:eastAsia="x-none"/>
              </w:rPr>
            </w:pPr>
            <w:r w:rsidRPr="007926E2">
              <w:rPr>
                <w:rFonts w:eastAsia="SimSun"/>
                <w:spacing w:val="-1"/>
                <w:sz w:val="18"/>
                <w:szCs w:val="18"/>
                <w:lang w:val="x-none" w:eastAsia="x-none"/>
              </w:rPr>
              <w:t>Medium</w:t>
            </w:r>
          </w:p>
        </w:tc>
        <w:tc>
          <w:tcPr>
            <w:tcW w:w="23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2CE39D"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Least privilege access and behavioural monitoring</w:t>
            </w:r>
          </w:p>
        </w:tc>
      </w:tr>
      <w:tr w:rsidR="00BB2D08" w:rsidRPr="005568AA" w14:paraId="5C798430" w14:textId="77777777" w:rsidTr="0081314B">
        <w:tc>
          <w:tcPr>
            <w:tcW w:w="15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3275C6"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Data breaches</w:t>
            </w:r>
          </w:p>
        </w:tc>
        <w:tc>
          <w:tcPr>
            <w:tcW w:w="10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DCE4C1" w14:textId="77777777" w:rsidR="00BB2D08" w:rsidRPr="007926E2" w:rsidRDefault="00BB2D08" w:rsidP="00693A71">
            <w:pPr>
              <w:pStyle w:val="p1"/>
              <w:rPr>
                <w:rFonts w:eastAsia="SimSun"/>
                <w:spacing w:val="-1"/>
                <w:sz w:val="18"/>
                <w:szCs w:val="18"/>
                <w:lang w:val="x-none" w:eastAsia="x-none"/>
              </w:rPr>
            </w:pPr>
            <w:r w:rsidRPr="007926E2">
              <w:rPr>
                <w:rFonts w:eastAsia="SimSun"/>
                <w:spacing w:val="-1"/>
                <w:sz w:val="18"/>
                <w:szCs w:val="18"/>
                <w:lang w:val="x-none" w:eastAsia="x-none"/>
              </w:rPr>
              <w:t>High</w:t>
            </w:r>
          </w:p>
        </w:tc>
        <w:tc>
          <w:tcPr>
            <w:tcW w:w="237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407FF5" w14:textId="77777777" w:rsidR="00BB2D08" w:rsidRPr="005568AA" w:rsidRDefault="00BB2D08" w:rsidP="00693A71">
            <w:pPr>
              <w:pStyle w:val="p1"/>
              <w:rPr>
                <w:rFonts w:eastAsia="SimSun"/>
                <w:spacing w:val="-1"/>
                <w:sz w:val="20"/>
                <w:szCs w:val="20"/>
                <w:lang w:val="x-none" w:eastAsia="x-none"/>
              </w:rPr>
            </w:pPr>
            <w:r w:rsidRPr="005568AA">
              <w:rPr>
                <w:rFonts w:eastAsia="SimSun"/>
                <w:spacing w:val="-1"/>
                <w:sz w:val="20"/>
                <w:szCs w:val="20"/>
                <w:lang w:val="x-none" w:eastAsia="x-none"/>
              </w:rPr>
              <w:t>Encryption, SIEM, DLP and continuous monitoring</w:t>
            </w:r>
          </w:p>
        </w:tc>
      </w:tr>
    </w:tbl>
    <w:p w14:paraId="3A623E02" w14:textId="6CF74EBB" w:rsidR="00BB2D08" w:rsidRPr="005568AA" w:rsidRDefault="00BB2D08" w:rsidP="00BB2D08">
      <w:pPr>
        <w:pStyle w:val="p1"/>
        <w:rPr>
          <w:rFonts w:eastAsia="SimSun"/>
          <w:spacing w:val="-1"/>
          <w:sz w:val="20"/>
          <w:szCs w:val="20"/>
          <w:lang w:val="x-none" w:eastAsia="x-none"/>
        </w:rPr>
      </w:pPr>
      <w:r w:rsidRPr="005568AA">
        <w:rPr>
          <w:rFonts w:eastAsia="SimSun"/>
          <w:spacing w:val="-1"/>
          <w:sz w:val="20"/>
          <w:szCs w:val="20"/>
          <w:lang w:val="x-none" w:eastAsia="x-none"/>
        </w:rPr>
        <w:t>Table 2. Key Cybersecurity Risks and Mitigation Strategies</w:t>
      </w:r>
    </w:p>
    <w:p w14:paraId="65F1B628" w14:textId="77777777" w:rsidR="00BB2D08" w:rsidRPr="005568AA" w:rsidRDefault="00BB2D08" w:rsidP="00BB2D08">
      <w:pPr>
        <w:pStyle w:val="p1"/>
        <w:rPr>
          <w:rFonts w:eastAsia="SimSun"/>
          <w:spacing w:val="-1"/>
          <w:sz w:val="20"/>
          <w:szCs w:val="20"/>
          <w:lang w:val="x-none" w:eastAsia="x-none"/>
        </w:rPr>
      </w:pPr>
      <w:r w:rsidRPr="005568AA">
        <w:rPr>
          <w:rFonts w:eastAsia="SimSun"/>
          <w:spacing w:val="-1"/>
          <w:sz w:val="20"/>
          <w:szCs w:val="20"/>
          <w:lang w:val="x-none" w:eastAsia="x-none"/>
        </w:rPr>
        <w:t xml:space="preserve">Table 2 prioritises the principal cybersecurity risks facing Equifax according to their potential business impact and likelihood. Unpatched vulnerabilities, exposed internet-facing assets, weak network segmentation, third-party </w:t>
      </w:r>
      <w:r w:rsidRPr="005568AA">
        <w:rPr>
          <w:rFonts w:eastAsia="SimSun"/>
          <w:spacing w:val="-1"/>
          <w:sz w:val="20"/>
          <w:szCs w:val="20"/>
          <w:lang w:val="x-none" w:eastAsia="x-none"/>
        </w:rPr>
        <w:lastRenderedPageBreak/>
        <w:t>dependencies, and data breaches are treated as high-priority risks because they may enable attackers to gain initial access, move laterally, or compromise large volumes of sensitive information. The proposed mitigations combine preventive, detective, and corrective controls to reduce both the likelihood and potential impact of future incidents.</w:t>
      </w:r>
    </w:p>
    <w:p w14:paraId="3EA1A8EC" w14:textId="4383754A" w:rsidR="00C50ABD" w:rsidRDefault="00C50ABD" w:rsidP="000E6C93">
      <w:pPr>
        <w:pStyle w:val="Heading2"/>
        <w:jc w:val="center"/>
      </w:pPr>
      <w:r w:rsidRPr="00CD0A12">
        <w:t>Compliance</w:t>
      </w:r>
    </w:p>
    <w:p w14:paraId="5ADA2F76" w14:textId="77777777" w:rsidR="00C50ABD" w:rsidRPr="00CD0A12" w:rsidRDefault="00C50ABD" w:rsidP="00C50ABD">
      <w:pPr>
        <w:pStyle w:val="p1"/>
        <w:rPr>
          <w:rFonts w:eastAsia="SimSun"/>
          <w:spacing w:val="-1"/>
          <w:sz w:val="20"/>
          <w:szCs w:val="20"/>
          <w:lang w:val="x-none" w:eastAsia="x-none"/>
        </w:rPr>
      </w:pPr>
      <w:r w:rsidRPr="00CD0A12">
        <w:rPr>
          <w:rFonts w:eastAsia="SimSun"/>
          <w:spacing w:val="-1"/>
          <w:sz w:val="20"/>
          <w:szCs w:val="20"/>
          <w:lang w:val="x-none" w:eastAsia="x-none"/>
        </w:rPr>
        <w:t>Cybersecurity compliance ensures that organisations meet legal, regulatory, and industry requirements while protecting sensitive information and maintaining stakeholder trust. Following the 2017 Equifax breach, regulatory investigations highlighted significant failures in governance, vulnerability management, and data protection. A forward-looking cybersecurity programme should therefore embed compliance into everyday business operations rather than treating it as a separate activity.</w:t>
      </w:r>
    </w:p>
    <w:p w14:paraId="7F5BB7E0" w14:textId="38E0EE53" w:rsidR="00C50ABD" w:rsidRPr="00CD0A12" w:rsidRDefault="00C50ABD" w:rsidP="00C50ABD">
      <w:pPr>
        <w:pStyle w:val="p1"/>
        <w:rPr>
          <w:rFonts w:eastAsia="SimSun"/>
          <w:spacing w:val="-1"/>
          <w:sz w:val="20"/>
          <w:szCs w:val="20"/>
          <w:lang w:val="x-none" w:eastAsia="x-none"/>
        </w:rPr>
      </w:pPr>
      <w:r w:rsidRPr="00CD0A12">
        <w:rPr>
          <w:rFonts w:eastAsia="SimSun"/>
          <w:spacing w:val="-1"/>
          <w:sz w:val="20"/>
          <w:szCs w:val="20"/>
          <w:lang w:val="x-none" w:eastAsia="x-none"/>
        </w:rPr>
        <w:t>Equifax should align its cybersecurity programme with recognised standards such as ISO/IEC 27001, the NIST Cybersecurity Framework, the UK General Data Protection Regulation (UK GDPR), and the Data Protection Act 2018. These frameworks provide structured guidance for establishing effective information security management systems, protecting personal information, and maintaining continual improvement through regular monitoring and auditing [</w:t>
      </w:r>
      <w:r w:rsidR="0051156D" w:rsidRPr="0051156D">
        <w:rPr>
          <w:rFonts w:eastAsia="SimSun"/>
          <w:spacing w:val="-1"/>
          <w:sz w:val="20"/>
          <w:szCs w:val="20"/>
          <w:lang w:eastAsia="x-none"/>
        </w:rPr>
        <w:t>8</w:t>
      </w:r>
      <w:r w:rsidRPr="00CD0A12">
        <w:rPr>
          <w:rFonts w:eastAsia="SimSun"/>
          <w:spacing w:val="-1"/>
          <w:sz w:val="20"/>
          <w:szCs w:val="20"/>
          <w:lang w:val="x-none" w:eastAsia="x-none"/>
        </w:rPr>
        <w:t>], [</w:t>
      </w:r>
      <w:r w:rsidR="0051156D" w:rsidRPr="0051156D">
        <w:rPr>
          <w:rFonts w:eastAsia="SimSun"/>
          <w:spacing w:val="-1"/>
          <w:sz w:val="20"/>
          <w:szCs w:val="20"/>
          <w:lang w:eastAsia="x-none"/>
        </w:rPr>
        <w:t>13</w:t>
      </w:r>
      <w:r w:rsidRPr="00CD0A12">
        <w:rPr>
          <w:rFonts w:eastAsia="SimSun"/>
          <w:spacing w:val="-1"/>
          <w:sz w:val="20"/>
          <w:szCs w:val="20"/>
          <w:lang w:val="x-none" w:eastAsia="x-none"/>
        </w:rPr>
        <w:t>], [</w:t>
      </w:r>
      <w:r w:rsidR="0051156D" w:rsidRPr="0051156D">
        <w:rPr>
          <w:rFonts w:eastAsia="SimSun"/>
          <w:spacing w:val="-1"/>
          <w:sz w:val="20"/>
          <w:szCs w:val="20"/>
          <w:lang w:eastAsia="x-none"/>
        </w:rPr>
        <w:t>14</w:t>
      </w:r>
      <w:r w:rsidRPr="00CD0A12">
        <w:rPr>
          <w:rFonts w:eastAsia="SimSun"/>
          <w:spacing w:val="-1"/>
          <w:sz w:val="20"/>
          <w:szCs w:val="20"/>
          <w:lang w:val="x-none" w:eastAsia="x-none"/>
        </w:rPr>
        <w:t>].</w:t>
      </w:r>
    </w:p>
    <w:p w14:paraId="7CAA0FCC" w14:textId="77777777" w:rsidR="00C50ABD" w:rsidRPr="00CD0A12" w:rsidRDefault="00C50ABD" w:rsidP="00C50ABD">
      <w:pPr>
        <w:pStyle w:val="p1"/>
        <w:rPr>
          <w:rFonts w:eastAsia="SimSun"/>
          <w:spacing w:val="-1"/>
          <w:sz w:val="20"/>
          <w:szCs w:val="20"/>
          <w:lang w:val="x-none" w:eastAsia="x-none"/>
        </w:rPr>
      </w:pPr>
      <w:r w:rsidRPr="00CD0A12">
        <w:rPr>
          <w:rFonts w:eastAsia="SimSun"/>
          <w:spacing w:val="-1"/>
          <w:sz w:val="20"/>
          <w:szCs w:val="20"/>
          <w:lang w:val="x-none" w:eastAsia="x-none"/>
        </w:rPr>
        <w:t>Compliance activities should include regular internal audits, external security assessments, policy reviews, and documented risk assessments. Organisations should maintain accurate records of security controls, employee training, vulnerability remediation, and incident response activities to demonstrate compliance during regulatory inspections. Continuous compliance monitoring helps identify weaknesses before they develop into significant legal or operational issues.</w:t>
      </w:r>
    </w:p>
    <w:p w14:paraId="232CF5E1" w14:textId="122705D0" w:rsidR="00C50ABD" w:rsidRPr="00CD0A12" w:rsidRDefault="00C50ABD" w:rsidP="00C50ABD">
      <w:pPr>
        <w:pStyle w:val="p1"/>
        <w:rPr>
          <w:rFonts w:eastAsia="SimSun"/>
          <w:spacing w:val="-1"/>
          <w:sz w:val="20"/>
          <w:szCs w:val="20"/>
          <w:lang w:val="x-none" w:eastAsia="x-none"/>
        </w:rPr>
      </w:pPr>
      <w:r w:rsidRPr="00CD0A12">
        <w:rPr>
          <w:rFonts w:eastAsia="SimSun"/>
          <w:spacing w:val="-1"/>
          <w:sz w:val="20"/>
          <w:szCs w:val="20"/>
          <w:lang w:val="x-none" w:eastAsia="x-none"/>
        </w:rPr>
        <w:t>Equifax should also maintain a formal data breach notification protocol. When a personal data breach occurs, the organisation should rapidly assess its severity, document the incident, identify affected individuals, and determine whether notification to the relevant regulatory authority and affected individuals is required. Clear responsibilities and communication procedures should be established in advance to ensure that notifications are accurate and completed within applicable regulatory timeframes [1</w:t>
      </w:r>
      <w:r w:rsidR="001462F2" w:rsidRPr="001462F2">
        <w:rPr>
          <w:rFonts w:eastAsia="SimSun"/>
          <w:spacing w:val="-1"/>
          <w:sz w:val="20"/>
          <w:szCs w:val="20"/>
          <w:lang w:eastAsia="x-none"/>
        </w:rPr>
        <w:t>4</w:t>
      </w:r>
      <w:r w:rsidRPr="00CD0A12">
        <w:rPr>
          <w:rFonts w:eastAsia="SimSun"/>
          <w:spacing w:val="-1"/>
          <w:sz w:val="20"/>
          <w:szCs w:val="20"/>
          <w:lang w:val="x-none" w:eastAsia="x-none"/>
        </w:rPr>
        <w:t>].</w:t>
      </w:r>
    </w:p>
    <w:p w14:paraId="71445603" w14:textId="6704FD7B" w:rsidR="00C50ABD" w:rsidRPr="00CD0A12" w:rsidRDefault="00C50ABD" w:rsidP="00C50ABD">
      <w:pPr>
        <w:pStyle w:val="p2"/>
        <w:rPr>
          <w:rFonts w:eastAsia="SimSun"/>
          <w:spacing w:val="-1"/>
          <w:sz w:val="20"/>
          <w:szCs w:val="20"/>
          <w:lang w:val="x-none" w:eastAsia="x-none"/>
        </w:rPr>
      </w:pPr>
      <w:r w:rsidRPr="00CD0A12">
        <w:rPr>
          <w:rFonts w:eastAsia="SimSun"/>
          <w:spacing w:val="-1"/>
          <w:sz w:val="20"/>
          <w:szCs w:val="20"/>
          <w:lang w:val="x-none" w:eastAsia="x-none"/>
        </w:rPr>
        <w:t>Compliance should also be supported through employee awareness programmes, supplier security assessments, and regular reviews of third-party contracts to ensure that external partners meet organisational security requirements. By integrating compliance with governance and risk management, organisations can strengthen cybersecurity resilience while reducing legal, financial, and reputational risks.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144"/>
        <w:gridCol w:w="2706"/>
      </w:tblGrid>
      <w:tr w:rsidR="00C50ABD" w:rsidRPr="00CD0A12" w14:paraId="59F34D34" w14:textId="77777777" w:rsidTr="00693A71">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A49E7C"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Compliance Standard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60DC60"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Purpose</w:t>
            </w:r>
          </w:p>
        </w:tc>
      </w:tr>
      <w:tr w:rsidR="00C50ABD" w:rsidRPr="00CD0A12" w14:paraId="78BD91EB"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E5A72B"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ISO/IEC 27001</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4B1050"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Information Security Management System</w:t>
            </w:r>
          </w:p>
        </w:tc>
      </w:tr>
      <w:tr w:rsidR="00C50ABD" w:rsidRPr="00CD0A12" w14:paraId="25333D57"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93E1CE"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NIST Cybersecurity Framework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4A51DD"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Cybersecurity best practice guidance</w:t>
            </w:r>
          </w:p>
        </w:tc>
      </w:tr>
      <w:tr w:rsidR="00C50ABD" w:rsidRPr="00CD0A12" w14:paraId="3944D98F"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C4F2F8"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UK GDPR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A9EF0E"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Protection of personal information</w:t>
            </w:r>
          </w:p>
        </w:tc>
      </w:tr>
      <w:tr w:rsidR="00C50ABD" w:rsidRPr="00CD0A12" w14:paraId="4D97565A"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5B04E3"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Data Protection Act 2018</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D74C4F"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UK data protection legislation</w:t>
            </w:r>
          </w:p>
        </w:tc>
      </w:tr>
      <w:tr w:rsidR="00C50ABD" w:rsidRPr="00CD0A12" w14:paraId="4BB894DC"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D8AADD"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Internal Security Audits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1FB6E7" w14:textId="77777777" w:rsidR="00C50ABD" w:rsidRPr="00CD0A12" w:rsidRDefault="00C50ABD" w:rsidP="00693A71">
            <w:pPr>
              <w:spacing w:before="100" w:beforeAutospacing="1" w:after="100" w:afterAutospacing="1"/>
              <w:rPr>
                <w:spacing w:val="-1"/>
                <w:lang w:val="x-none" w:eastAsia="x-none"/>
              </w:rPr>
            </w:pPr>
            <w:r w:rsidRPr="00CD0A12">
              <w:rPr>
                <w:spacing w:val="-1"/>
                <w:lang w:val="x-none" w:eastAsia="x-none"/>
              </w:rPr>
              <w:t>Continuous compliance monitoring</w:t>
            </w:r>
          </w:p>
        </w:tc>
      </w:tr>
    </w:tbl>
    <w:p w14:paraId="033386B4" w14:textId="77777777" w:rsidR="00C50ABD" w:rsidRPr="00CD0A12" w:rsidRDefault="00C50ABD" w:rsidP="00C50ABD">
      <w:pPr>
        <w:pStyle w:val="p1"/>
        <w:rPr>
          <w:rFonts w:eastAsia="SimSun"/>
          <w:spacing w:val="-1"/>
          <w:sz w:val="20"/>
          <w:szCs w:val="20"/>
          <w:lang w:val="x-none" w:eastAsia="x-none"/>
        </w:rPr>
      </w:pPr>
    </w:p>
    <w:p w14:paraId="6AC36581" w14:textId="77777777" w:rsidR="00C50ABD" w:rsidRPr="00CD0A12" w:rsidRDefault="00C50ABD" w:rsidP="00C50ABD">
      <w:pPr>
        <w:pStyle w:val="p1"/>
        <w:rPr>
          <w:rFonts w:eastAsia="SimSun"/>
          <w:spacing w:val="-1"/>
          <w:sz w:val="20"/>
          <w:szCs w:val="20"/>
          <w:lang w:val="x-none" w:eastAsia="x-none"/>
        </w:rPr>
      </w:pPr>
      <w:r w:rsidRPr="00CD0A12">
        <w:rPr>
          <w:rFonts w:eastAsia="SimSun"/>
          <w:spacing w:val="-1"/>
          <w:sz w:val="20"/>
          <w:szCs w:val="20"/>
          <w:lang w:val="x-none" w:eastAsia="x-none"/>
        </w:rPr>
        <w:t>Table 3. Key Compliance Requirements</w:t>
      </w:r>
    </w:p>
    <w:p w14:paraId="6519F5F5" w14:textId="77777777" w:rsidR="00C50ABD" w:rsidRPr="00CD0A12" w:rsidRDefault="00C50ABD" w:rsidP="00C50ABD">
      <w:pPr>
        <w:pStyle w:val="p1"/>
        <w:rPr>
          <w:rFonts w:eastAsia="SimSun"/>
          <w:spacing w:val="-1"/>
          <w:sz w:val="20"/>
          <w:szCs w:val="20"/>
          <w:lang w:val="x-none" w:eastAsia="x-none"/>
        </w:rPr>
      </w:pPr>
      <w:r w:rsidRPr="00CD0A12">
        <w:rPr>
          <w:rFonts w:eastAsia="SimSun"/>
          <w:spacing w:val="-1"/>
          <w:sz w:val="20"/>
          <w:szCs w:val="20"/>
          <w:lang w:val="x-none" w:eastAsia="x-none"/>
        </w:rPr>
        <w:t>Table 3 summarises the principal compliance frameworks and regulatory requirements that should support Equifax’s cybersecurity programme. Applying these standards strengthens governance, improves data protection, and helps maintain regulatory compliance while reducing organisational risk.</w:t>
      </w:r>
    </w:p>
    <w:p w14:paraId="37A6651E" w14:textId="4CDA5A32" w:rsidR="00A85EE5" w:rsidRPr="0059730A" w:rsidRDefault="00A85EE5" w:rsidP="0059730A">
      <w:pPr>
        <w:pStyle w:val="Heading2"/>
        <w:jc w:val="center"/>
      </w:pPr>
      <w:r w:rsidRPr="0059730A">
        <w:t>Incident Response</w:t>
      </w:r>
    </w:p>
    <w:p w14:paraId="05820505" w14:textId="77777777" w:rsidR="00A85EE5" w:rsidRPr="00E55F54"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An effective incident response capability enables organisations to detect, contain, investigate, and recover from cybersecurity incidents while minimising operational disruption. The Equifax breach demonstrated how delayed incident detection and inadequate response coordination significantly increased the impact of the attack. A forward-looking cybersecurity programme should therefore establish a structured incident response framework supported by clearly defined roles, procedures, and communication plans.</w:t>
      </w:r>
    </w:p>
    <w:p w14:paraId="6807517A" w14:textId="5DEF2104" w:rsidR="00A85EE5" w:rsidRPr="00E55F54"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The organisation should adopt an incident response lifecycle consisting of preparation, identification, containment, eradication, recovery, and post-incident review. Employees should receive regular training on recognising and reporting security incidents, while dedicated incident response teams should be responsible for coordinating technical investigations, forensic analysis, and business continuity activities. Incident response plans should be tested regularly through tabletop exercises and simulated cyberattack scenarios [</w:t>
      </w:r>
      <w:r w:rsidR="001E01F3" w:rsidRPr="001E01F3">
        <w:rPr>
          <w:rFonts w:eastAsia="SimSun"/>
          <w:spacing w:val="-1"/>
          <w:sz w:val="20"/>
          <w:szCs w:val="20"/>
          <w:lang w:eastAsia="x-none"/>
        </w:rPr>
        <w:t>4</w:t>
      </w:r>
      <w:r w:rsidRPr="00E55F54">
        <w:rPr>
          <w:rFonts w:eastAsia="SimSun"/>
          <w:spacing w:val="-1"/>
          <w:sz w:val="20"/>
          <w:szCs w:val="20"/>
          <w:lang w:val="x-none" w:eastAsia="x-none"/>
        </w:rPr>
        <w:t>].</w:t>
      </w:r>
    </w:p>
    <w:p w14:paraId="7BCDAC27" w14:textId="77777777" w:rsidR="00A85EE5" w:rsidRPr="00E55F54"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 xml:space="preserve">Rapid detection should be supported by Security Information and Event Management (SIEM) systems, Endpoint Detection and Response (EDR) technologies, threat intelligence platforms, and continuous security monitoring. Once an incident has been identified, affected systems should be </w:t>
      </w:r>
      <w:r w:rsidRPr="00E55F54">
        <w:rPr>
          <w:rFonts w:eastAsia="SimSun"/>
          <w:spacing w:val="-1"/>
          <w:sz w:val="20"/>
          <w:szCs w:val="20"/>
          <w:lang w:val="x-none" w:eastAsia="x-none"/>
        </w:rPr>
        <w:lastRenderedPageBreak/>
        <w:t>isolated immediately to prevent further compromise while forensic evidence is preserved for investigation. Communication procedures should ensure that senior management, regulatory authorities, customers, and other stakeholders receive timely and accurate information where required.</w:t>
      </w:r>
    </w:p>
    <w:p w14:paraId="1C525785" w14:textId="77777777" w:rsidR="00A85EE5" w:rsidRPr="00E55F54"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Incident response should be supported by a formal disaster recovery plan to ensure that critical systems and services can be restored following a major cyber incident. Equifax should maintain secure backups of critical data, define recovery priorities for essential business services, and regularly test restoration procedures. Recovery Time Objectives (RTOs) and Recovery Point Objectives (RPOs) should be established for critical systems to minimise operational disruption and potential data loss.</w:t>
      </w:r>
    </w:p>
    <w:p w14:paraId="6D2B60D3" w14:textId="580C198D" w:rsidR="00A85EE5" w:rsidRDefault="00A85EE5" w:rsidP="00A85EE5">
      <w:pPr>
        <w:pStyle w:val="p2"/>
        <w:rPr>
          <w:rFonts w:eastAsia="SimSun"/>
          <w:spacing w:val="-1"/>
          <w:sz w:val="20"/>
          <w:szCs w:val="20"/>
          <w:lang w:val="x-none" w:eastAsia="x-none"/>
        </w:rPr>
      </w:pPr>
      <w:r w:rsidRPr="00E55F54">
        <w:rPr>
          <w:rFonts w:eastAsia="SimSun"/>
          <w:spacing w:val="-1"/>
          <w:sz w:val="20"/>
          <w:szCs w:val="20"/>
          <w:lang w:val="x-none" w:eastAsia="x-none"/>
        </w:rPr>
        <w:t>Following every significant security incident, organisations should conduct a comprehensive post-incident review to identify root causes, evaluate the effectiveness of the response, and implement corrective actions. Lessons learned should be incorporated into updated security policies, employee training, and technical controls to continuously improve organisational resilience against future cyber threats.</w:t>
      </w:r>
    </w:p>
    <w:p w14:paraId="387E68E8" w14:textId="77777777" w:rsidR="00CA3CA8" w:rsidRPr="00E55F54" w:rsidRDefault="00CA3CA8" w:rsidP="00A85EE5">
      <w:pPr>
        <w:pStyle w:val="p2"/>
        <w:rPr>
          <w:rFonts w:eastAsia="SimSun"/>
          <w:spacing w:val="-1"/>
          <w:sz w:val="20"/>
          <w:szCs w:val="20"/>
          <w:lang w:val="x-none" w:eastAsia="x-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575"/>
        <w:gridCol w:w="3275"/>
      </w:tblGrid>
      <w:tr w:rsidR="00A85EE5" w:rsidRPr="00E55F54" w14:paraId="78DB7795" w14:textId="77777777" w:rsidTr="00693A71">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2E7989"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Phase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F95269"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Key Activity</w:t>
            </w:r>
          </w:p>
        </w:tc>
      </w:tr>
      <w:tr w:rsidR="00A85EE5" w:rsidRPr="00E55F54" w14:paraId="11108B44"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878F7C"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Preparation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98415D"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Policies, training, and response planning</w:t>
            </w:r>
          </w:p>
        </w:tc>
      </w:tr>
      <w:tr w:rsidR="00A85EE5" w:rsidRPr="00E55F54" w14:paraId="5E516FE0"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BB7A8F"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Identification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598509"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Detect and verify security incidents</w:t>
            </w:r>
          </w:p>
        </w:tc>
      </w:tr>
      <w:tr w:rsidR="00A85EE5" w:rsidRPr="00E55F54" w14:paraId="1592197A"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3DDAC2"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Containment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FE4461"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Isolate affected systems</w:t>
            </w:r>
          </w:p>
        </w:tc>
      </w:tr>
      <w:tr w:rsidR="00A85EE5" w:rsidRPr="00E55F54" w14:paraId="4315557B"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E827CD"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Eradication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4BAC15"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Remove malicious activity</w:t>
            </w:r>
          </w:p>
        </w:tc>
      </w:tr>
      <w:tr w:rsidR="00A85EE5" w:rsidRPr="00E55F54" w14:paraId="49D38E24"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7D1DD6"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Recovery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EE5F86"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Restore systems and services</w:t>
            </w:r>
          </w:p>
        </w:tc>
      </w:tr>
      <w:tr w:rsidR="00A85EE5" w:rsidRPr="00E55F54" w14:paraId="1EC3728C"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00DBA9"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Lessons Learned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F7C167" w14:textId="77777777" w:rsidR="00A85EE5" w:rsidRPr="00E55F54" w:rsidRDefault="00A85EE5" w:rsidP="00693A71">
            <w:pPr>
              <w:spacing w:before="100" w:beforeAutospacing="1" w:after="100" w:afterAutospacing="1"/>
              <w:rPr>
                <w:spacing w:val="-1"/>
                <w:lang w:val="x-none" w:eastAsia="x-none"/>
              </w:rPr>
            </w:pPr>
            <w:r w:rsidRPr="00E55F54">
              <w:rPr>
                <w:spacing w:val="-1"/>
                <w:lang w:val="x-none" w:eastAsia="x-none"/>
              </w:rPr>
              <w:t>Improve future response capabilities</w:t>
            </w:r>
          </w:p>
        </w:tc>
      </w:tr>
    </w:tbl>
    <w:p w14:paraId="4B0E2E70" w14:textId="77777777" w:rsidR="00A85EE5" w:rsidRPr="00E55F54" w:rsidRDefault="00A85EE5" w:rsidP="00A85EE5">
      <w:pPr>
        <w:rPr>
          <w:spacing w:val="-1"/>
          <w:lang w:val="x-none" w:eastAsia="x-none"/>
        </w:rPr>
      </w:pPr>
    </w:p>
    <w:p w14:paraId="7A1866C2" w14:textId="77777777" w:rsidR="00A85EE5" w:rsidRPr="00E55F54" w:rsidRDefault="00A85EE5" w:rsidP="00A85EE5">
      <w:pPr>
        <w:spacing w:before="100" w:beforeAutospacing="1" w:after="100" w:afterAutospacing="1"/>
        <w:outlineLvl w:val="2"/>
        <w:rPr>
          <w:spacing w:val="-1"/>
          <w:lang w:val="x-none" w:eastAsia="x-none"/>
        </w:rPr>
      </w:pPr>
      <w:r w:rsidRPr="00E55F54">
        <w:rPr>
          <w:spacing w:val="-1"/>
          <w:lang w:val="x-none" w:eastAsia="x-none"/>
        </w:rPr>
        <w:t>Table 4. Incident Response Lifecycle</w:t>
      </w:r>
    </w:p>
    <w:p w14:paraId="59CED797" w14:textId="404790F1" w:rsidR="00A85EE5" w:rsidRPr="00E55F54" w:rsidRDefault="00A85EE5" w:rsidP="00FE451D">
      <w:pPr>
        <w:pStyle w:val="p1"/>
        <w:rPr>
          <w:rFonts w:eastAsia="SimSun"/>
          <w:spacing w:val="-1"/>
          <w:sz w:val="20"/>
          <w:szCs w:val="20"/>
          <w:lang w:val="x-none" w:eastAsia="x-none"/>
        </w:rPr>
      </w:pPr>
      <w:r w:rsidRPr="00E55F54">
        <w:rPr>
          <w:rFonts w:eastAsia="SimSun"/>
          <w:spacing w:val="-1"/>
          <w:sz w:val="20"/>
          <w:szCs w:val="20"/>
          <w:lang w:val="x-none" w:eastAsia="x-none"/>
        </w:rPr>
        <w:t>Table 4 summarises the main stages of the incident response process. Following a structured lifecycle enables organisations to minimise business disruption, recover more quickly from security incidents, and continuously strengthen their cybersecurity capabilities.</w:t>
      </w:r>
    </w:p>
    <w:p w14:paraId="6F31952B" w14:textId="77777777" w:rsidR="00A85EE5" w:rsidRDefault="00A85EE5" w:rsidP="00A85EE5"/>
    <w:p w14:paraId="5C34803D" w14:textId="308C62B6" w:rsidR="00A85EE5" w:rsidRDefault="00A85EE5" w:rsidP="00120DA8">
      <w:pPr>
        <w:pStyle w:val="Heading2"/>
        <w:jc w:val="center"/>
      </w:pPr>
      <w:r w:rsidRPr="0059730A">
        <w:t>Technical Security Controls</w:t>
      </w:r>
    </w:p>
    <w:p w14:paraId="65289A78" w14:textId="77777777" w:rsidR="00A85EE5" w:rsidRPr="00E55F54"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Technical security controls form the foundation of a modern cybersecurity programme by protecting organisational systems, networks, applications, and data against increasingly sophisticated cyber threats. Following the Equifax breach, it became evident that organisations require multiple layers of technical defence rather than relying on a single security mechanism. A defence-in-depth approach significantly improves the ability to prevent, detect, and respond to cyberattacks.</w:t>
      </w:r>
    </w:p>
    <w:p w14:paraId="61BAE687" w14:textId="77777777" w:rsidR="00A85EE5" w:rsidRPr="00E55F54"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Identity and Access Management (IAM) should ensure that users receive only the permissions required to perform authorised business activities. Multi-Factor Authentication (MFA) should be mandatory for privileged accounts and employees accessing sensitive information. Role-Based Access Control (RBAC) and the principle of least privilege should minimise unnecessary access rights and reduce the impact of compromised credentials.</w:t>
      </w:r>
    </w:p>
    <w:p w14:paraId="5A2AA953" w14:textId="548D0D37" w:rsidR="00A85EE5" w:rsidRPr="00E55F54"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Network security should include firewalls, network segmentation, intrusion detection and prevention systems (IDS/IPS), Virtual Private Networks (VPNs), and continuous monitoring through Security Information and Event Management (SIEM) platforms. Endpoint Detection and Response (EDR) solutions should continuously monitor endpoints for malicious behaviour, while encryption should protect sensitive information both during storage and transmission [2], [1</w:t>
      </w:r>
      <w:r w:rsidR="00E37713" w:rsidRPr="00E37713">
        <w:rPr>
          <w:rFonts w:eastAsia="SimSun"/>
          <w:spacing w:val="-1"/>
          <w:sz w:val="20"/>
          <w:szCs w:val="20"/>
          <w:lang w:eastAsia="x-none"/>
        </w:rPr>
        <w:t>5</w:t>
      </w:r>
      <w:r w:rsidRPr="00E55F54">
        <w:rPr>
          <w:rFonts w:eastAsia="SimSun"/>
          <w:spacing w:val="-1"/>
          <w:sz w:val="20"/>
          <w:szCs w:val="20"/>
          <w:lang w:val="x-none" w:eastAsia="x-none"/>
        </w:rPr>
        <w:t>].</w:t>
      </w:r>
    </w:p>
    <w:p w14:paraId="31AEBEA7"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Regular vulnerability scanning, automated patch management, secure configuration management, backup procedures, and disaster recovery planning should complement these technical controls. Organisations should also adopt continuous security monitoring and threat intelligence to identify emerging risks and maintain an effective cybersecurity posture capable of responding to evolving cyber threats.</w:t>
      </w:r>
    </w:p>
    <w:p w14:paraId="1649DB30" w14:textId="05563069" w:rsidR="00FE451D"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Together, these controls can significantly reduce attacker dwell time by enabling suspicious activity to be detected and contained more rapidly. SIEM and EDR provide continuous visibility across systems and endpoints, while network segmentation and automated response mechanisms can restrict lateral movement after a compromise. Earlier detection and containment reduce the potential for data loss, operational disruption, financial damage, and reputational harm.</w:t>
      </w:r>
    </w:p>
    <w:p w14:paraId="309C86AE" w14:textId="77777777" w:rsidR="00EB5EA4" w:rsidRDefault="00EB5EA4" w:rsidP="00A85EE5">
      <w:pPr>
        <w:pStyle w:val="p1"/>
        <w:rPr>
          <w:rFonts w:eastAsia="SimSun"/>
          <w:spacing w:val="-1"/>
          <w:sz w:val="20"/>
          <w:szCs w:val="20"/>
          <w:lang w:val="x-none" w:eastAsia="x-none"/>
        </w:rPr>
      </w:pPr>
    </w:p>
    <w:p w14:paraId="76BC4D1F" w14:textId="77777777" w:rsidR="00EB5EA4" w:rsidRDefault="00EB5EA4" w:rsidP="00A85EE5">
      <w:pPr>
        <w:pStyle w:val="p1"/>
        <w:rPr>
          <w:rFonts w:eastAsia="SimSun"/>
          <w:spacing w:val="-1"/>
          <w:sz w:val="20"/>
          <w:szCs w:val="20"/>
          <w:lang w:val="x-none" w:eastAsia="x-none"/>
        </w:rPr>
      </w:pPr>
    </w:p>
    <w:p w14:paraId="2A23508C" w14:textId="77777777" w:rsidR="00EB5EA4" w:rsidRPr="00E55F54" w:rsidRDefault="00EB5EA4" w:rsidP="00A85EE5">
      <w:pPr>
        <w:pStyle w:val="p1"/>
        <w:rPr>
          <w:rFonts w:eastAsia="SimSun"/>
          <w:spacing w:val="-1"/>
          <w:sz w:val="20"/>
          <w:szCs w:val="20"/>
          <w:lang w:val="x-none" w:eastAsia="x-none"/>
        </w:rPr>
      </w:pPr>
    </w:p>
    <w:p w14:paraId="4DC6F72D" w14:textId="77777777" w:rsidR="00E55F54" w:rsidRPr="00E55F54" w:rsidRDefault="00E55F54" w:rsidP="00A85EE5">
      <w:pPr>
        <w:pStyle w:val="p1"/>
        <w:rPr>
          <w:rFonts w:eastAsia="SimSun"/>
          <w:spacing w:val="-1"/>
          <w:sz w:val="20"/>
          <w:szCs w:val="20"/>
          <w:lang w:val="x-none" w:eastAsia="x-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675"/>
        <w:gridCol w:w="2175"/>
      </w:tblGrid>
      <w:tr w:rsidR="00A85EE5" w:rsidRPr="00E55F54" w14:paraId="071FD54E" w14:textId="77777777" w:rsidTr="00693A71">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B2BDEB"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lastRenderedPageBreak/>
              <w:t>Security Control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2C860F"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Purpose</w:t>
            </w:r>
          </w:p>
        </w:tc>
      </w:tr>
      <w:tr w:rsidR="00A85EE5" w:rsidRPr="00E55F54" w14:paraId="703A85F6"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46BB5E"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Multi-Factor Authentication (MFA)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8F0188"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Strong user authentication</w:t>
            </w:r>
          </w:p>
        </w:tc>
      </w:tr>
      <w:tr w:rsidR="00A85EE5" w:rsidRPr="00E55F54" w14:paraId="1973FB5C"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321A1E"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Identity and Access Management (IAM)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20AC04"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Manage user access</w:t>
            </w:r>
          </w:p>
        </w:tc>
      </w:tr>
      <w:tr w:rsidR="00A85EE5" w:rsidRPr="00E55F54" w14:paraId="3A32F0B6"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7EAD1A"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SIEM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C36628"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Continuous security monitoring</w:t>
            </w:r>
          </w:p>
        </w:tc>
      </w:tr>
      <w:tr w:rsidR="00A85EE5" w:rsidRPr="00E55F54" w14:paraId="58962F70"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494A56"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EDR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B5A560"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Detect endpoint threats</w:t>
            </w:r>
          </w:p>
        </w:tc>
      </w:tr>
      <w:tr w:rsidR="00A85EE5" w:rsidRPr="00E55F54" w14:paraId="72834CD6"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A6B42E"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Encryption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5B100B"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Protect sensitive information</w:t>
            </w:r>
          </w:p>
        </w:tc>
      </w:tr>
      <w:tr w:rsidR="00A85EE5" w:rsidRPr="00E55F54" w14:paraId="7A9272AA" w14:textId="77777777" w:rsidTr="00693A71">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279B97"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Backup and Recovery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88AE46"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Ensure business continuity</w:t>
            </w:r>
          </w:p>
        </w:tc>
      </w:tr>
    </w:tbl>
    <w:p w14:paraId="5F45EFA6" w14:textId="77777777" w:rsidR="00A85EE5" w:rsidRPr="00E55F54" w:rsidRDefault="00A85EE5" w:rsidP="00E55F54">
      <w:pPr>
        <w:pStyle w:val="p1"/>
        <w:rPr>
          <w:rFonts w:eastAsia="SimSun"/>
          <w:spacing w:val="-1"/>
          <w:sz w:val="20"/>
          <w:szCs w:val="20"/>
          <w:lang w:val="x-none" w:eastAsia="x-none"/>
        </w:rPr>
      </w:pPr>
    </w:p>
    <w:p w14:paraId="190791F1" w14:textId="77777777" w:rsidR="00A85EE5" w:rsidRPr="00E55F54"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Table 5. Recommended Technical Security Controls</w:t>
      </w:r>
    </w:p>
    <w:p w14:paraId="245F7E77" w14:textId="0C5B0ACA" w:rsidR="00A85EE5"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Table 5 summarises the principal technical controls recommended for Equifax’s cybersecurity programme. Combining these technologies provides multiple layers of protection that strengthen organisational resilience and reduce the likelihood of successful cyberattacks.</w:t>
      </w:r>
    </w:p>
    <w:p w14:paraId="14EBDB54" w14:textId="77777777" w:rsidR="00120DA8" w:rsidRDefault="00120DA8" w:rsidP="00A85EE5">
      <w:pPr>
        <w:pStyle w:val="p1"/>
        <w:rPr>
          <w:rFonts w:eastAsia="SimSun"/>
          <w:spacing w:val="-1"/>
          <w:sz w:val="20"/>
          <w:szCs w:val="20"/>
          <w:lang w:val="x-none" w:eastAsia="x-none"/>
        </w:rPr>
      </w:pPr>
    </w:p>
    <w:p w14:paraId="25DD080B" w14:textId="77777777" w:rsidR="00120DA8" w:rsidRDefault="00120DA8" w:rsidP="00A85EE5">
      <w:pPr>
        <w:pStyle w:val="p1"/>
        <w:rPr>
          <w:rFonts w:eastAsia="SimSun"/>
          <w:spacing w:val="-1"/>
          <w:sz w:val="20"/>
          <w:szCs w:val="20"/>
          <w:lang w:val="x-none" w:eastAsia="x-none"/>
        </w:rPr>
      </w:pPr>
    </w:p>
    <w:p w14:paraId="7600C275" w14:textId="77777777" w:rsidR="00120DA8" w:rsidRDefault="00120DA8" w:rsidP="00A85EE5">
      <w:pPr>
        <w:pStyle w:val="p1"/>
        <w:rPr>
          <w:rFonts w:eastAsia="SimSun"/>
          <w:spacing w:val="-1"/>
          <w:sz w:val="20"/>
          <w:szCs w:val="20"/>
          <w:lang w:val="x-none" w:eastAsia="x-none"/>
        </w:rPr>
      </w:pPr>
    </w:p>
    <w:p w14:paraId="6F2DE359" w14:textId="77777777" w:rsidR="00120DA8" w:rsidRDefault="00120DA8" w:rsidP="00A85EE5">
      <w:pPr>
        <w:pStyle w:val="p1"/>
        <w:rPr>
          <w:rFonts w:eastAsia="SimSun"/>
          <w:spacing w:val="-1"/>
          <w:sz w:val="20"/>
          <w:szCs w:val="20"/>
          <w:lang w:val="x-none" w:eastAsia="x-none"/>
        </w:rPr>
      </w:pPr>
    </w:p>
    <w:p w14:paraId="6448BB9F" w14:textId="77777777" w:rsidR="00120DA8" w:rsidRDefault="00120DA8" w:rsidP="00A85EE5">
      <w:pPr>
        <w:pStyle w:val="p1"/>
        <w:rPr>
          <w:rFonts w:eastAsia="SimSun"/>
          <w:spacing w:val="-1"/>
          <w:sz w:val="20"/>
          <w:szCs w:val="20"/>
          <w:lang w:val="x-none" w:eastAsia="x-none"/>
        </w:rPr>
      </w:pPr>
    </w:p>
    <w:p w14:paraId="60D808E1" w14:textId="77777777" w:rsidR="00120DA8" w:rsidRDefault="00120DA8" w:rsidP="00A85EE5">
      <w:pPr>
        <w:pStyle w:val="p1"/>
        <w:rPr>
          <w:rFonts w:eastAsia="SimSun"/>
          <w:spacing w:val="-1"/>
          <w:sz w:val="20"/>
          <w:szCs w:val="20"/>
          <w:lang w:val="x-none" w:eastAsia="x-none"/>
        </w:rPr>
      </w:pPr>
    </w:p>
    <w:p w14:paraId="64F74A7A" w14:textId="77777777" w:rsidR="00120DA8" w:rsidRDefault="00120DA8" w:rsidP="00A85EE5">
      <w:pPr>
        <w:pStyle w:val="p1"/>
        <w:rPr>
          <w:rFonts w:eastAsia="SimSun"/>
          <w:spacing w:val="-1"/>
          <w:sz w:val="20"/>
          <w:szCs w:val="20"/>
          <w:lang w:val="x-none" w:eastAsia="x-none"/>
        </w:rPr>
      </w:pPr>
    </w:p>
    <w:p w14:paraId="26585B1B" w14:textId="77777777" w:rsidR="00120DA8" w:rsidRDefault="00120DA8" w:rsidP="00A85EE5">
      <w:pPr>
        <w:pStyle w:val="p1"/>
        <w:rPr>
          <w:rFonts w:eastAsia="SimSun"/>
          <w:spacing w:val="-1"/>
          <w:sz w:val="20"/>
          <w:szCs w:val="20"/>
          <w:lang w:val="x-none" w:eastAsia="x-none"/>
        </w:rPr>
      </w:pPr>
    </w:p>
    <w:p w14:paraId="2B5732B0" w14:textId="77777777" w:rsidR="00120DA8" w:rsidRDefault="00120DA8" w:rsidP="00A85EE5">
      <w:pPr>
        <w:pStyle w:val="p1"/>
        <w:rPr>
          <w:rFonts w:eastAsia="SimSun"/>
          <w:spacing w:val="-1"/>
          <w:sz w:val="20"/>
          <w:szCs w:val="20"/>
          <w:lang w:val="x-none" w:eastAsia="x-none"/>
        </w:rPr>
      </w:pPr>
    </w:p>
    <w:p w14:paraId="7F4F25D3" w14:textId="77777777" w:rsidR="00120DA8" w:rsidRDefault="00120DA8" w:rsidP="00A85EE5">
      <w:pPr>
        <w:pStyle w:val="p1"/>
        <w:rPr>
          <w:rFonts w:eastAsia="SimSun"/>
          <w:spacing w:val="-1"/>
          <w:sz w:val="20"/>
          <w:szCs w:val="20"/>
          <w:lang w:val="x-none" w:eastAsia="x-none"/>
        </w:rPr>
      </w:pPr>
    </w:p>
    <w:p w14:paraId="185D5588" w14:textId="77777777" w:rsidR="00120DA8" w:rsidRDefault="00120DA8" w:rsidP="00A85EE5">
      <w:pPr>
        <w:pStyle w:val="p1"/>
        <w:rPr>
          <w:rFonts w:eastAsia="SimSun"/>
          <w:spacing w:val="-1"/>
          <w:sz w:val="20"/>
          <w:szCs w:val="20"/>
          <w:lang w:val="x-none" w:eastAsia="x-none"/>
        </w:rPr>
      </w:pPr>
    </w:p>
    <w:p w14:paraId="5638EDFC" w14:textId="77777777" w:rsidR="00120DA8" w:rsidRPr="00E55F54" w:rsidRDefault="00120DA8" w:rsidP="00A85EE5">
      <w:pPr>
        <w:pStyle w:val="p1"/>
        <w:rPr>
          <w:rFonts w:eastAsia="SimSun"/>
          <w:spacing w:val="-1"/>
          <w:sz w:val="20"/>
          <w:szCs w:val="20"/>
          <w:lang w:val="x-none" w:eastAsia="x-none"/>
        </w:rPr>
      </w:pPr>
    </w:p>
    <w:p w14:paraId="7E8372E5" w14:textId="1C27DDAA" w:rsidR="00A85EE5" w:rsidRPr="00120DA8" w:rsidRDefault="00A85EE5" w:rsidP="00DB15AF">
      <w:pPr>
        <w:pStyle w:val="Heading2"/>
        <w:jc w:val="center"/>
      </w:pPr>
      <w:r w:rsidRPr="00120DA8">
        <w:t>Conclusion</w:t>
      </w:r>
    </w:p>
    <w:p w14:paraId="13DBA8F7" w14:textId="77777777" w:rsidR="00A85EE5" w:rsidRPr="00E55F54"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This report has developed a forward-looking cybersecurity programme for Equifax based on recognised security frameworks, governance principles, and industry best practices. The recommendations presented throughout the report address the weaknesses identified following the 2017 Equifax data breach while supporting a proactive approach to managing modern cybersecurity risks.</w:t>
      </w:r>
    </w:p>
    <w:p w14:paraId="6CEDC340" w14:textId="77777777" w:rsidR="00A85EE5" w:rsidRPr="00E55F54"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The proposed programme combines effective governance, comprehensive security policies, continuous risk management, regulatory compliance, structured incident response, and modern technical security controls. Together, these measures strengthen organisational resilience, improve protection of sensitive information, and reduce the likelihood of future cyber incidents.</w:t>
      </w:r>
    </w:p>
    <w:p w14:paraId="78685EF0" w14:textId="77777777" w:rsidR="00A85EE5" w:rsidRPr="00E55F54" w:rsidRDefault="00A85EE5" w:rsidP="00A85EE5">
      <w:pPr>
        <w:pStyle w:val="p1"/>
        <w:rPr>
          <w:rFonts w:eastAsia="SimSun"/>
          <w:spacing w:val="-1"/>
          <w:sz w:val="20"/>
          <w:szCs w:val="20"/>
          <w:lang w:val="x-none" w:eastAsia="x-none"/>
        </w:rPr>
      </w:pPr>
      <w:r w:rsidRPr="00E55F54">
        <w:rPr>
          <w:rFonts w:eastAsia="SimSun"/>
          <w:spacing w:val="-1"/>
          <w:sz w:val="20"/>
          <w:szCs w:val="20"/>
          <w:lang w:val="x-none" w:eastAsia="x-none"/>
        </w:rPr>
        <w:t>Cybersecurity should be regarded as an ongoing organisational responsibility rather than a one-time technical implementation. Continuous monitoring, employee awareness, regular policy reviews, and investment in modern security technologies enable organisations to adapt to evolving cyber threats while maintaining stakeholder confidence and regulatory compliance.</w:t>
      </w:r>
    </w:p>
    <w:p w14:paraId="570F2495" w14:textId="77777777" w:rsidR="00A85EE5" w:rsidRPr="00E55F54" w:rsidRDefault="00A85EE5" w:rsidP="00E55F54">
      <w:pPr>
        <w:pStyle w:val="p1"/>
        <w:rPr>
          <w:rFonts w:eastAsia="SimSun"/>
          <w:spacing w:val="-1"/>
          <w:sz w:val="20"/>
          <w:szCs w:val="20"/>
          <w:lang w:val="x-none" w:eastAsia="x-none"/>
        </w:rPr>
      </w:pPr>
      <w:r w:rsidRPr="00E55F54">
        <w:rPr>
          <w:rFonts w:eastAsia="SimSun"/>
          <w:spacing w:val="-1"/>
          <w:sz w:val="20"/>
          <w:szCs w:val="20"/>
          <w:lang w:val="x-none" w:eastAsia="x-none"/>
        </w:rPr>
        <w:t>Overall, implementing this forward-looking cybersecurity programme would significantly enhance Equifax’s ability to protect its information assets, respond effectively to security incidents, and maintain a resilient cybersecurity posture capable of supporting long-term business success.</w:t>
      </w:r>
    </w:p>
    <w:p w14:paraId="21DCF289" w14:textId="77777777" w:rsidR="00744F62" w:rsidRPr="00C50ABD" w:rsidRDefault="00744F62" w:rsidP="00A059B3">
      <w:pPr>
        <w:pStyle w:val="Heading5"/>
        <w:rPr>
          <w:smallCaps w:val="0"/>
          <w:noProof w:val="0"/>
          <w:spacing w:val="-1"/>
          <w:lang w:val="en-GB" w:eastAsia="x-none"/>
        </w:rPr>
      </w:pPr>
    </w:p>
    <w:p w14:paraId="0E0E6AED" w14:textId="77777777" w:rsidR="00461CD2" w:rsidRDefault="00461CD2" w:rsidP="000B3275">
      <w:pPr>
        <w:pStyle w:val="Heading5"/>
      </w:pPr>
    </w:p>
    <w:p w14:paraId="66197CF2" w14:textId="77777777" w:rsidR="00461CD2" w:rsidRDefault="00461CD2" w:rsidP="000B3275">
      <w:pPr>
        <w:pStyle w:val="Heading5"/>
      </w:pPr>
    </w:p>
    <w:p w14:paraId="46D4AC27" w14:textId="77777777" w:rsidR="00461CD2" w:rsidRDefault="00461CD2" w:rsidP="000B3275">
      <w:pPr>
        <w:pStyle w:val="Heading5"/>
      </w:pPr>
    </w:p>
    <w:p w14:paraId="2C5487BA" w14:textId="77777777" w:rsidR="00461CD2" w:rsidRDefault="00461CD2" w:rsidP="000B3275">
      <w:pPr>
        <w:pStyle w:val="Heading5"/>
      </w:pPr>
    </w:p>
    <w:p w14:paraId="704D6582" w14:textId="77777777" w:rsidR="00461CD2" w:rsidRDefault="00461CD2" w:rsidP="000B3275">
      <w:pPr>
        <w:pStyle w:val="Heading5"/>
      </w:pPr>
    </w:p>
    <w:p w14:paraId="716AA1C2" w14:textId="77777777" w:rsidR="00461CD2" w:rsidRDefault="00461CD2" w:rsidP="000B3275">
      <w:pPr>
        <w:pStyle w:val="Heading5"/>
      </w:pPr>
    </w:p>
    <w:p w14:paraId="1D8E2DED" w14:textId="77777777" w:rsidR="00461CD2" w:rsidRDefault="00461CD2" w:rsidP="000B3275">
      <w:pPr>
        <w:pStyle w:val="Heading5"/>
      </w:pPr>
    </w:p>
    <w:p w14:paraId="66CA199C" w14:textId="77777777" w:rsidR="00461CD2" w:rsidRDefault="00461CD2" w:rsidP="000B3275">
      <w:pPr>
        <w:pStyle w:val="Heading5"/>
      </w:pPr>
    </w:p>
    <w:p w14:paraId="6B49C0C1" w14:textId="77777777" w:rsidR="00461CD2" w:rsidRDefault="00461CD2" w:rsidP="000B3275">
      <w:pPr>
        <w:pStyle w:val="Heading5"/>
      </w:pPr>
    </w:p>
    <w:p w14:paraId="2111FC0A" w14:textId="77777777" w:rsidR="00461CD2" w:rsidRDefault="00461CD2" w:rsidP="000B3275">
      <w:pPr>
        <w:pStyle w:val="Heading5"/>
      </w:pPr>
    </w:p>
    <w:p w14:paraId="4E12FA0A" w14:textId="77777777" w:rsidR="00461CD2" w:rsidRDefault="00461CD2" w:rsidP="000B3275">
      <w:pPr>
        <w:pStyle w:val="Heading5"/>
      </w:pPr>
    </w:p>
    <w:p w14:paraId="680BDB38" w14:textId="77777777" w:rsidR="00461CD2" w:rsidRDefault="00461CD2" w:rsidP="000B3275">
      <w:pPr>
        <w:pStyle w:val="Heading5"/>
      </w:pPr>
    </w:p>
    <w:p w14:paraId="3F182911" w14:textId="77777777" w:rsidR="00461CD2" w:rsidRDefault="00461CD2" w:rsidP="00227199">
      <w:pPr>
        <w:pStyle w:val="Heading5"/>
        <w:jc w:val="both"/>
      </w:pPr>
    </w:p>
    <w:p w14:paraId="1975344C" w14:textId="77777777" w:rsidR="00DB15AF" w:rsidRDefault="00DB15AF" w:rsidP="00DB15AF">
      <w:pPr>
        <w:pStyle w:val="Heading5"/>
        <w:jc w:val="both"/>
      </w:pPr>
    </w:p>
    <w:p w14:paraId="23E2CEF3" w14:textId="4520E16F" w:rsidR="00F958FD" w:rsidRDefault="00F958FD" w:rsidP="00DB15AF">
      <w:pPr>
        <w:pStyle w:val="Heading5"/>
      </w:pPr>
      <w:r>
        <w:lastRenderedPageBreak/>
        <w:t>References:</w:t>
      </w:r>
    </w:p>
    <w:p w14:paraId="4F2A05CF" w14:textId="6B33A7BB" w:rsidR="00F958FD" w:rsidRPr="00FB02D4" w:rsidRDefault="00B74BEE" w:rsidP="00F958FD">
      <w:pPr>
        <w:pStyle w:val="p1"/>
        <w:rPr>
          <w:rFonts w:eastAsia="MS Mincho"/>
          <w:noProof/>
          <w:sz w:val="16"/>
          <w:szCs w:val="16"/>
          <w:lang w:val="en-US" w:eastAsia="en-US"/>
        </w:rPr>
      </w:pPr>
      <w:r w:rsidRPr="00FB02D4">
        <w:rPr>
          <w:rFonts w:eastAsia="MS Mincho"/>
          <w:noProof/>
          <w:sz w:val="16"/>
          <w:szCs w:val="16"/>
          <w:lang w:val="en-US" w:eastAsia="en-US"/>
        </w:rPr>
        <w:t>[</w:t>
      </w:r>
      <w:r w:rsidR="00F958FD" w:rsidRPr="00FB02D4">
        <w:rPr>
          <w:rFonts w:eastAsia="MS Mincho"/>
          <w:noProof/>
          <w:sz w:val="16"/>
          <w:szCs w:val="16"/>
          <w:lang w:val="en-US" w:eastAsia="en-US"/>
        </w:rPr>
        <w:t>1] S. Rose, O. Borchert, S. Mitchell, and S. Connelly, Zero Trust Architecture, NIST Special Publication 800-207. National Institute of Standards and Technology, 2020.</w:t>
      </w:r>
    </w:p>
    <w:p w14:paraId="1A2DC59F" w14:textId="77777777" w:rsidR="00F958FD" w:rsidRPr="00FB02D4" w:rsidRDefault="00F958FD" w:rsidP="00F958FD">
      <w:pPr>
        <w:pStyle w:val="p1"/>
        <w:rPr>
          <w:rFonts w:eastAsia="MS Mincho"/>
          <w:noProof/>
          <w:sz w:val="16"/>
          <w:szCs w:val="16"/>
          <w:lang w:val="en-US" w:eastAsia="en-US"/>
        </w:rPr>
      </w:pPr>
      <w:r w:rsidRPr="00FB02D4">
        <w:rPr>
          <w:rFonts w:eastAsia="MS Mincho"/>
          <w:noProof/>
          <w:sz w:val="16"/>
          <w:szCs w:val="16"/>
          <w:lang w:val="en-US" w:eastAsia="en-US"/>
        </w:rPr>
        <w:t>[2] C. Pascoe, S. Quinn, and K. Scarfone, The NIST Cybersecurity Framework (CSF) 2.0. National Institute of Standards and Technology, 2024.</w:t>
      </w:r>
    </w:p>
    <w:p w14:paraId="26C76EE7" w14:textId="77777777" w:rsidR="00ED20E9" w:rsidRPr="00FB02D4" w:rsidRDefault="00F958FD" w:rsidP="00ED20E9">
      <w:pPr>
        <w:pStyle w:val="p1"/>
        <w:rPr>
          <w:rFonts w:eastAsia="MS Mincho"/>
          <w:noProof/>
          <w:sz w:val="16"/>
          <w:szCs w:val="16"/>
          <w:lang w:val="en-US" w:eastAsia="en-US"/>
        </w:rPr>
      </w:pPr>
      <w:r w:rsidRPr="00FB02D4">
        <w:rPr>
          <w:rFonts w:eastAsia="MS Mincho"/>
          <w:noProof/>
          <w:sz w:val="16"/>
          <w:szCs w:val="16"/>
          <w:lang w:val="en-US" w:eastAsia="en-US"/>
        </w:rPr>
        <w:t xml:space="preserve">[3] </w:t>
      </w:r>
      <w:r w:rsidR="00ED20E9" w:rsidRPr="00FB02D4">
        <w:rPr>
          <w:rFonts w:eastAsia="MS Mincho"/>
          <w:noProof/>
          <w:sz w:val="16"/>
          <w:szCs w:val="16"/>
          <w:lang w:val="en-US" w:eastAsia="en-US"/>
        </w:rPr>
        <w:t>Information Commissioner’s Office, “Encryption,” A Guide to Data Security, ICO.</w:t>
      </w:r>
    </w:p>
    <w:p w14:paraId="208BB773" w14:textId="77777777" w:rsidR="00567FE9" w:rsidRPr="00FB02D4" w:rsidRDefault="00F958FD" w:rsidP="00567FE9">
      <w:pPr>
        <w:pStyle w:val="p1"/>
        <w:rPr>
          <w:rFonts w:eastAsia="MS Mincho"/>
          <w:noProof/>
          <w:sz w:val="16"/>
          <w:szCs w:val="16"/>
          <w:lang w:val="en-US" w:eastAsia="en-US"/>
        </w:rPr>
      </w:pPr>
      <w:r w:rsidRPr="00FB02D4">
        <w:rPr>
          <w:rFonts w:eastAsia="MS Mincho"/>
          <w:noProof/>
          <w:sz w:val="16"/>
          <w:szCs w:val="16"/>
          <w:lang w:val="en-US" w:eastAsia="en-US"/>
        </w:rPr>
        <w:t xml:space="preserve">[4] </w:t>
      </w:r>
      <w:r w:rsidR="00567FE9" w:rsidRPr="00FB02D4">
        <w:rPr>
          <w:rFonts w:eastAsia="MS Mincho"/>
          <w:noProof/>
          <w:sz w:val="16"/>
          <w:szCs w:val="16"/>
          <w:lang w:val="en-US" w:eastAsia="en-US"/>
        </w:rPr>
        <w:t>A. Nelson, S. Rekhi, M. Souppaya, and K. Scarfone, Incident Response Recommendations and Considerations for Cybersecurity Risk Management: A CSF 2.0 Community Profile, NIST Special Publication 800-61 Rev. 3. National Institute of Standards and Technology, 2025.</w:t>
      </w:r>
    </w:p>
    <w:p w14:paraId="06857F07" w14:textId="77777777" w:rsidR="003A6F10" w:rsidRPr="00FB02D4" w:rsidRDefault="00F958FD" w:rsidP="003A6F10">
      <w:pPr>
        <w:pStyle w:val="p2"/>
        <w:rPr>
          <w:rFonts w:eastAsia="MS Mincho"/>
          <w:noProof/>
          <w:sz w:val="16"/>
          <w:szCs w:val="16"/>
          <w:lang w:val="en-US" w:eastAsia="en-US"/>
        </w:rPr>
      </w:pPr>
      <w:r w:rsidRPr="00FB02D4">
        <w:rPr>
          <w:rFonts w:eastAsia="MS Mincho"/>
          <w:noProof/>
          <w:sz w:val="16"/>
          <w:szCs w:val="16"/>
          <w:lang w:val="en-US" w:eastAsia="en-US"/>
        </w:rPr>
        <w:t xml:space="preserve">[5] </w:t>
      </w:r>
      <w:r w:rsidR="003A6F10" w:rsidRPr="00FB02D4">
        <w:rPr>
          <w:rFonts w:eastAsia="MS Mincho"/>
          <w:noProof/>
          <w:sz w:val="16"/>
          <w:szCs w:val="16"/>
          <w:lang w:val="en-US" w:eastAsia="en-US"/>
        </w:rPr>
        <w:t>Cybersecurity and Infrastructure Security Agency, Zero Trust Maturity Model Version 2.0, CISA.</w:t>
      </w:r>
    </w:p>
    <w:p w14:paraId="4CA75722" w14:textId="57E66720" w:rsidR="00F958FD" w:rsidRPr="00C819DA" w:rsidRDefault="00F958FD" w:rsidP="00F958FD">
      <w:pPr>
        <w:pStyle w:val="p1"/>
        <w:rPr>
          <w:rFonts w:eastAsia="MS Mincho"/>
          <w:noProof/>
          <w:sz w:val="16"/>
          <w:szCs w:val="16"/>
          <w:lang w:eastAsia="en-US"/>
        </w:rPr>
      </w:pPr>
      <w:r w:rsidRPr="00FB02D4">
        <w:rPr>
          <w:rFonts w:eastAsia="MS Mincho"/>
          <w:noProof/>
          <w:sz w:val="16"/>
          <w:szCs w:val="16"/>
          <w:lang w:val="en-US" w:eastAsia="en-US"/>
        </w:rPr>
        <w:t xml:space="preserve">[6] </w:t>
      </w:r>
      <w:r w:rsidR="00BE0375" w:rsidRPr="00FB02D4">
        <w:rPr>
          <w:rFonts w:eastAsia="MS Mincho"/>
          <w:noProof/>
          <w:sz w:val="16"/>
          <w:szCs w:val="16"/>
          <w:lang w:val="en-US" w:eastAsia="en-US"/>
        </w:rPr>
        <w:t>U.S. Government Accountability Office, Data Protection: Actions Taken by Equifax and Federal Agencies in Response to the 2017 Breach, GAO-18-559, 2018.</w:t>
      </w:r>
    </w:p>
    <w:p w14:paraId="00AC30A0" w14:textId="77777777" w:rsidR="00EE42A8" w:rsidRPr="00FB02D4" w:rsidRDefault="00F958FD" w:rsidP="00EE42A8">
      <w:pPr>
        <w:pStyle w:val="p1"/>
        <w:rPr>
          <w:rFonts w:eastAsia="MS Mincho"/>
          <w:noProof/>
          <w:sz w:val="16"/>
          <w:szCs w:val="16"/>
          <w:lang w:val="en-US" w:eastAsia="en-US"/>
        </w:rPr>
      </w:pPr>
      <w:r w:rsidRPr="00FB02D4">
        <w:rPr>
          <w:rFonts w:eastAsia="MS Mincho"/>
          <w:noProof/>
          <w:sz w:val="16"/>
          <w:szCs w:val="16"/>
          <w:lang w:val="en-US" w:eastAsia="en-US"/>
        </w:rPr>
        <w:t xml:space="preserve">[7] </w:t>
      </w:r>
      <w:r w:rsidR="00EE42A8" w:rsidRPr="00FB02D4">
        <w:rPr>
          <w:rFonts w:eastAsia="MS Mincho"/>
          <w:noProof/>
          <w:sz w:val="16"/>
          <w:szCs w:val="16"/>
          <w:lang w:val="en-US" w:eastAsia="en-US"/>
        </w:rPr>
        <w:t>Federal Trade Commission, “Equifax to Pay $575 Million as Part of Settlement with FTC, CFPB, and States Related to 2017 Data Breach,” 2019.</w:t>
      </w:r>
    </w:p>
    <w:p w14:paraId="33B6DE28" w14:textId="77777777" w:rsidR="001A5BD4" w:rsidRDefault="00F958FD" w:rsidP="000363ED">
      <w:pPr>
        <w:pStyle w:val="p1"/>
        <w:rPr>
          <w:rFonts w:eastAsia="MS Mincho"/>
          <w:noProof/>
          <w:sz w:val="16"/>
          <w:szCs w:val="16"/>
          <w:lang w:eastAsia="en-US"/>
        </w:rPr>
      </w:pPr>
      <w:r w:rsidRPr="00FB02D4">
        <w:rPr>
          <w:rFonts w:eastAsia="MS Mincho"/>
          <w:noProof/>
          <w:sz w:val="16"/>
          <w:szCs w:val="16"/>
          <w:lang w:val="en-US" w:eastAsia="en-US"/>
        </w:rPr>
        <w:t xml:space="preserve">[8] </w:t>
      </w:r>
      <w:r w:rsidR="00C819DA" w:rsidRPr="00FB02D4">
        <w:rPr>
          <w:rFonts w:eastAsia="MS Mincho"/>
          <w:noProof/>
          <w:sz w:val="16"/>
          <w:szCs w:val="16"/>
          <w:lang w:val="en-US" w:eastAsia="en-US"/>
        </w:rPr>
        <w:t>International Organization for Standardization, ISO/IEC 27001:2022 — Information Security, Cybersecurity and Privacy Protection — Information Security Management Systems — Requirements, 2022.</w:t>
      </w:r>
    </w:p>
    <w:p w14:paraId="77C37F1E" w14:textId="77777777" w:rsidR="001A5BD4" w:rsidRDefault="001A5BD4" w:rsidP="000363ED">
      <w:pPr>
        <w:pStyle w:val="p1"/>
        <w:rPr>
          <w:rFonts w:eastAsia="MS Mincho"/>
          <w:noProof/>
          <w:sz w:val="16"/>
          <w:szCs w:val="16"/>
          <w:lang w:eastAsia="en-US"/>
        </w:rPr>
      </w:pPr>
    </w:p>
    <w:p w14:paraId="18731489" w14:textId="77777777" w:rsidR="001A5BD4" w:rsidRDefault="001A5BD4" w:rsidP="000363ED">
      <w:pPr>
        <w:pStyle w:val="p1"/>
        <w:rPr>
          <w:rFonts w:eastAsia="MS Mincho"/>
          <w:noProof/>
          <w:sz w:val="16"/>
          <w:szCs w:val="16"/>
          <w:lang w:eastAsia="en-US"/>
        </w:rPr>
      </w:pPr>
    </w:p>
    <w:p w14:paraId="7CD4F9D8" w14:textId="77777777" w:rsidR="001A5BD4" w:rsidRDefault="001A5BD4" w:rsidP="000363ED">
      <w:pPr>
        <w:pStyle w:val="p1"/>
        <w:rPr>
          <w:rFonts w:eastAsia="MS Mincho"/>
          <w:noProof/>
          <w:sz w:val="16"/>
          <w:szCs w:val="16"/>
          <w:lang w:eastAsia="en-US"/>
        </w:rPr>
      </w:pPr>
    </w:p>
    <w:p w14:paraId="3ACAD471" w14:textId="77777777" w:rsidR="001A5BD4" w:rsidRDefault="001A5BD4" w:rsidP="000363ED">
      <w:pPr>
        <w:pStyle w:val="p1"/>
        <w:rPr>
          <w:rFonts w:eastAsia="MS Mincho"/>
          <w:noProof/>
          <w:sz w:val="16"/>
          <w:szCs w:val="16"/>
          <w:lang w:eastAsia="en-US"/>
        </w:rPr>
      </w:pPr>
    </w:p>
    <w:p w14:paraId="733BC698" w14:textId="77777777" w:rsidR="001A5BD4" w:rsidRDefault="001A5BD4" w:rsidP="000363ED">
      <w:pPr>
        <w:pStyle w:val="p1"/>
        <w:rPr>
          <w:rFonts w:eastAsia="MS Mincho"/>
          <w:noProof/>
          <w:sz w:val="16"/>
          <w:szCs w:val="16"/>
          <w:lang w:eastAsia="en-US"/>
        </w:rPr>
      </w:pPr>
    </w:p>
    <w:p w14:paraId="1A0535F4" w14:textId="77777777" w:rsidR="001A5BD4" w:rsidRDefault="001A5BD4" w:rsidP="000363ED">
      <w:pPr>
        <w:pStyle w:val="p1"/>
        <w:rPr>
          <w:rFonts w:eastAsia="MS Mincho"/>
          <w:noProof/>
          <w:sz w:val="16"/>
          <w:szCs w:val="16"/>
          <w:lang w:eastAsia="en-US"/>
        </w:rPr>
      </w:pPr>
    </w:p>
    <w:p w14:paraId="6B93B02F" w14:textId="77777777" w:rsidR="001A5BD4" w:rsidRDefault="001A5BD4" w:rsidP="000363ED">
      <w:pPr>
        <w:pStyle w:val="p1"/>
        <w:rPr>
          <w:rFonts w:eastAsia="MS Mincho"/>
          <w:noProof/>
          <w:sz w:val="16"/>
          <w:szCs w:val="16"/>
          <w:lang w:eastAsia="en-US"/>
        </w:rPr>
      </w:pPr>
    </w:p>
    <w:p w14:paraId="29A53E15" w14:textId="6FE627D9" w:rsidR="00F958FD" w:rsidRPr="001A5BD4" w:rsidRDefault="00F958FD" w:rsidP="000363ED">
      <w:pPr>
        <w:pStyle w:val="p1"/>
        <w:rPr>
          <w:rFonts w:eastAsia="MS Mincho"/>
          <w:noProof/>
          <w:sz w:val="16"/>
          <w:szCs w:val="16"/>
          <w:lang w:eastAsia="en-US"/>
        </w:rPr>
      </w:pPr>
      <w:r w:rsidRPr="00FB02D4">
        <w:rPr>
          <w:rFonts w:eastAsia="MS Mincho"/>
          <w:noProof/>
          <w:sz w:val="16"/>
          <w:szCs w:val="16"/>
          <w:lang w:val="en-US" w:eastAsia="en-US"/>
        </w:rPr>
        <w:t xml:space="preserve">[9] </w:t>
      </w:r>
      <w:r w:rsidR="000363ED" w:rsidRPr="00FB02D4">
        <w:rPr>
          <w:rFonts w:eastAsia="MS Mincho"/>
          <w:noProof/>
          <w:sz w:val="16"/>
          <w:szCs w:val="16"/>
          <w:lang w:val="en-US" w:eastAsia="en-US"/>
        </w:rPr>
        <w:t>D. Temoshok, Y. Choong, A. Regenscheid, R. Galluzzo, J. Fenton, J. Richer, and N. Lefkovitz, Digital Identity Guidelines: Authentication and Authenticator Management, NIST Special Publication 800-63B-4. National Institute of Standards and Technology, 2025.</w:t>
      </w:r>
    </w:p>
    <w:p w14:paraId="708B1A45" w14:textId="77777777" w:rsidR="00D152A6" w:rsidRPr="00FB02D4" w:rsidRDefault="00F958FD" w:rsidP="00D152A6">
      <w:pPr>
        <w:pStyle w:val="p1"/>
        <w:rPr>
          <w:rFonts w:eastAsia="MS Mincho"/>
          <w:noProof/>
          <w:sz w:val="16"/>
          <w:szCs w:val="16"/>
          <w:lang w:val="en-US" w:eastAsia="en-US"/>
        </w:rPr>
      </w:pPr>
      <w:r w:rsidRPr="00FB02D4">
        <w:rPr>
          <w:rFonts w:eastAsia="MS Mincho"/>
          <w:noProof/>
          <w:sz w:val="16"/>
          <w:szCs w:val="16"/>
          <w:lang w:val="en-US" w:eastAsia="en-US"/>
        </w:rPr>
        <w:t xml:space="preserve">[10] </w:t>
      </w:r>
      <w:r w:rsidR="00D152A6" w:rsidRPr="00FB02D4">
        <w:rPr>
          <w:rFonts w:eastAsia="MS Mincho"/>
          <w:noProof/>
          <w:sz w:val="16"/>
          <w:szCs w:val="16"/>
          <w:lang w:val="en-US" w:eastAsia="en-US"/>
        </w:rPr>
        <w:t>M. Souppaya and K. Scarfone, Guide to Enterprise Patch Management Planning: Preventive Maintenance for Technology, NIST Special Publication 800-40 Rev. 4. National Institute of Standards and Technology, 2022.</w:t>
      </w:r>
    </w:p>
    <w:p w14:paraId="4027427A" w14:textId="34AD984B" w:rsidR="00F958FD" w:rsidRPr="00997991" w:rsidRDefault="00F958FD" w:rsidP="00997991">
      <w:pPr>
        <w:pStyle w:val="p2"/>
        <w:rPr>
          <w:rFonts w:eastAsia="MS Mincho"/>
          <w:noProof/>
          <w:sz w:val="16"/>
          <w:szCs w:val="16"/>
          <w:lang w:eastAsia="en-US"/>
        </w:rPr>
      </w:pPr>
      <w:r w:rsidRPr="00FB02D4">
        <w:rPr>
          <w:rFonts w:eastAsia="MS Mincho"/>
          <w:noProof/>
          <w:sz w:val="16"/>
          <w:szCs w:val="16"/>
          <w:lang w:val="en-US" w:eastAsia="en-US"/>
        </w:rPr>
        <w:t xml:space="preserve">[11] </w:t>
      </w:r>
      <w:r w:rsidR="00997991" w:rsidRPr="00FB02D4">
        <w:rPr>
          <w:rFonts w:eastAsia="MS Mincho"/>
          <w:noProof/>
          <w:sz w:val="16"/>
          <w:szCs w:val="16"/>
          <w:lang w:val="en-US" w:eastAsia="en-US"/>
        </w:rPr>
        <w:t>M. Wilson and J. Hash, Building an Information Technology Security Awareness and Training Program, NIST Special Publication 800-50. National Institute of Standards and Technology, 2003.</w:t>
      </w:r>
    </w:p>
    <w:p w14:paraId="3D2E1EB5" w14:textId="2C0643D1" w:rsidR="00F958FD" w:rsidRPr="00997991" w:rsidRDefault="00F958FD" w:rsidP="00F958FD">
      <w:pPr>
        <w:pStyle w:val="p1"/>
        <w:rPr>
          <w:rFonts w:eastAsia="MS Mincho"/>
          <w:noProof/>
          <w:sz w:val="16"/>
          <w:szCs w:val="16"/>
          <w:lang w:val="ru-RU" w:eastAsia="en-US"/>
        </w:rPr>
      </w:pPr>
      <w:r w:rsidRPr="00FB02D4">
        <w:rPr>
          <w:rFonts w:eastAsia="MS Mincho"/>
          <w:noProof/>
          <w:sz w:val="16"/>
          <w:szCs w:val="16"/>
          <w:lang w:val="en-US" w:eastAsia="en-US"/>
        </w:rPr>
        <w:t xml:space="preserve">[12] </w:t>
      </w:r>
      <w:r w:rsidR="00997991" w:rsidRPr="00FB02D4">
        <w:rPr>
          <w:rFonts w:eastAsia="MS Mincho"/>
          <w:noProof/>
          <w:sz w:val="16"/>
          <w:szCs w:val="16"/>
          <w:lang w:val="en-US" w:eastAsia="en-US"/>
        </w:rPr>
        <w:t>Joint Task Force, Risk Management Framework for Information Systems and Organizations: A System Life Cycle Approach for Security and Privacy, NIST Special Publication 800-37 Rev. 2. National Institute of Standards and Technology, 2018.</w:t>
      </w:r>
    </w:p>
    <w:p w14:paraId="4E029C6A" w14:textId="77777777" w:rsidR="00EF0CD2" w:rsidRPr="00FB02D4" w:rsidRDefault="00F958FD" w:rsidP="00EF0CD2">
      <w:pPr>
        <w:pStyle w:val="p1"/>
        <w:rPr>
          <w:rFonts w:eastAsia="MS Mincho"/>
          <w:noProof/>
          <w:sz w:val="16"/>
          <w:szCs w:val="16"/>
          <w:lang w:val="en-US" w:eastAsia="en-US"/>
        </w:rPr>
      </w:pPr>
      <w:r w:rsidRPr="00FB02D4">
        <w:rPr>
          <w:rFonts w:eastAsia="MS Mincho"/>
          <w:noProof/>
          <w:sz w:val="16"/>
          <w:szCs w:val="16"/>
          <w:lang w:val="en-US" w:eastAsia="en-US"/>
        </w:rPr>
        <w:t xml:space="preserve">[13] </w:t>
      </w:r>
      <w:r w:rsidR="00EF0CD2" w:rsidRPr="00FB02D4">
        <w:rPr>
          <w:rFonts w:eastAsia="MS Mincho"/>
          <w:noProof/>
          <w:sz w:val="16"/>
          <w:szCs w:val="16"/>
          <w:lang w:val="en-US" w:eastAsia="en-US"/>
        </w:rPr>
        <w:t>Information Commissioner’s Office, “A Guide to the Data Protection Principles,” ICO.</w:t>
      </w:r>
    </w:p>
    <w:p w14:paraId="2B58F59E" w14:textId="77777777" w:rsidR="00DC7630" w:rsidRPr="00FB02D4" w:rsidRDefault="00F958FD" w:rsidP="00DC7630">
      <w:pPr>
        <w:pStyle w:val="p1"/>
        <w:rPr>
          <w:rFonts w:eastAsia="MS Mincho"/>
          <w:noProof/>
          <w:sz w:val="16"/>
          <w:szCs w:val="16"/>
          <w:lang w:val="en-US" w:eastAsia="en-US"/>
        </w:rPr>
      </w:pPr>
      <w:r w:rsidRPr="00FB02D4">
        <w:rPr>
          <w:rFonts w:eastAsia="MS Mincho"/>
          <w:noProof/>
          <w:sz w:val="16"/>
          <w:szCs w:val="16"/>
          <w:lang w:val="en-US" w:eastAsia="en-US"/>
        </w:rPr>
        <w:t xml:space="preserve">[14] </w:t>
      </w:r>
      <w:r w:rsidR="00DC7630" w:rsidRPr="00FB02D4">
        <w:rPr>
          <w:rFonts w:eastAsia="MS Mincho"/>
          <w:noProof/>
          <w:sz w:val="16"/>
          <w:szCs w:val="16"/>
          <w:lang w:val="en-US" w:eastAsia="en-US"/>
        </w:rPr>
        <w:t>Information Commissioner’s Office, “Personal Data Breaches,” Guide to the UK General Data Protection Regulation, ICO.</w:t>
      </w:r>
    </w:p>
    <w:p w14:paraId="62A371FA" w14:textId="77777777" w:rsidR="00EB0E28" w:rsidRPr="00FB02D4" w:rsidRDefault="00F958FD" w:rsidP="00EB0E28">
      <w:pPr>
        <w:pStyle w:val="p1"/>
        <w:rPr>
          <w:rFonts w:eastAsia="MS Mincho"/>
          <w:noProof/>
          <w:sz w:val="16"/>
          <w:szCs w:val="16"/>
          <w:lang w:val="en-US" w:eastAsia="en-US"/>
        </w:rPr>
      </w:pPr>
      <w:r w:rsidRPr="00FB02D4">
        <w:rPr>
          <w:rFonts w:eastAsia="MS Mincho"/>
          <w:noProof/>
          <w:sz w:val="16"/>
          <w:szCs w:val="16"/>
          <w:lang w:val="en-US" w:eastAsia="en-US"/>
        </w:rPr>
        <w:t xml:space="preserve">[15] </w:t>
      </w:r>
      <w:r w:rsidR="00EB0E28" w:rsidRPr="00FB02D4">
        <w:rPr>
          <w:rFonts w:eastAsia="MS Mincho"/>
          <w:noProof/>
          <w:sz w:val="16"/>
          <w:szCs w:val="16"/>
          <w:lang w:val="en-US" w:eastAsia="en-US"/>
        </w:rPr>
        <w:t>K. Scarfone and P. Mell, Guide to Intrusion Detection and Prevention Systems (IDPS), NIST Special Publication 800-94. National Institute of Standards and Technology, 2007.</w:t>
      </w:r>
    </w:p>
    <w:p w14:paraId="2001774C" w14:textId="33586D9F" w:rsidR="00F958FD" w:rsidRPr="00FB02D4" w:rsidRDefault="00F958FD" w:rsidP="00F958FD">
      <w:pPr>
        <w:pStyle w:val="p2"/>
        <w:rPr>
          <w:rFonts w:eastAsia="MS Mincho"/>
          <w:noProof/>
          <w:sz w:val="16"/>
          <w:szCs w:val="16"/>
          <w:lang w:val="en-US" w:eastAsia="en-US"/>
        </w:rPr>
      </w:pPr>
    </w:p>
    <w:p w14:paraId="2AEE9274" w14:textId="77777777" w:rsidR="00744F62" w:rsidRDefault="00744F62" w:rsidP="00A059B3">
      <w:pPr>
        <w:pStyle w:val="Heading5"/>
      </w:pPr>
    </w:p>
    <w:p w14:paraId="341961BD" w14:textId="77777777" w:rsidR="00744F62" w:rsidRDefault="00744F62" w:rsidP="00A059B3">
      <w:pPr>
        <w:pStyle w:val="Heading5"/>
      </w:pPr>
    </w:p>
    <w:p w14:paraId="19EA9C61" w14:textId="77777777" w:rsidR="00744F62" w:rsidRDefault="00744F62" w:rsidP="00A059B3">
      <w:pPr>
        <w:pStyle w:val="Heading5"/>
      </w:pPr>
    </w:p>
    <w:p w14:paraId="07C06FA6" w14:textId="77777777" w:rsidR="009303D9" w:rsidRDefault="009303D9" w:rsidP="00836367">
      <w:pPr>
        <w:pStyle w:val="references"/>
        <w:numPr>
          <w:ilvl w:val="0"/>
          <w:numId w:val="0"/>
        </w:numPr>
        <w:ind w:left="360" w:hanging="360"/>
      </w:pPr>
    </w:p>
    <w:p w14:paraId="7C87F71D" w14:textId="32D8BC2A" w:rsidR="00836367" w:rsidRPr="00F96569" w:rsidRDefault="00836367" w:rsidP="00D60440">
      <w:pPr>
        <w:pStyle w:val="references"/>
        <w:numPr>
          <w:ilvl w:val="0"/>
          <w:numId w:val="0"/>
        </w:numPr>
        <w:ind w:left="360" w:hanging="360"/>
        <w:rPr>
          <w:rFonts w:eastAsia="SimSun"/>
          <w:b/>
          <w:noProof w:val="0"/>
          <w:color w:val="FF0000"/>
          <w:spacing w:val="-1"/>
          <w:sz w:val="20"/>
          <w:szCs w:val="20"/>
          <w:lang w:val="x-none" w:eastAsia="x-none"/>
        </w:rPr>
        <w:sectPr w:rsidR="00836367" w:rsidRPr="00F96569" w:rsidSect="003B4E04">
          <w:type w:val="continuous"/>
          <w:pgSz w:w="11906" w:h="16838" w:code="9"/>
          <w:pgMar w:top="1080" w:right="907" w:bottom="1440" w:left="907" w:header="720" w:footer="720" w:gutter="0"/>
          <w:cols w:num="2" w:space="360"/>
          <w:docGrid w:linePitch="360"/>
        </w:sectPr>
      </w:pPr>
    </w:p>
    <w:p w14:paraId="071FFC24" w14:textId="2E68E8E6" w:rsidR="009303D9" w:rsidRDefault="009303D9" w:rsidP="005B520E"/>
    <w:sectPr w:rsidR="009303D9" w:rsidSect="003B4E04">
      <w:type w:val="continuous"/>
      <w:pgSz w:w="11906" w:h="16838" w:code="9"/>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6A20639" w14:textId="77777777" w:rsidR="00E87E30" w:rsidRDefault="00E87E30" w:rsidP="001A3B3D">
      <w:r>
        <w:separator/>
      </w:r>
    </w:p>
  </w:endnote>
  <w:endnote w:type="continuationSeparator" w:id="0">
    <w:p w14:paraId="4D862978" w14:textId="77777777" w:rsidR="00E87E30" w:rsidRDefault="00E87E30"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24B6413" w14:textId="77777777" w:rsidR="001A3B3D" w:rsidRPr="006F6D3D" w:rsidRDefault="001A3B3D"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1F8E3D1" w14:textId="77777777" w:rsidR="00E87E30" w:rsidRDefault="00E87E30" w:rsidP="001A3B3D">
      <w:r>
        <w:separator/>
      </w:r>
    </w:p>
  </w:footnote>
  <w:footnote w:type="continuationSeparator" w:id="0">
    <w:p w14:paraId="03313884" w14:textId="77777777" w:rsidR="00E87E30" w:rsidRDefault="00E87E30"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sz w:val="16"/>
        <w:szCs w:val="16"/>
        <w:vertAlign w:val="superscript"/>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left"/>
      <w:pPr>
        <w:tabs>
          <w:tab w:val="num" w:pos="4613"/>
        </w:tabs>
        <w:ind w:left="4613" w:hanging="360"/>
      </w:pPr>
      <w:rPr>
        <w:rFonts w:ascii="Symbol" w:hAnsi="Symbol" w:hint="default"/>
      </w:rPr>
    </w:lvl>
    <w:lvl w:ilvl="1" w:tplc="04090003">
      <w:start w:val="1"/>
      <w:numFmt w:val="bullet"/>
      <w:lvlText w:val="o"/>
      <w:lvlJc w:val="left"/>
      <w:pPr>
        <w:tabs>
          <w:tab w:val="num" w:pos="5405"/>
        </w:tabs>
        <w:ind w:left="5405" w:hanging="360"/>
      </w:pPr>
      <w:rPr>
        <w:rFonts w:ascii="Courier New" w:hAnsi="Courier New" w:hint="default"/>
      </w:rPr>
    </w:lvl>
    <w:lvl w:ilvl="2" w:tplc="04090005">
      <w:start w:val="1"/>
      <w:numFmt w:val="bullet"/>
      <w:lvlText w:val=""/>
      <w:lvlJc w:val="left"/>
      <w:pPr>
        <w:tabs>
          <w:tab w:val="num" w:pos="6125"/>
        </w:tabs>
        <w:ind w:left="6125" w:hanging="360"/>
      </w:pPr>
      <w:rPr>
        <w:rFonts w:ascii="Wingdings" w:hAnsi="Wingdings" w:hint="default"/>
      </w:rPr>
    </w:lvl>
    <w:lvl w:ilvl="3" w:tplc="04090001">
      <w:start w:val="1"/>
      <w:numFmt w:val="bullet"/>
      <w:lvlText w:val=""/>
      <w:lvlJc w:val="left"/>
      <w:pPr>
        <w:tabs>
          <w:tab w:val="num" w:pos="6845"/>
        </w:tabs>
        <w:ind w:left="6845" w:hanging="360"/>
      </w:pPr>
      <w:rPr>
        <w:rFonts w:ascii="Symbol" w:hAnsi="Symbol" w:hint="default"/>
      </w:rPr>
    </w:lvl>
    <w:lvl w:ilvl="4" w:tplc="04090003">
      <w:start w:val="1"/>
      <w:numFmt w:val="bullet"/>
      <w:lvlText w:val="o"/>
      <w:lvlJc w:val="left"/>
      <w:pPr>
        <w:tabs>
          <w:tab w:val="num" w:pos="7565"/>
        </w:tabs>
        <w:ind w:left="7565" w:hanging="360"/>
      </w:pPr>
      <w:rPr>
        <w:rFonts w:ascii="Courier New" w:hAnsi="Courier New" w:hint="default"/>
      </w:rPr>
    </w:lvl>
    <w:lvl w:ilvl="5" w:tplc="04090005">
      <w:start w:val="1"/>
      <w:numFmt w:val="bullet"/>
      <w:lvlText w:val=""/>
      <w:lvlJc w:val="left"/>
      <w:pPr>
        <w:tabs>
          <w:tab w:val="num" w:pos="8285"/>
        </w:tabs>
        <w:ind w:left="8285" w:hanging="360"/>
      </w:pPr>
      <w:rPr>
        <w:rFonts w:ascii="Wingdings" w:hAnsi="Wingdings" w:hint="default"/>
      </w:rPr>
    </w:lvl>
    <w:lvl w:ilvl="6" w:tplc="04090001">
      <w:start w:val="1"/>
      <w:numFmt w:val="bullet"/>
      <w:lvlText w:val=""/>
      <w:lvlJc w:val="left"/>
      <w:pPr>
        <w:tabs>
          <w:tab w:val="num" w:pos="9005"/>
        </w:tabs>
        <w:ind w:left="9005" w:hanging="360"/>
      </w:pPr>
      <w:rPr>
        <w:rFonts w:ascii="Symbol" w:hAnsi="Symbol" w:hint="default"/>
      </w:rPr>
    </w:lvl>
    <w:lvl w:ilvl="7" w:tplc="04090003">
      <w:start w:val="1"/>
      <w:numFmt w:val="bullet"/>
      <w:lvlText w:val="o"/>
      <w:lvlJc w:val="left"/>
      <w:pPr>
        <w:tabs>
          <w:tab w:val="num" w:pos="9725"/>
        </w:tabs>
        <w:ind w:left="9725" w:hanging="360"/>
      </w:pPr>
      <w:rPr>
        <w:rFonts w:ascii="Courier New" w:hAnsi="Courier New" w:hint="default"/>
      </w:rPr>
    </w:lvl>
    <w:lvl w:ilvl="8" w:tplc="04090005">
      <w:start w:val="1"/>
      <w:numFmt w:val="bullet"/>
      <w:lvlText w:val=""/>
      <w:lvlJc w:val="left"/>
      <w:pPr>
        <w:tabs>
          <w:tab w:val="num" w:pos="10445"/>
        </w:tabs>
        <w:ind w:left="10445" w:hanging="360"/>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6" w15:restartNumberingAfterBreak="0">
    <w:nsid w:val="4189603E"/>
    <w:multiLevelType w:val="multilevel"/>
    <w:tmpl w:val="BFB641F6"/>
    <w:lvl w:ilvl="0">
      <w:start w:val="1"/>
      <w:numFmt w:val="upperRoman"/>
      <w:pStyle w:val="Heading1"/>
      <w:lvlText w:val="%1."/>
      <w:lvlJc w:val="center"/>
      <w:pPr>
        <w:tabs>
          <w:tab w:val="num" w:pos="644"/>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Roman"/>
      <w:pStyle w:val="Heading2"/>
      <w:lvlText w:val="%2."/>
      <w:lvlJc w:val="left"/>
      <w:pPr>
        <w:tabs>
          <w:tab w:val="num" w:pos="360"/>
        </w:tabs>
        <w:ind w:left="288" w:hanging="288"/>
      </w:pPr>
      <w:rPr>
        <w:rFonts w:ascii="Times New Roman" w:eastAsia="SimSu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16cid:durableId="1265501956">
    <w:abstractNumId w:val="14"/>
  </w:num>
  <w:num w:numId="2" w16cid:durableId="1525440567">
    <w:abstractNumId w:val="19"/>
  </w:num>
  <w:num w:numId="3" w16cid:durableId="1727610086">
    <w:abstractNumId w:val="13"/>
  </w:num>
  <w:num w:numId="4" w16cid:durableId="2005432933">
    <w:abstractNumId w:val="16"/>
  </w:num>
  <w:num w:numId="5" w16cid:durableId="1084717553">
    <w:abstractNumId w:val="16"/>
  </w:num>
  <w:num w:numId="6" w16cid:durableId="1624800368">
    <w:abstractNumId w:val="16"/>
  </w:num>
  <w:num w:numId="7" w16cid:durableId="731269030">
    <w:abstractNumId w:val="16"/>
  </w:num>
  <w:num w:numId="8" w16cid:durableId="1601185201">
    <w:abstractNumId w:val="18"/>
  </w:num>
  <w:num w:numId="9" w16cid:durableId="815995198">
    <w:abstractNumId w:val="20"/>
  </w:num>
  <w:num w:numId="10" w16cid:durableId="464008369">
    <w:abstractNumId w:val="15"/>
  </w:num>
  <w:num w:numId="11" w16cid:durableId="701982026">
    <w:abstractNumId w:val="12"/>
  </w:num>
  <w:num w:numId="12" w16cid:durableId="114064317">
    <w:abstractNumId w:val="11"/>
  </w:num>
  <w:num w:numId="13" w16cid:durableId="1388454625">
    <w:abstractNumId w:val="0"/>
  </w:num>
  <w:num w:numId="14" w16cid:durableId="1501889764">
    <w:abstractNumId w:val="10"/>
  </w:num>
  <w:num w:numId="15" w16cid:durableId="1377926559">
    <w:abstractNumId w:val="8"/>
  </w:num>
  <w:num w:numId="16" w16cid:durableId="466748611">
    <w:abstractNumId w:val="7"/>
  </w:num>
  <w:num w:numId="17" w16cid:durableId="1277366440">
    <w:abstractNumId w:val="6"/>
  </w:num>
  <w:num w:numId="18" w16cid:durableId="803700076">
    <w:abstractNumId w:val="5"/>
  </w:num>
  <w:num w:numId="19" w16cid:durableId="1757093134">
    <w:abstractNumId w:val="9"/>
  </w:num>
  <w:num w:numId="20" w16cid:durableId="1718893213">
    <w:abstractNumId w:val="4"/>
  </w:num>
  <w:num w:numId="21" w16cid:durableId="1679387713">
    <w:abstractNumId w:val="3"/>
  </w:num>
  <w:num w:numId="22" w16cid:durableId="980231569">
    <w:abstractNumId w:val="2"/>
  </w:num>
  <w:num w:numId="23" w16cid:durableId="1810826509">
    <w:abstractNumId w:val="1"/>
  </w:num>
  <w:num w:numId="24" w16cid:durableId="2082360837">
    <w:abstractNumId w:val="17"/>
  </w:num>
  <w:num w:numId="25" w16cid:durableId="786511369">
    <w:abstractNumId w:val="16"/>
  </w:num>
  <w:num w:numId="26" w16cid:durableId="1020812221">
    <w:abstractNumId w:val="16"/>
  </w:num>
  <w:num w:numId="27" w16cid:durableId="1695114426">
    <w:abstractNumId w:val="16"/>
  </w:num>
  <w:num w:numId="28" w16cid:durableId="639846922">
    <w:abstractNumId w:val="16"/>
  </w:num>
  <w:num w:numId="29" w16cid:durableId="1786731931">
    <w:abstractNumId w:val="16"/>
  </w:num>
  <w:num w:numId="30" w16cid:durableId="1930768574">
    <w:abstractNumId w:val="16"/>
    <w:lvlOverride w:ilvl="0"/>
  </w:num>
  <w:num w:numId="31" w16cid:durableId="866649072">
    <w:abstractNumId w:val="16"/>
  </w:num>
  <w:num w:numId="32" w16cid:durableId="739407784">
    <w:abstractNumId w:val="16"/>
  </w:num>
  <w:num w:numId="33" w16cid:durableId="1726567976">
    <w:abstractNumId w:val="16"/>
  </w:num>
  <w:num w:numId="34" w16cid:durableId="850608059">
    <w:abstractNumId w:val="16"/>
    <w:lvlOverride w:ilv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3"/>
  <w:embedSystemFonts/>
  <w:defaultTabStop w:val="720"/>
  <w:doNotHyphenateCaps/>
  <w:characterSpacingControl w:val="doNotCompress"/>
  <w:doNotValidateAgainstSchema/>
  <w:doNotDemarcateInvalidXml/>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3D9"/>
    <w:rsid w:val="00012FF3"/>
    <w:rsid w:val="000363ED"/>
    <w:rsid w:val="0004781E"/>
    <w:rsid w:val="0008421B"/>
    <w:rsid w:val="0008758A"/>
    <w:rsid w:val="000A1958"/>
    <w:rsid w:val="000B3275"/>
    <w:rsid w:val="000B4488"/>
    <w:rsid w:val="000C1E68"/>
    <w:rsid w:val="000E49D2"/>
    <w:rsid w:val="000E6C93"/>
    <w:rsid w:val="00120026"/>
    <w:rsid w:val="00120DA8"/>
    <w:rsid w:val="001462F2"/>
    <w:rsid w:val="00154467"/>
    <w:rsid w:val="00194A51"/>
    <w:rsid w:val="001A2EFD"/>
    <w:rsid w:val="001A3B3D"/>
    <w:rsid w:val="001A5BD4"/>
    <w:rsid w:val="001B67DC"/>
    <w:rsid w:val="001D331F"/>
    <w:rsid w:val="001E01F3"/>
    <w:rsid w:val="00210737"/>
    <w:rsid w:val="002254A9"/>
    <w:rsid w:val="002256E9"/>
    <w:rsid w:val="00227199"/>
    <w:rsid w:val="00230D0E"/>
    <w:rsid w:val="00233D97"/>
    <w:rsid w:val="002347A2"/>
    <w:rsid w:val="002850E3"/>
    <w:rsid w:val="00287F4A"/>
    <w:rsid w:val="002E67E9"/>
    <w:rsid w:val="002F76AD"/>
    <w:rsid w:val="0030398C"/>
    <w:rsid w:val="00303C0E"/>
    <w:rsid w:val="00314936"/>
    <w:rsid w:val="00315E97"/>
    <w:rsid w:val="00325276"/>
    <w:rsid w:val="00354FCF"/>
    <w:rsid w:val="00371C92"/>
    <w:rsid w:val="0039638A"/>
    <w:rsid w:val="003A19E2"/>
    <w:rsid w:val="003A6F10"/>
    <w:rsid w:val="003B4E04"/>
    <w:rsid w:val="003C36CB"/>
    <w:rsid w:val="003C50E7"/>
    <w:rsid w:val="003F5A08"/>
    <w:rsid w:val="003F75C8"/>
    <w:rsid w:val="00420716"/>
    <w:rsid w:val="004325FB"/>
    <w:rsid w:val="004432BA"/>
    <w:rsid w:val="0044407E"/>
    <w:rsid w:val="00444676"/>
    <w:rsid w:val="00447BB9"/>
    <w:rsid w:val="00452299"/>
    <w:rsid w:val="00453F0A"/>
    <w:rsid w:val="0046031D"/>
    <w:rsid w:val="00461CD2"/>
    <w:rsid w:val="00465E14"/>
    <w:rsid w:val="004C0E4C"/>
    <w:rsid w:val="004C1944"/>
    <w:rsid w:val="004D72B5"/>
    <w:rsid w:val="004F2455"/>
    <w:rsid w:val="00504C9A"/>
    <w:rsid w:val="005076DF"/>
    <w:rsid w:val="0051156D"/>
    <w:rsid w:val="005257C9"/>
    <w:rsid w:val="00532CA9"/>
    <w:rsid w:val="00551B7F"/>
    <w:rsid w:val="005568AA"/>
    <w:rsid w:val="0056610F"/>
    <w:rsid w:val="00567FE9"/>
    <w:rsid w:val="00575BCA"/>
    <w:rsid w:val="005861C6"/>
    <w:rsid w:val="0059730A"/>
    <w:rsid w:val="005B0344"/>
    <w:rsid w:val="005B520E"/>
    <w:rsid w:val="005E2800"/>
    <w:rsid w:val="005F43D8"/>
    <w:rsid w:val="00603351"/>
    <w:rsid w:val="00605825"/>
    <w:rsid w:val="0061784B"/>
    <w:rsid w:val="0063380B"/>
    <w:rsid w:val="00645D22"/>
    <w:rsid w:val="00651A08"/>
    <w:rsid w:val="00654204"/>
    <w:rsid w:val="00662872"/>
    <w:rsid w:val="00670434"/>
    <w:rsid w:val="006B56EB"/>
    <w:rsid w:val="006B6B66"/>
    <w:rsid w:val="006C7F0D"/>
    <w:rsid w:val="006E13D1"/>
    <w:rsid w:val="006F6D3D"/>
    <w:rsid w:val="00715BEA"/>
    <w:rsid w:val="00740EEA"/>
    <w:rsid w:val="00744F62"/>
    <w:rsid w:val="007671C9"/>
    <w:rsid w:val="007926E2"/>
    <w:rsid w:val="00794804"/>
    <w:rsid w:val="007A4FE3"/>
    <w:rsid w:val="007B33F1"/>
    <w:rsid w:val="007B6DDA"/>
    <w:rsid w:val="007C0308"/>
    <w:rsid w:val="007C2FF2"/>
    <w:rsid w:val="007D6232"/>
    <w:rsid w:val="007F1F99"/>
    <w:rsid w:val="007F4F38"/>
    <w:rsid w:val="007F768F"/>
    <w:rsid w:val="008022E3"/>
    <w:rsid w:val="00802438"/>
    <w:rsid w:val="0080791D"/>
    <w:rsid w:val="0081314B"/>
    <w:rsid w:val="008136A4"/>
    <w:rsid w:val="00836367"/>
    <w:rsid w:val="00853CA3"/>
    <w:rsid w:val="00862A3A"/>
    <w:rsid w:val="008713CF"/>
    <w:rsid w:val="00873603"/>
    <w:rsid w:val="00877184"/>
    <w:rsid w:val="008A2C7D"/>
    <w:rsid w:val="008C4B23"/>
    <w:rsid w:val="008D540F"/>
    <w:rsid w:val="008E318E"/>
    <w:rsid w:val="008F6E2C"/>
    <w:rsid w:val="00912ED1"/>
    <w:rsid w:val="00923129"/>
    <w:rsid w:val="00924BF6"/>
    <w:rsid w:val="00924CEC"/>
    <w:rsid w:val="009303D9"/>
    <w:rsid w:val="00933C64"/>
    <w:rsid w:val="00957A4A"/>
    <w:rsid w:val="00972203"/>
    <w:rsid w:val="00985447"/>
    <w:rsid w:val="0099674F"/>
    <w:rsid w:val="00997991"/>
    <w:rsid w:val="00997D72"/>
    <w:rsid w:val="009D59B5"/>
    <w:rsid w:val="009E36D9"/>
    <w:rsid w:val="009F1D79"/>
    <w:rsid w:val="00A059B3"/>
    <w:rsid w:val="00A35DC2"/>
    <w:rsid w:val="00A400D3"/>
    <w:rsid w:val="00A76729"/>
    <w:rsid w:val="00A85EE5"/>
    <w:rsid w:val="00AA5854"/>
    <w:rsid w:val="00AB2FED"/>
    <w:rsid w:val="00AD2AF6"/>
    <w:rsid w:val="00AE3409"/>
    <w:rsid w:val="00AF33B9"/>
    <w:rsid w:val="00AF3CE8"/>
    <w:rsid w:val="00AF779A"/>
    <w:rsid w:val="00B11A60"/>
    <w:rsid w:val="00B22613"/>
    <w:rsid w:val="00B70411"/>
    <w:rsid w:val="00B74BEE"/>
    <w:rsid w:val="00B768D1"/>
    <w:rsid w:val="00B84C90"/>
    <w:rsid w:val="00BA1025"/>
    <w:rsid w:val="00BB2D08"/>
    <w:rsid w:val="00BC3420"/>
    <w:rsid w:val="00BD670B"/>
    <w:rsid w:val="00BE0375"/>
    <w:rsid w:val="00BE0E5F"/>
    <w:rsid w:val="00BE57D2"/>
    <w:rsid w:val="00BE7D3C"/>
    <w:rsid w:val="00BF5FF6"/>
    <w:rsid w:val="00BF775D"/>
    <w:rsid w:val="00C0207F"/>
    <w:rsid w:val="00C16117"/>
    <w:rsid w:val="00C2384B"/>
    <w:rsid w:val="00C3075A"/>
    <w:rsid w:val="00C30F5A"/>
    <w:rsid w:val="00C50ABD"/>
    <w:rsid w:val="00C64011"/>
    <w:rsid w:val="00C667E8"/>
    <w:rsid w:val="00C819DA"/>
    <w:rsid w:val="00C8308F"/>
    <w:rsid w:val="00C84CB4"/>
    <w:rsid w:val="00C919A4"/>
    <w:rsid w:val="00CA1CF3"/>
    <w:rsid w:val="00CA3CA8"/>
    <w:rsid w:val="00CA4392"/>
    <w:rsid w:val="00CB5299"/>
    <w:rsid w:val="00CC393F"/>
    <w:rsid w:val="00CD0A12"/>
    <w:rsid w:val="00D0341D"/>
    <w:rsid w:val="00D152A6"/>
    <w:rsid w:val="00D2176E"/>
    <w:rsid w:val="00D44A36"/>
    <w:rsid w:val="00D60440"/>
    <w:rsid w:val="00D632BE"/>
    <w:rsid w:val="00D6795C"/>
    <w:rsid w:val="00D72D06"/>
    <w:rsid w:val="00D7522C"/>
    <w:rsid w:val="00D7536F"/>
    <w:rsid w:val="00D76668"/>
    <w:rsid w:val="00DB15AF"/>
    <w:rsid w:val="00DC7630"/>
    <w:rsid w:val="00DF2F32"/>
    <w:rsid w:val="00DF6BDE"/>
    <w:rsid w:val="00E0199A"/>
    <w:rsid w:val="00E07383"/>
    <w:rsid w:val="00E165BC"/>
    <w:rsid w:val="00E36F88"/>
    <w:rsid w:val="00E37713"/>
    <w:rsid w:val="00E55F54"/>
    <w:rsid w:val="00E61E12"/>
    <w:rsid w:val="00E7596C"/>
    <w:rsid w:val="00E800C9"/>
    <w:rsid w:val="00E878F2"/>
    <w:rsid w:val="00E87E30"/>
    <w:rsid w:val="00EB0E28"/>
    <w:rsid w:val="00EB1001"/>
    <w:rsid w:val="00EB5EA4"/>
    <w:rsid w:val="00EC30ED"/>
    <w:rsid w:val="00ED0149"/>
    <w:rsid w:val="00ED20E9"/>
    <w:rsid w:val="00EE2435"/>
    <w:rsid w:val="00EE42A8"/>
    <w:rsid w:val="00EF0CD2"/>
    <w:rsid w:val="00EF7DE3"/>
    <w:rsid w:val="00F03103"/>
    <w:rsid w:val="00F26DF1"/>
    <w:rsid w:val="00F271DE"/>
    <w:rsid w:val="00F27B0B"/>
    <w:rsid w:val="00F4420D"/>
    <w:rsid w:val="00F627DA"/>
    <w:rsid w:val="00F70B47"/>
    <w:rsid w:val="00F7288F"/>
    <w:rsid w:val="00F8455F"/>
    <w:rsid w:val="00F847A6"/>
    <w:rsid w:val="00F9441B"/>
    <w:rsid w:val="00F958FD"/>
    <w:rsid w:val="00FA4C32"/>
    <w:rsid w:val="00FB02D4"/>
    <w:rsid w:val="00FC54E1"/>
    <w:rsid w:val="00FD60EC"/>
    <w:rsid w:val="00FE451D"/>
    <w:rsid w:val="00FE711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080461"/>
  <w15:chartTrackingRefBased/>
  <w15:docId w15:val="{D2B240C2-D5FC-4842-A56A-620C96D0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SimSun" w:hAnsi="Times New Roman" w:cs="Times New Roman"/>
        <w:lang w:val="en-GB" w:eastAsia="zh-TW"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US" w:eastAsia="en-US"/>
    </w:rPr>
  </w:style>
  <w:style w:type="paragraph" w:styleId="Heading1">
    <w:name w:val="heading 1"/>
    <w:basedOn w:val="Normal"/>
    <w:next w:val="Normal"/>
    <w:qFormat/>
    <w:rsid w:val="006B6B66"/>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rsid w:val="00ED0149"/>
    <w:pPr>
      <w:keepNext/>
      <w:keepLines/>
      <w:numPr>
        <w:ilvl w:val="1"/>
        <w:numId w:val="4"/>
      </w:numPr>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customStyle="1" w:styleId="Abstract">
    <w:name w:val="Abstract"/>
    <w:rsid w:val="00972203"/>
    <w:pPr>
      <w:spacing w:after="200"/>
      <w:ind w:firstLine="272"/>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24"/>
      </w:numPr>
      <w:spacing w:before="60" w:after="30"/>
      <w:ind w:left="58" w:hanging="29"/>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customStyle="1" w:styleId="p1">
    <w:name w:val="p1"/>
    <w:basedOn w:val="Normal"/>
    <w:rsid w:val="00EE2435"/>
    <w:pPr>
      <w:spacing w:before="100" w:beforeAutospacing="1" w:after="100" w:afterAutospacing="1"/>
      <w:jc w:val="left"/>
    </w:pPr>
    <w:rPr>
      <w:rFonts w:eastAsia="Times New Roman"/>
      <w:sz w:val="24"/>
      <w:szCs w:val="24"/>
      <w:lang w:val="en-GB" w:eastAsia="zh-TW"/>
    </w:rPr>
  </w:style>
  <w:style w:type="paragraph" w:customStyle="1" w:styleId="p2">
    <w:name w:val="p2"/>
    <w:basedOn w:val="Normal"/>
    <w:rsid w:val="008022E3"/>
    <w:pPr>
      <w:spacing w:before="100" w:beforeAutospacing="1" w:after="100" w:afterAutospacing="1"/>
      <w:jc w:val="left"/>
    </w:pPr>
    <w:rPr>
      <w:rFonts w:eastAsia="Times New Roman"/>
      <w:sz w:val="24"/>
      <w:szCs w:val="24"/>
      <w:lang w:val="en-GB" w:eastAsia="zh-TW"/>
    </w:rPr>
  </w:style>
  <w:style w:type="character" w:customStyle="1" w:styleId="s2">
    <w:name w:val="s2"/>
    <w:basedOn w:val="DefaultParagraphFont"/>
    <w:rsid w:val="00EC30ED"/>
  </w:style>
  <w:style w:type="character" w:customStyle="1" w:styleId="s1">
    <w:name w:val="s1"/>
    <w:basedOn w:val="DefaultParagraphFont"/>
    <w:rsid w:val="00EC30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F700A9-8A2B-499B-A1CA-146366B21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TotalTime>
  <Pages>11</Pages>
  <Words>6622</Words>
  <Characters>37749</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Alexandr Iancovschi (2423378)</cp:lastModifiedBy>
  <cp:revision>151</cp:revision>
  <dcterms:created xsi:type="dcterms:W3CDTF">2026-08-11T04:24:00Z</dcterms:created>
  <dcterms:modified xsi:type="dcterms:W3CDTF">2026-08-12T11:40:00Z</dcterms:modified>
</cp:coreProperties>
</file>