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FEA53" w14:textId="54BD111C" w:rsidR="00615CCD" w:rsidRDefault="00615CCD" w:rsidP="00615CCD"/>
    <w:p w14:paraId="744651BC" w14:textId="58573311" w:rsidR="00615CCD" w:rsidRDefault="00615CCD" w:rsidP="00615CCD">
      <w:pPr>
        <w:pStyle w:val="Title"/>
        <w:jc w:val="center"/>
      </w:pPr>
      <w:r>
        <w:t>Hinkley Point C- Progress Review</w:t>
      </w:r>
    </w:p>
    <w:p w14:paraId="38100726" w14:textId="59EF1392" w:rsidR="00615CCD" w:rsidRDefault="00615CCD" w:rsidP="00615CCD"/>
    <w:p w14:paraId="43CEAEEA" w14:textId="6B192FE8" w:rsidR="00615CCD" w:rsidRDefault="00615CCD" w:rsidP="00615CCD"/>
    <w:p w14:paraId="404FBC82" w14:textId="4DFFB05A" w:rsidR="00615CCD" w:rsidRDefault="00615CCD" w:rsidP="00615CCD"/>
    <w:p w14:paraId="651D4077" w14:textId="2E3EF1EB" w:rsidR="00615CCD" w:rsidRDefault="00615CCD" w:rsidP="00615CCD"/>
    <w:p w14:paraId="3FD3924C" w14:textId="2C8FAD10" w:rsidR="00615CCD" w:rsidRDefault="00615CCD" w:rsidP="00615CCD">
      <w:r>
        <w:t>Name:</w:t>
      </w:r>
      <w:r w:rsidR="00DA5834">
        <w:t xml:space="preserve"> id: </w:t>
      </w:r>
      <w:r w:rsidR="005434A5">
        <w:t>2114</w:t>
      </w:r>
      <w:r w:rsidR="00604836">
        <w:t>394</w:t>
      </w:r>
    </w:p>
    <w:p w14:paraId="6DC5052A" w14:textId="69AB9993" w:rsidR="00615CCD" w:rsidRDefault="00615CCD" w:rsidP="00615CCD"/>
    <w:p w14:paraId="4957DEA8" w14:textId="4B05B26A" w:rsidR="00615CCD" w:rsidRDefault="00615CCD" w:rsidP="00615CCD"/>
    <w:p w14:paraId="349A6F1D" w14:textId="23A586E0" w:rsidR="00615CCD" w:rsidRDefault="00615CCD" w:rsidP="00615CCD"/>
    <w:p w14:paraId="203402F6" w14:textId="06626B11" w:rsidR="00615CCD" w:rsidRDefault="00615CCD" w:rsidP="00615CCD"/>
    <w:p w14:paraId="08B21A89" w14:textId="33B0A574" w:rsidR="00615CCD" w:rsidRDefault="00615CCD" w:rsidP="00615CCD"/>
    <w:p w14:paraId="1AC82903" w14:textId="0BDA11B7" w:rsidR="00615CCD" w:rsidRDefault="00615CCD" w:rsidP="00615CCD"/>
    <w:p w14:paraId="47E640BE" w14:textId="674E99C1" w:rsidR="00615CCD" w:rsidRDefault="00615CCD" w:rsidP="00615CCD"/>
    <w:p w14:paraId="4D6D6E0F" w14:textId="7A241355" w:rsidR="00615CCD" w:rsidRDefault="00615CCD" w:rsidP="00615CCD"/>
    <w:p w14:paraId="55069492" w14:textId="787E8611" w:rsidR="00615CCD" w:rsidRDefault="00615CCD" w:rsidP="00615CCD"/>
    <w:p w14:paraId="28EA42FF" w14:textId="3E18FE30" w:rsidR="00615CCD" w:rsidRDefault="00615CCD" w:rsidP="00615CCD"/>
    <w:p w14:paraId="5FDC5133" w14:textId="22240299" w:rsidR="00615CCD" w:rsidRDefault="00615CCD" w:rsidP="00615CCD"/>
    <w:p w14:paraId="5A845EBA" w14:textId="2332F9C9" w:rsidR="00615CCD" w:rsidRDefault="00615CCD" w:rsidP="00615CCD"/>
    <w:p w14:paraId="75A5634A" w14:textId="64DF14D4" w:rsidR="00615CCD" w:rsidRDefault="00615CCD" w:rsidP="00615CCD"/>
    <w:p w14:paraId="5D2EE819" w14:textId="6B8AF42D" w:rsidR="00615CCD" w:rsidRDefault="00615CCD" w:rsidP="00615CCD"/>
    <w:p w14:paraId="4CC64E2B" w14:textId="6EB1B025" w:rsidR="00615CCD" w:rsidRDefault="00615CCD" w:rsidP="00615CCD"/>
    <w:p w14:paraId="31BF6431" w14:textId="1673833F" w:rsidR="00615CCD" w:rsidRDefault="00615CCD" w:rsidP="00615CCD"/>
    <w:p w14:paraId="687EBA63" w14:textId="60C15223" w:rsidR="00615CCD" w:rsidRDefault="00615CCD" w:rsidP="00615CCD"/>
    <w:p w14:paraId="7378F150" w14:textId="01CE79C9" w:rsidR="00615CCD" w:rsidRDefault="00615CCD" w:rsidP="00615CCD"/>
    <w:p w14:paraId="6922C0E6" w14:textId="754F3030" w:rsidR="00615CCD" w:rsidRDefault="00615CCD" w:rsidP="00615CCD"/>
    <w:p w14:paraId="79F8A336" w14:textId="529A3F89" w:rsidR="00615CCD" w:rsidRDefault="00615CCD" w:rsidP="00615CCD"/>
    <w:p w14:paraId="02843A6C" w14:textId="25C1F7EF" w:rsidR="00615CCD" w:rsidRDefault="00615CCD" w:rsidP="00615CCD"/>
    <w:p w14:paraId="1D51563C" w14:textId="5465EE13" w:rsidR="00615CCD" w:rsidRDefault="00615CCD" w:rsidP="00615CCD"/>
    <w:p w14:paraId="656B242B" w14:textId="5A577A95" w:rsidR="00615CCD" w:rsidRDefault="00615CCD" w:rsidP="00615CCD"/>
    <w:p w14:paraId="690694B9" w14:textId="3C845AF1" w:rsidR="00615CCD" w:rsidRDefault="00615CCD" w:rsidP="00615CCD"/>
    <w:p w14:paraId="3CA1B24F" w14:textId="2242439D" w:rsidR="00615CCD" w:rsidRDefault="00615CCD" w:rsidP="00615CCD"/>
    <w:sdt>
      <w:sdtPr>
        <w:rPr>
          <w:rFonts w:asciiTheme="minorHAnsi" w:eastAsiaTheme="minorHAnsi" w:hAnsiTheme="minorHAnsi" w:cstheme="minorBidi"/>
          <w:color w:val="auto"/>
          <w:kern w:val="2"/>
          <w:sz w:val="22"/>
          <w:szCs w:val="22"/>
          <w:lang w:eastAsia="en-US"/>
          <w14:ligatures w14:val="standardContextual"/>
        </w:rPr>
        <w:id w:val="-1872068652"/>
        <w:docPartObj>
          <w:docPartGallery w:val="Table of Contents"/>
          <w:docPartUnique/>
        </w:docPartObj>
      </w:sdtPr>
      <w:sdtEndPr>
        <w:rPr>
          <w:b/>
          <w:bCs/>
        </w:rPr>
      </w:sdtEndPr>
      <w:sdtContent>
        <w:p w14:paraId="2EEAEBA6" w14:textId="334DBC15" w:rsidR="00615CCD" w:rsidRDefault="00615CCD">
          <w:pPr>
            <w:pStyle w:val="TOCHeading"/>
          </w:pPr>
          <w:r>
            <w:t>Contents</w:t>
          </w:r>
        </w:p>
        <w:p w14:paraId="275AA19C" w14:textId="409D4A8D" w:rsidR="00615CCD" w:rsidRDefault="00615CCD">
          <w:pPr>
            <w:pStyle w:val="TOC1"/>
            <w:tabs>
              <w:tab w:val="right" w:leader="dot" w:pos="9016"/>
            </w:tabs>
            <w:rPr>
              <w:noProof/>
            </w:rPr>
          </w:pPr>
          <w:r>
            <w:fldChar w:fldCharType="begin"/>
          </w:r>
          <w:r>
            <w:instrText xml:space="preserve"> TOC \o "1-3" \h \z \u </w:instrText>
          </w:r>
          <w:r>
            <w:fldChar w:fldCharType="separate"/>
          </w:r>
          <w:hyperlink w:anchor="_Toc143845309" w:history="1">
            <w:r w:rsidRPr="00045EB7">
              <w:rPr>
                <w:rStyle w:val="Hyperlink"/>
                <w:noProof/>
              </w:rPr>
              <w:t>Introduction: Establishing Context</w:t>
            </w:r>
            <w:r>
              <w:rPr>
                <w:noProof/>
                <w:webHidden/>
              </w:rPr>
              <w:tab/>
            </w:r>
            <w:r>
              <w:rPr>
                <w:noProof/>
                <w:webHidden/>
              </w:rPr>
              <w:fldChar w:fldCharType="begin"/>
            </w:r>
            <w:r>
              <w:rPr>
                <w:noProof/>
                <w:webHidden/>
              </w:rPr>
              <w:instrText xml:space="preserve"> PAGEREF _Toc143845309 \h </w:instrText>
            </w:r>
            <w:r>
              <w:rPr>
                <w:noProof/>
                <w:webHidden/>
              </w:rPr>
            </w:r>
            <w:r>
              <w:rPr>
                <w:noProof/>
                <w:webHidden/>
              </w:rPr>
              <w:fldChar w:fldCharType="separate"/>
            </w:r>
            <w:r>
              <w:rPr>
                <w:noProof/>
                <w:webHidden/>
              </w:rPr>
              <w:t>3</w:t>
            </w:r>
            <w:r>
              <w:rPr>
                <w:noProof/>
                <w:webHidden/>
              </w:rPr>
              <w:fldChar w:fldCharType="end"/>
            </w:r>
          </w:hyperlink>
        </w:p>
        <w:p w14:paraId="5AF6A920" w14:textId="27160136" w:rsidR="00615CCD" w:rsidRDefault="00CF1CDA">
          <w:pPr>
            <w:pStyle w:val="TOC1"/>
            <w:tabs>
              <w:tab w:val="right" w:leader="dot" w:pos="9016"/>
            </w:tabs>
            <w:rPr>
              <w:noProof/>
            </w:rPr>
          </w:pPr>
          <w:hyperlink w:anchor="_Toc143845310" w:history="1">
            <w:r w:rsidR="00615CCD" w:rsidRPr="00045EB7">
              <w:rPr>
                <w:rStyle w:val="Hyperlink"/>
                <w:noProof/>
              </w:rPr>
              <w:t>Chapter 1: Evaluation of External Factors Impacting the Project</w:t>
            </w:r>
            <w:r w:rsidR="00615CCD">
              <w:rPr>
                <w:noProof/>
                <w:webHidden/>
              </w:rPr>
              <w:tab/>
            </w:r>
            <w:r w:rsidR="00615CCD">
              <w:rPr>
                <w:noProof/>
                <w:webHidden/>
              </w:rPr>
              <w:fldChar w:fldCharType="begin"/>
            </w:r>
            <w:r w:rsidR="00615CCD">
              <w:rPr>
                <w:noProof/>
                <w:webHidden/>
              </w:rPr>
              <w:instrText xml:space="preserve"> PAGEREF _Toc143845310 \h </w:instrText>
            </w:r>
            <w:r w:rsidR="00615CCD">
              <w:rPr>
                <w:noProof/>
                <w:webHidden/>
              </w:rPr>
            </w:r>
            <w:r w:rsidR="00615CCD">
              <w:rPr>
                <w:noProof/>
                <w:webHidden/>
              </w:rPr>
              <w:fldChar w:fldCharType="separate"/>
            </w:r>
            <w:r w:rsidR="00615CCD">
              <w:rPr>
                <w:noProof/>
                <w:webHidden/>
              </w:rPr>
              <w:t>3</w:t>
            </w:r>
            <w:r w:rsidR="00615CCD">
              <w:rPr>
                <w:noProof/>
                <w:webHidden/>
              </w:rPr>
              <w:fldChar w:fldCharType="end"/>
            </w:r>
          </w:hyperlink>
        </w:p>
        <w:p w14:paraId="43C30718" w14:textId="6F8FB777" w:rsidR="00615CCD" w:rsidRDefault="00CF1CDA">
          <w:pPr>
            <w:pStyle w:val="TOC1"/>
            <w:tabs>
              <w:tab w:val="right" w:leader="dot" w:pos="9016"/>
            </w:tabs>
            <w:rPr>
              <w:noProof/>
            </w:rPr>
          </w:pPr>
          <w:hyperlink w:anchor="_Toc143845311" w:history="1">
            <w:r w:rsidR="00615CCD" w:rsidRPr="00045EB7">
              <w:rPr>
                <w:rStyle w:val="Hyperlink"/>
                <w:noProof/>
              </w:rPr>
              <w:t>Chapter 2: Exploring Industry Structure</w:t>
            </w:r>
            <w:r w:rsidR="00615CCD">
              <w:rPr>
                <w:noProof/>
                <w:webHidden/>
              </w:rPr>
              <w:tab/>
            </w:r>
            <w:r w:rsidR="00615CCD">
              <w:rPr>
                <w:noProof/>
                <w:webHidden/>
              </w:rPr>
              <w:fldChar w:fldCharType="begin"/>
            </w:r>
            <w:r w:rsidR="00615CCD">
              <w:rPr>
                <w:noProof/>
                <w:webHidden/>
              </w:rPr>
              <w:instrText xml:space="preserve"> PAGEREF _Toc143845311 \h </w:instrText>
            </w:r>
            <w:r w:rsidR="00615CCD">
              <w:rPr>
                <w:noProof/>
                <w:webHidden/>
              </w:rPr>
            </w:r>
            <w:r w:rsidR="00615CCD">
              <w:rPr>
                <w:noProof/>
                <w:webHidden/>
              </w:rPr>
              <w:fldChar w:fldCharType="separate"/>
            </w:r>
            <w:r w:rsidR="00615CCD">
              <w:rPr>
                <w:noProof/>
                <w:webHidden/>
              </w:rPr>
              <w:t>4</w:t>
            </w:r>
            <w:r w:rsidR="00615CCD">
              <w:rPr>
                <w:noProof/>
                <w:webHidden/>
              </w:rPr>
              <w:fldChar w:fldCharType="end"/>
            </w:r>
          </w:hyperlink>
        </w:p>
        <w:p w14:paraId="2BF3EEB9" w14:textId="2F032098" w:rsidR="00615CCD" w:rsidRDefault="00CF1CDA">
          <w:pPr>
            <w:pStyle w:val="TOC1"/>
            <w:tabs>
              <w:tab w:val="right" w:leader="dot" w:pos="9016"/>
            </w:tabs>
            <w:rPr>
              <w:noProof/>
            </w:rPr>
          </w:pPr>
          <w:hyperlink w:anchor="_Toc143845312" w:history="1">
            <w:r w:rsidR="00615CCD" w:rsidRPr="00045EB7">
              <w:rPr>
                <w:rStyle w:val="Hyperlink"/>
                <w:noProof/>
              </w:rPr>
              <w:t>Chapter 3: Stakeholder Engagement and Impact</w:t>
            </w:r>
            <w:r w:rsidR="00615CCD">
              <w:rPr>
                <w:noProof/>
                <w:webHidden/>
              </w:rPr>
              <w:tab/>
            </w:r>
            <w:r w:rsidR="00615CCD">
              <w:rPr>
                <w:noProof/>
                <w:webHidden/>
              </w:rPr>
              <w:fldChar w:fldCharType="begin"/>
            </w:r>
            <w:r w:rsidR="00615CCD">
              <w:rPr>
                <w:noProof/>
                <w:webHidden/>
              </w:rPr>
              <w:instrText xml:space="preserve"> PAGEREF _Toc143845312 \h </w:instrText>
            </w:r>
            <w:r w:rsidR="00615CCD">
              <w:rPr>
                <w:noProof/>
                <w:webHidden/>
              </w:rPr>
            </w:r>
            <w:r w:rsidR="00615CCD">
              <w:rPr>
                <w:noProof/>
                <w:webHidden/>
              </w:rPr>
              <w:fldChar w:fldCharType="separate"/>
            </w:r>
            <w:r w:rsidR="00615CCD">
              <w:rPr>
                <w:noProof/>
                <w:webHidden/>
              </w:rPr>
              <w:t>4</w:t>
            </w:r>
            <w:r w:rsidR="00615CCD">
              <w:rPr>
                <w:noProof/>
                <w:webHidden/>
              </w:rPr>
              <w:fldChar w:fldCharType="end"/>
            </w:r>
          </w:hyperlink>
        </w:p>
        <w:p w14:paraId="481A023A" w14:textId="41961792" w:rsidR="00615CCD" w:rsidRDefault="00CF1CDA">
          <w:pPr>
            <w:pStyle w:val="TOC1"/>
            <w:tabs>
              <w:tab w:val="right" w:leader="dot" w:pos="9016"/>
            </w:tabs>
            <w:rPr>
              <w:noProof/>
            </w:rPr>
          </w:pPr>
          <w:hyperlink w:anchor="_Toc143845313" w:history="1">
            <w:r w:rsidR="00615CCD" w:rsidRPr="00045EB7">
              <w:rPr>
                <w:rStyle w:val="Hyperlink"/>
                <w:noProof/>
              </w:rPr>
              <w:t>Chapter 4: Economic Implications and Investment</w:t>
            </w:r>
            <w:r w:rsidR="00615CCD">
              <w:rPr>
                <w:noProof/>
                <w:webHidden/>
              </w:rPr>
              <w:tab/>
            </w:r>
            <w:r w:rsidR="00615CCD">
              <w:rPr>
                <w:noProof/>
                <w:webHidden/>
              </w:rPr>
              <w:fldChar w:fldCharType="begin"/>
            </w:r>
            <w:r w:rsidR="00615CCD">
              <w:rPr>
                <w:noProof/>
                <w:webHidden/>
              </w:rPr>
              <w:instrText xml:space="preserve"> PAGEREF _Toc143845313 \h </w:instrText>
            </w:r>
            <w:r w:rsidR="00615CCD">
              <w:rPr>
                <w:noProof/>
                <w:webHidden/>
              </w:rPr>
            </w:r>
            <w:r w:rsidR="00615CCD">
              <w:rPr>
                <w:noProof/>
                <w:webHidden/>
              </w:rPr>
              <w:fldChar w:fldCharType="separate"/>
            </w:r>
            <w:r w:rsidR="00615CCD">
              <w:rPr>
                <w:noProof/>
                <w:webHidden/>
              </w:rPr>
              <w:t>5</w:t>
            </w:r>
            <w:r w:rsidR="00615CCD">
              <w:rPr>
                <w:noProof/>
                <w:webHidden/>
              </w:rPr>
              <w:fldChar w:fldCharType="end"/>
            </w:r>
          </w:hyperlink>
        </w:p>
        <w:p w14:paraId="28D44ECD" w14:textId="76257119" w:rsidR="00615CCD" w:rsidRDefault="00CF1CDA">
          <w:pPr>
            <w:pStyle w:val="TOC1"/>
            <w:tabs>
              <w:tab w:val="right" w:leader="dot" w:pos="9016"/>
            </w:tabs>
            <w:rPr>
              <w:noProof/>
            </w:rPr>
          </w:pPr>
          <w:hyperlink w:anchor="_Toc143845314" w:history="1">
            <w:r w:rsidR="00615CCD" w:rsidRPr="00045EB7">
              <w:rPr>
                <w:rStyle w:val="Hyperlink"/>
                <w:noProof/>
              </w:rPr>
              <w:t>Chapter 5: Pros and Cons of the Project</w:t>
            </w:r>
            <w:r w:rsidR="00615CCD">
              <w:rPr>
                <w:noProof/>
                <w:webHidden/>
              </w:rPr>
              <w:tab/>
            </w:r>
            <w:r w:rsidR="00615CCD">
              <w:rPr>
                <w:noProof/>
                <w:webHidden/>
              </w:rPr>
              <w:fldChar w:fldCharType="begin"/>
            </w:r>
            <w:r w:rsidR="00615CCD">
              <w:rPr>
                <w:noProof/>
                <w:webHidden/>
              </w:rPr>
              <w:instrText xml:space="preserve"> PAGEREF _Toc143845314 \h </w:instrText>
            </w:r>
            <w:r w:rsidR="00615CCD">
              <w:rPr>
                <w:noProof/>
                <w:webHidden/>
              </w:rPr>
            </w:r>
            <w:r w:rsidR="00615CCD">
              <w:rPr>
                <w:noProof/>
                <w:webHidden/>
              </w:rPr>
              <w:fldChar w:fldCharType="separate"/>
            </w:r>
            <w:r w:rsidR="00615CCD">
              <w:rPr>
                <w:noProof/>
                <w:webHidden/>
              </w:rPr>
              <w:t>6</w:t>
            </w:r>
            <w:r w:rsidR="00615CCD">
              <w:rPr>
                <w:noProof/>
                <w:webHidden/>
              </w:rPr>
              <w:fldChar w:fldCharType="end"/>
            </w:r>
          </w:hyperlink>
        </w:p>
        <w:p w14:paraId="73DFDF3E" w14:textId="45C0F1F5" w:rsidR="00615CCD" w:rsidRDefault="00CF1CDA">
          <w:pPr>
            <w:pStyle w:val="TOC1"/>
            <w:tabs>
              <w:tab w:val="right" w:leader="dot" w:pos="9016"/>
            </w:tabs>
            <w:rPr>
              <w:noProof/>
            </w:rPr>
          </w:pPr>
          <w:hyperlink w:anchor="_Toc143845315" w:history="1">
            <w:r w:rsidR="00615CCD" w:rsidRPr="00045EB7">
              <w:rPr>
                <w:rStyle w:val="Hyperlink"/>
                <w:noProof/>
              </w:rPr>
              <w:t>Chapter 6: Conclusion and Recommendations</w:t>
            </w:r>
            <w:r w:rsidR="00615CCD">
              <w:rPr>
                <w:noProof/>
                <w:webHidden/>
              </w:rPr>
              <w:tab/>
            </w:r>
            <w:r w:rsidR="00615CCD">
              <w:rPr>
                <w:noProof/>
                <w:webHidden/>
              </w:rPr>
              <w:fldChar w:fldCharType="begin"/>
            </w:r>
            <w:r w:rsidR="00615CCD">
              <w:rPr>
                <w:noProof/>
                <w:webHidden/>
              </w:rPr>
              <w:instrText xml:space="preserve"> PAGEREF _Toc143845315 \h </w:instrText>
            </w:r>
            <w:r w:rsidR="00615CCD">
              <w:rPr>
                <w:noProof/>
                <w:webHidden/>
              </w:rPr>
            </w:r>
            <w:r w:rsidR="00615CCD">
              <w:rPr>
                <w:noProof/>
                <w:webHidden/>
              </w:rPr>
              <w:fldChar w:fldCharType="separate"/>
            </w:r>
            <w:r w:rsidR="00615CCD">
              <w:rPr>
                <w:noProof/>
                <w:webHidden/>
              </w:rPr>
              <w:t>7</w:t>
            </w:r>
            <w:r w:rsidR="00615CCD">
              <w:rPr>
                <w:noProof/>
                <w:webHidden/>
              </w:rPr>
              <w:fldChar w:fldCharType="end"/>
            </w:r>
          </w:hyperlink>
        </w:p>
        <w:p w14:paraId="6E844661" w14:textId="74A0DC3D" w:rsidR="00615CCD" w:rsidRDefault="00CF1CDA">
          <w:pPr>
            <w:pStyle w:val="TOC1"/>
            <w:tabs>
              <w:tab w:val="right" w:leader="dot" w:pos="9016"/>
            </w:tabs>
            <w:rPr>
              <w:noProof/>
            </w:rPr>
          </w:pPr>
          <w:hyperlink w:anchor="_Toc143845316" w:history="1">
            <w:r w:rsidR="00615CCD" w:rsidRPr="00045EB7">
              <w:rPr>
                <w:rStyle w:val="Hyperlink"/>
                <w:noProof/>
              </w:rPr>
              <w:t>References</w:t>
            </w:r>
            <w:r w:rsidR="00615CCD">
              <w:rPr>
                <w:noProof/>
                <w:webHidden/>
              </w:rPr>
              <w:tab/>
            </w:r>
            <w:r w:rsidR="00615CCD">
              <w:rPr>
                <w:noProof/>
                <w:webHidden/>
              </w:rPr>
              <w:fldChar w:fldCharType="begin"/>
            </w:r>
            <w:r w:rsidR="00615CCD">
              <w:rPr>
                <w:noProof/>
                <w:webHidden/>
              </w:rPr>
              <w:instrText xml:space="preserve"> PAGEREF _Toc143845316 \h </w:instrText>
            </w:r>
            <w:r w:rsidR="00615CCD">
              <w:rPr>
                <w:noProof/>
                <w:webHidden/>
              </w:rPr>
            </w:r>
            <w:r w:rsidR="00615CCD">
              <w:rPr>
                <w:noProof/>
                <w:webHidden/>
              </w:rPr>
              <w:fldChar w:fldCharType="separate"/>
            </w:r>
            <w:r w:rsidR="00615CCD">
              <w:rPr>
                <w:noProof/>
                <w:webHidden/>
              </w:rPr>
              <w:t>8</w:t>
            </w:r>
            <w:r w:rsidR="00615CCD">
              <w:rPr>
                <w:noProof/>
                <w:webHidden/>
              </w:rPr>
              <w:fldChar w:fldCharType="end"/>
            </w:r>
          </w:hyperlink>
        </w:p>
        <w:p w14:paraId="055EFC73" w14:textId="5A2E0A4B" w:rsidR="00615CCD" w:rsidRDefault="00615CCD">
          <w:r>
            <w:rPr>
              <w:b/>
              <w:bCs/>
            </w:rPr>
            <w:fldChar w:fldCharType="end"/>
          </w:r>
        </w:p>
      </w:sdtContent>
    </w:sdt>
    <w:p w14:paraId="63289960" w14:textId="2790F2AF" w:rsidR="00615CCD" w:rsidRDefault="00615CCD" w:rsidP="00615CCD"/>
    <w:p w14:paraId="7EBAF23F" w14:textId="64EC5073" w:rsidR="00615CCD" w:rsidRDefault="00615CCD" w:rsidP="00615CCD"/>
    <w:p w14:paraId="58D72577" w14:textId="50C53054" w:rsidR="00615CCD" w:rsidRDefault="00615CCD" w:rsidP="00615CCD"/>
    <w:p w14:paraId="37DBE826" w14:textId="0A65C749" w:rsidR="00615CCD" w:rsidRDefault="00615CCD" w:rsidP="00615CCD"/>
    <w:p w14:paraId="7D9AE7F3" w14:textId="3AC14A77" w:rsidR="00615CCD" w:rsidRDefault="00615CCD" w:rsidP="00615CCD"/>
    <w:p w14:paraId="2452945E" w14:textId="0F12AB86" w:rsidR="00615CCD" w:rsidRDefault="00615CCD" w:rsidP="00615CCD"/>
    <w:p w14:paraId="5A4AF132" w14:textId="0813E9E1" w:rsidR="00615CCD" w:rsidRDefault="00615CCD" w:rsidP="00615CCD"/>
    <w:p w14:paraId="7F0000A0" w14:textId="3E24FA8D" w:rsidR="00615CCD" w:rsidRDefault="00615CCD" w:rsidP="00615CCD"/>
    <w:p w14:paraId="2BACD9F3" w14:textId="21321A3E" w:rsidR="00615CCD" w:rsidRDefault="00615CCD" w:rsidP="00615CCD"/>
    <w:p w14:paraId="1A2583A2" w14:textId="2C379FCA" w:rsidR="00615CCD" w:rsidRDefault="00615CCD" w:rsidP="00615CCD"/>
    <w:p w14:paraId="6CF9DC3A" w14:textId="488280BA" w:rsidR="00615CCD" w:rsidRDefault="00615CCD" w:rsidP="00615CCD"/>
    <w:p w14:paraId="51912986" w14:textId="48F2DE3C" w:rsidR="00615CCD" w:rsidRDefault="00615CCD" w:rsidP="00615CCD"/>
    <w:p w14:paraId="2844747F" w14:textId="6535F7AA" w:rsidR="00615CCD" w:rsidRDefault="00615CCD" w:rsidP="00615CCD"/>
    <w:p w14:paraId="626B1231" w14:textId="40A5CF0C" w:rsidR="00615CCD" w:rsidRDefault="00615CCD" w:rsidP="00615CCD"/>
    <w:p w14:paraId="3404D2C1" w14:textId="38161652" w:rsidR="00615CCD" w:rsidRDefault="00615CCD" w:rsidP="00615CCD"/>
    <w:p w14:paraId="42632A52" w14:textId="715B6028" w:rsidR="00615CCD" w:rsidRDefault="00615CCD" w:rsidP="00615CCD"/>
    <w:p w14:paraId="5984CC9A" w14:textId="56AA0357" w:rsidR="00615CCD" w:rsidRDefault="00615CCD" w:rsidP="00615CCD"/>
    <w:p w14:paraId="534F00D0" w14:textId="18DF0E19" w:rsidR="00615CCD" w:rsidRDefault="00615CCD" w:rsidP="00615CCD"/>
    <w:p w14:paraId="402C8317" w14:textId="06ADD111" w:rsidR="00615CCD" w:rsidRDefault="00615CCD" w:rsidP="00615CCD"/>
    <w:p w14:paraId="4D23EA82" w14:textId="75E85138" w:rsidR="00615CCD" w:rsidRDefault="00615CCD" w:rsidP="00615CCD"/>
    <w:p w14:paraId="687B30E3" w14:textId="37CFC39B" w:rsidR="00A864BC" w:rsidRDefault="00A864BC" w:rsidP="00615CCD">
      <w:pPr>
        <w:pStyle w:val="Heading1"/>
      </w:pPr>
      <w:bookmarkStart w:id="0" w:name="_Toc143845309"/>
      <w:r>
        <w:lastRenderedPageBreak/>
        <w:t>Introduction: Establishing Context</w:t>
      </w:r>
      <w:bookmarkEnd w:id="0"/>
    </w:p>
    <w:p w14:paraId="590F751E" w14:textId="77777777" w:rsidR="00A864BC" w:rsidRDefault="00A864BC" w:rsidP="00A864BC">
      <w:r>
        <w:t>The Hinkley Point C Project represents an important endeavor in renewable energy, having the potential to fulfill 7 percent of Britain's renewable energy requirements. However, its significance extends far beyond this figure alone as an ambitious undertaking: it represents an iconic first for Britain after two decades (Thomas 2016). Notably, this monumental undertaking has drawn significant financial backing from China as they took responsibility for financing its implementation - supporting global efforts toward sustainable energy solutions (Cooper 2013).</w:t>
      </w:r>
    </w:p>
    <w:p w14:paraId="410CD504" w14:textId="77777777" w:rsidR="00A864BC" w:rsidRDefault="00A864BC" w:rsidP="00A864BC">
      <w:r>
        <w:t>An essential aspect of the Hinkley Point C Project's examination lies within its approach and principles for project management. Due to its magnitude and the complex orchestration involved, managing this massive endeavor requires a comprehensive understanding of project management fundamentals; appropriate tools, techniques, and methodologies must be used for efficient execution and successful outcomes (Schroeder et al. 2013). Furthermore, managing its life cycle from conception through operation contains vital elements which must be handled responsibly (Chou &amp; Leatemia 2016).</w:t>
      </w:r>
    </w:p>
    <w:p w14:paraId="2454E17B" w14:textId="77777777" w:rsidR="00A864BC" w:rsidRDefault="00A864BC" w:rsidP="00A864BC">
      <w:r>
        <w:t>Within this context, this report conducts a detailed examination of the Hinkley Point C Project through project management's lens, scrutinizing its progress and outcomes from start to finish. By exploring its phases and intricacies in great depth, this report seeks to create a coherent narrative which sheds light on its trajectory, impact on UK energy markets and lessons it may provide in project management praxis.</w:t>
      </w:r>
    </w:p>
    <w:p w14:paraId="675AFC28" w14:textId="77777777" w:rsidR="00A864BC" w:rsidRDefault="00A864BC" w:rsidP="00615CCD">
      <w:pPr>
        <w:pStyle w:val="Heading1"/>
      </w:pPr>
      <w:bookmarkStart w:id="1" w:name="_Toc143845310"/>
      <w:r>
        <w:t>Chapter 1: Evaluation of External Factors Impacting the Project</w:t>
      </w:r>
      <w:bookmarkEnd w:id="1"/>
    </w:p>
    <w:p w14:paraId="28886785" w14:textId="77777777" w:rsidR="00A864BC" w:rsidRDefault="00A864BC" w:rsidP="00A864BC">
      <w:r>
        <w:t>The Hinkley Point C Project takes shape against a global energy landscape characterized by increasing demand and an urgent call for sustainable solutions. Nations have sought reliable supplies of energy resources in order to power economic development; at the same time there has been pressure to mitigate carbon emissions and curb climate change effects; nuclear energy represents one solution that may provide both security and sustainability benefits simultaneously.</w:t>
      </w:r>
    </w:p>
    <w:p w14:paraId="13F81CC1" w14:textId="77777777" w:rsidR="00A864BC" w:rsidRDefault="00A864BC" w:rsidP="00A864BC">
      <w:r>
        <w:t>Nuclear energy's role in meeting both challenges is demonstrated by its capacity to deliver a substantial and stable power supply. Nuclear reactors produce steady electricity generation that contributes to grid stability (Jones, 2014), providing reliable electricity generation that meets rising energy demands while reducing fossil fuel dependence to curb carbon emissions (Keyhani et al. 2009). Nuclear power's lower greenhouse gas emissions make it an attractive solution as part of global efforts towards transitioning away from fossil-based energy sources (Jones 2014).</w:t>
      </w:r>
    </w:p>
    <w:p w14:paraId="3073DDDF" w14:textId="77777777" w:rsidR="00A864BC" w:rsidRDefault="00A864BC" w:rsidP="00A864BC">
      <w:r>
        <w:t>At the center of these energy dynamics lies the European Commission, playing a vital role in shaping projects such as Hinkley Point C. Its assessment of public financing of this project reflects an intricate interplay between energy policy and regulatory oversight (Batel &amp; Devine-Wright, 2017). Their scrutiny not only impacts financial structures but also has wider ramifications for energy investments across Europe - an favourable ruling could set precedents that encourage member states to support new nuclear power facilities thus changing Europe's energy landscape (Mancini et al., 2015).</w:t>
      </w:r>
    </w:p>
    <w:p w14:paraId="681391F8" w14:textId="60B5CDA6" w:rsidR="00A864BC" w:rsidRDefault="00A864BC" w:rsidP="00A864BC">
      <w:r>
        <w:t xml:space="preserve">Hinkley Point C has not been without legal complexities and external obstacles on its journey towards completion, however. Issues surrounding public financing, state aid and compliance with environmental standards have created uncertainties that hindered progress (Busch &amp; Shrivastava 2017). As Austria demonstrated with their opposition stance (Kraushaar 2022), these legal intricacies resulted in legal battles as well as external challenges from governments outside. Eventually the European Court of Justice's judgment in </w:t>
      </w:r>
      <w:r w:rsidR="00615CCD">
        <w:t>favour</w:t>
      </w:r>
      <w:r>
        <w:t xml:space="preserve"> of state aid measures demonstrated just how </w:t>
      </w:r>
      <w:r>
        <w:lastRenderedPageBreak/>
        <w:t>dynamic these projects could be across national boundaries and underscored their multifaceted nature within global energy projects in an international setting.</w:t>
      </w:r>
    </w:p>
    <w:p w14:paraId="51D3CEC1" w14:textId="77777777" w:rsidR="00A864BC" w:rsidRDefault="00A864BC" w:rsidP="00A864BC">
      <w:r>
        <w:t>Conclusion of External Factors Impacting Hinkley Point C Project Evaluation In conclusion, an examination of external factors impacting Hinkley Point C Project has revealed the interdependencies among global energy demand, regulatory oversight and legal complexity that comprise its environment. Nuclear energy's potential to address energy security and emissions reduction positions projects like Hinkley Point C as leading sustainable solutions. The European Commission's involvement in assessing financing legality and the external challenges posed by legal issues and government stances show how complex projects are to execute. In subsequent chapters, these projects' industry structure, stakeholder engagement, economic implications and pros and cons will be examined more deeply to provide a holistic assessment from a project management viewpoint.</w:t>
      </w:r>
    </w:p>
    <w:p w14:paraId="45AF9F06" w14:textId="77777777" w:rsidR="00A864BC" w:rsidRDefault="00A864BC" w:rsidP="00615CCD">
      <w:pPr>
        <w:pStyle w:val="Heading1"/>
      </w:pPr>
      <w:bookmarkStart w:id="2" w:name="_Toc143845311"/>
      <w:r>
        <w:t>Chapter 2: Exploring Industry Structure</w:t>
      </w:r>
      <w:bookmarkEnd w:id="2"/>
    </w:p>
    <w:p w14:paraId="7D748C02" w14:textId="77777777" w:rsidR="00A864BC" w:rsidRDefault="00A864BC" w:rsidP="00A864BC">
      <w:r>
        <w:t>Nuclear fission stands as the cornerstone of nuclear power generation, underscoring its criticality to projects. By controlling uranium atom splitting to release energy for use in electricity generation (Cooper 2013), nuclear fission releases significant amounts of energy that must be harnessed before electricity production can commence (Cooper, 2013). Due to the immense power and potential risks involved with nuclear energy use, prudent decision making must take place throughout all stages of a nuclear power project's lifetime (Cooper 2013).</w:t>
      </w:r>
    </w:p>
    <w:p w14:paraId="7B2C18F7" w14:textId="2CEE6D6C" w:rsidR="00A864BC" w:rsidRDefault="00A864BC" w:rsidP="00A864BC">
      <w:r>
        <w:t>Hinkley Point C has seen impressive developments during its development, signal</w:t>
      </w:r>
      <w:r w:rsidR="00615CCD">
        <w:t>l</w:t>
      </w:r>
      <w:r>
        <w:t>ing careful decision-making coupled with technological progress. A preliminary investment contract was signed as evidence of financial commitment as well as viability and potential contribution to energy sector (Thomas 2016). Furthermore, approval of EPR reactor design underscores stringent safety regulations governing nuclear power projects in UK (Araujo 2017).</w:t>
      </w:r>
    </w:p>
    <w:p w14:paraId="65C6BFD4" w14:textId="77777777" w:rsidR="00A864BC" w:rsidRDefault="00A864BC" w:rsidP="00A864BC">
      <w:r>
        <w:t>Hinkley Point C's design and layout require careful consideration when it comes to safety measures, with access towers for reactor building, fuel building and safety buildings representing a comprehensive approach to safety (Toke 2018). Furthermore, use of steel pressure vessels as reactor core containment vessels shows an investment in safeguarding nuclear reactions safely (Kuo 2014). Furthermore, certain buildings placed on traditional islands showcase an ideal blend between efficiency and safety considerations (Kuo, 2014).</w:t>
      </w:r>
    </w:p>
    <w:p w14:paraId="14BA0AD9" w14:textId="77777777" w:rsidR="00A864BC" w:rsidRDefault="00A864BC" w:rsidP="00A864BC">
      <w:r>
        <w:t>At Hinkley Point C, safety measures play an inexorable role. The nuclear industry adheres to stringent safety protocols to prevent accidents and protect workers, communities, and the environment (Rudiger Meiswinkel Meyer and Schnell, 2013). Hinkley Point C's design follows these principles by employing both innovative and established approaches in mitigating risks.</w:t>
      </w:r>
    </w:p>
    <w:p w14:paraId="403EF0B6" w14:textId="77777777" w:rsidR="00A864BC" w:rsidRDefault="00A864BC" w:rsidP="00A864BC"/>
    <w:p w14:paraId="49A553B4" w14:textId="77777777" w:rsidR="00A864BC" w:rsidRDefault="00A864BC" w:rsidP="00615CCD">
      <w:pPr>
        <w:pStyle w:val="Heading1"/>
      </w:pPr>
      <w:bookmarkStart w:id="3" w:name="_Toc143845312"/>
      <w:r>
        <w:t>Chapter 3: Stakeholder Engagement and Impact</w:t>
      </w:r>
      <w:bookmarkEnd w:id="3"/>
    </w:p>
    <w:p w14:paraId="6688F535" w14:textId="77777777" w:rsidR="00A864BC" w:rsidRDefault="00A864BC" w:rsidP="00A864BC">
      <w:r>
        <w:t>Nuclear power projects pose numerous impacts to communities, the environment, and public sentiment that require engaging with stakeholders for successful completion. Securing public approval and including them in project discussions are crucial not only in shaping its trajectory but also contributing to its long-term viability and acceptance by communities and the wider public. Nuclear energy projects require a more collaborative approach when engaging stakeholders than would typically be found with traditional endeavors.</w:t>
      </w:r>
    </w:p>
    <w:p w14:paraId="2F33E3C6" w14:textId="77777777" w:rsidR="00A864BC" w:rsidRDefault="00A864BC" w:rsidP="00A864BC">
      <w:r>
        <w:lastRenderedPageBreak/>
        <w:t>As nuclear power projects exist in a broader societal context, public endorsement of projects cannot be underestimated. Engaging the public through transparent and informative communication ensures that concerns, benefits, and risks are understood and addressed (Morton, Lonsdale, &amp; Sheppard, 2014). Engaging stakeholders creates an avenue to listen to diverse viewpoints, creating a sense of ownership and shared responsibility (Gunnell Williams Murphy). Such collaborative ethos creates a more holistic understanding of project's implications.</w:t>
      </w:r>
    </w:p>
    <w:p w14:paraId="74B5DD85" w14:textId="77777777" w:rsidR="00A864BC" w:rsidRDefault="00A864BC" w:rsidP="00A864BC">
      <w:r>
        <w:t>EDF Energy Nuclear Generation Limited and Magnox Limited's participation in the Hinkley Point Site Stakeholder Group (HSSG) shows their proactive approach to stakeholder communication. Sharing information regarding radioactive discharges, waste disposal and environmental monitoring demonstrates a dedication to transparency and accountability (Araujo, 2017). Including pertinent details in annual reports not only enhances transparency but also facilitates informed decision-making by stakeholders.</w:t>
      </w:r>
    </w:p>
    <w:p w14:paraId="0000392C" w14:textId="77777777" w:rsidR="00A864BC" w:rsidRDefault="00A864BC" w:rsidP="00A864BC">
      <w:r>
        <w:t>Nuclear power plant locations are closely tied to regulatory frameworks and community consensus. While regulatory guidelines ensure plants adhere to stringent safety and environmental standards that prioritize protecting both people and the environment (Clarke et al., 2008), community consensus plays an integral role in selecting their site considering aesthetics, environmental impact assessment, local considerations and local perspectives (Gan, 2021). Engaging multiple perspectives helps gain a comprehensive understanding of any project's potential benefits/drawbacks (Busch &amp; Shrivastava 2017).</w:t>
      </w:r>
    </w:p>
    <w:p w14:paraId="239DF838" w14:textId="77777777" w:rsidR="00A864BC" w:rsidRDefault="00A864BC" w:rsidP="00A864BC">
      <w:r>
        <w:t>Public perception is an essential component of stakeholder engagement, shaping public reception of nuclear power projects. Governments and regulatory bodies' participation in decision-making reveals the delicate balance between public sentiment and policy decisions (Farrell, Zerriffi &amp; Dowlatabadi 2004) requiring delicate yet inclusive approaches in order to accommodate both stakeholder concerns and preferences for sustainable energy solutions with these factors in mind.</w:t>
      </w:r>
    </w:p>
    <w:p w14:paraId="7E484EC3" w14:textId="77777777" w:rsidR="00A864BC" w:rsidRDefault="00A864BC" w:rsidP="00A864BC">
      <w:r>
        <w:t>Conclusion Stakeholder engagement plays a vital role in nuclear power projects, from public support and regulatory compliance through to community consensus building and community endorsement. EDF Energy Nuclear Generation Limited and Magnox Limited's efforts in stakeholder engagement demonstrate this collaborative approach to sharing of information. As subsequent chapters explore economic impacts, project evaluation, and lessons learned - stakeholder engagement remains at the core of successful nuclear project management.</w:t>
      </w:r>
    </w:p>
    <w:p w14:paraId="37029556" w14:textId="77777777" w:rsidR="00A864BC" w:rsidRDefault="00A864BC" w:rsidP="00A864BC"/>
    <w:p w14:paraId="7927DFE0" w14:textId="77777777" w:rsidR="00A864BC" w:rsidRDefault="00A864BC" w:rsidP="00615CCD">
      <w:pPr>
        <w:pStyle w:val="Heading1"/>
      </w:pPr>
      <w:bookmarkStart w:id="4" w:name="_Toc143845313"/>
      <w:r>
        <w:t>Chapter 4: Economic Implications and Investment</w:t>
      </w:r>
      <w:bookmarkEnd w:id="4"/>
    </w:p>
    <w:p w14:paraId="09C49A33" w14:textId="77777777" w:rsidR="00A864BC" w:rsidRDefault="00A864BC" w:rsidP="00A864BC">
      <w:r>
        <w:t>Nuclear power projects' economic dimensions reveal an intricate balance among capital investment, operational costs and long-term sustainability. Such projects often require an initial significant capital outlay that serves as the cornerstone for viability and viability; however, multiple other factors including interest rates, project duration and market dynamics ultimately play a part in determining its viability as an economically feasible project.</w:t>
      </w:r>
    </w:p>
    <w:p w14:paraId="565C59E3" w14:textId="77777777" w:rsidR="00A864BC" w:rsidRDefault="00A864BC" w:rsidP="00A864BC">
      <w:r>
        <w:t>At the core of nuclear power projects lies an initial capital investment requirement. This investment represents a considerable proportion of Levelized Cost of Electricity (LCOE), an indicator used to gauge energy generation costs (Jenkins et al., 2018). Given this investment's magnitude, proper evaluation must take place as it must account for potential returns and ability to recoup costs over the project's lifecycle.</w:t>
      </w:r>
    </w:p>
    <w:p w14:paraId="2FF13E9F" w14:textId="77777777" w:rsidR="00A864BC" w:rsidRDefault="00A864BC" w:rsidP="00A864BC">
      <w:r>
        <w:lastRenderedPageBreak/>
        <w:t>Interest rates and project duration play an essential role in the cost of capital and economic viability of nuclear power projects. Longer project duration and higher interest rates can significantly alter financing costs, potentially undermining its feasibility (Schroeder et al. 2013). Therefore, careful consideration must be given to these variables so as to align economic projections with market realities.</w:t>
      </w:r>
    </w:p>
    <w:p w14:paraId="54FC157B" w14:textId="77777777" w:rsidR="00A864BC" w:rsidRDefault="00A864BC" w:rsidP="00A864BC">
      <w:r>
        <w:t>Deregulated energy markets further complicate the economic implications of nuclear power projects. While regulated markets offer guaranteed minimum rates of return, deregulated markets do not. Deregulation reduces investments into new facilities (Jenkins et al. 2018) but concerns over infrastructure deterioration exacerbate the need to invest. This makes the economic viability of nuclear projects intertwined with that of overall energy landscape.</w:t>
      </w:r>
    </w:p>
    <w:p w14:paraId="65D0E09B" w14:textId="77777777" w:rsidR="00A864BC" w:rsidRDefault="00A864BC" w:rsidP="00A864BC">
      <w:r>
        <w:t>Conclusion In summary, the economic implications of nuclear power projects include initial capital investment, interest rates, project duration and deregulated energy markets. Project viability hinges upon an optimal balance between investment, operational costs and producing sustainable energy; when considering project analysis, success factors and recommendations in subsequent chapters - economic considerations remain an invaluable tool in envisioning their future success.</w:t>
      </w:r>
    </w:p>
    <w:p w14:paraId="19457ABE" w14:textId="77777777" w:rsidR="00A864BC" w:rsidRDefault="00A864BC" w:rsidP="00615CCD">
      <w:pPr>
        <w:pStyle w:val="Heading1"/>
      </w:pPr>
      <w:bookmarkStart w:id="5" w:name="_Toc143845314"/>
      <w:r>
        <w:t>Chapter 5: Pros and Cons of the Project</w:t>
      </w:r>
      <w:bookmarkEnd w:id="5"/>
    </w:p>
    <w:p w14:paraId="19829C19" w14:textId="77777777" w:rsidR="00A864BC" w:rsidRDefault="00A864BC" w:rsidP="00A864BC">
      <w:r>
        <w:t>The Hinkley Point C nuclear power project offers a complex mix of benefits and ethical considerations that influence its evaluation from various angles. Positive aspects include employment opportunities, economic expansion, carbon emission reduction potential and potential local benefits; while ethical concerns, financial implications, local benefits must all be carefully evaluated as potential drawbacks to consider before reaching a definitive opinion of this endeavor's merits and drawbacks.</w:t>
      </w:r>
    </w:p>
    <w:p w14:paraId="42AB3317" w14:textId="77777777" w:rsidR="00A864BC" w:rsidRDefault="00A864BC" w:rsidP="00A864BC">
      <w:r>
        <w:t>Hinkley Point C's benefits are numerous and multidimensional. First and foremost is employment growth - its workforce expected to surge during both development and operation (Gunnell, Williams &amp; Murphy 2019). This boost not only stimulates local economies but also improves quality of life for workforce members. Furthermore, economic growth projections from Hinkley Point C are significant - both short-term and long-term benefits will accrue to local economies through its contribution (Batel &amp; Devine-Wright 2017).</w:t>
      </w:r>
    </w:p>
    <w:p w14:paraId="3CD3C230" w14:textId="77777777" w:rsidR="00A864BC" w:rsidRDefault="00A864BC" w:rsidP="00A864BC">
      <w:r>
        <w:t>Environmentally speaking, Hinkley Point C represents an opportunity to reduce carbon emissions significantly in line with global efforts to combat climate change (Chou &amp; Leatemia, 2016). Generating low-carbon energy contributes to meeting United Kingdom climate targets under Paris Agreement as well as meeting United Nations environmental goals (Araujo, 2017). Thus it demonstrates nuclear energy's viability as an option to meet energy demands while mitigating emissions.</w:t>
      </w:r>
    </w:p>
    <w:p w14:paraId="22CD7432" w14:textId="77777777" w:rsidR="00A864BC" w:rsidRDefault="00A864BC" w:rsidP="00A864BC">
      <w:r>
        <w:t>Ethical considerations surrounding nuclear power projects are complex and warrant an in-depth evaluation. Virtue ethics theories pose questions regarding human actions that create technology with potential to do harm (Jones, 2014), while utilitarianism seeks to weigh potential benefits against risks for each project and decide if their overall benefits justify potential risks (Kuo, 2014). Such dilemmas require deep consideration with regards to alignment with society values and long-term well-being (Browne &amp; Cockcroft).</w:t>
      </w:r>
    </w:p>
    <w:p w14:paraId="3EEF63F4" w14:textId="77777777" w:rsidR="00A864BC" w:rsidRDefault="00A864BC" w:rsidP="00A864BC">
      <w:r>
        <w:t xml:space="preserve">Financial implications are intertwined with local economies, both providing benefits and creating potential challenges. Increased investments and revenues may bolster local economies, improving infrastructure and public services (Farrell, Zerriffi &amp; Dowlatabadi 2004), yet care must be taken when </w:t>
      </w:r>
      <w:r>
        <w:lastRenderedPageBreak/>
        <w:t>considering long-term sustainability and market volatility when planning energy infrastructure projects.</w:t>
      </w:r>
    </w:p>
    <w:p w14:paraId="00DA4D8E" w14:textId="77777777" w:rsidR="00A864BC" w:rsidRDefault="00A864BC" w:rsidP="00A864BC">
      <w:r>
        <w:t>Hinkley Point C project can be seen as an endeavor with both positive and ethical considerations, boasting both significant economic growth, job gains, and carbon emission reduction while at the same time sparking debates regarding ethical concerns, financial implications and potential market volatility. As future chapters investigate its evaluation, lessons learned, and recommendations pertaining to this endeavor, its complex interplay of pros and cons will remain at its heart.</w:t>
      </w:r>
    </w:p>
    <w:p w14:paraId="152D6956" w14:textId="77777777" w:rsidR="00615CCD" w:rsidRDefault="00A864BC" w:rsidP="00615CCD">
      <w:pPr>
        <w:pStyle w:val="Heading1"/>
      </w:pPr>
      <w:bookmarkStart w:id="6" w:name="_Toc143845315"/>
      <w:r>
        <w:t>Chapter 6: Conclusion and Recommendations</w:t>
      </w:r>
      <w:bookmarkEnd w:id="6"/>
      <w:r>
        <w:t xml:space="preserve"> </w:t>
      </w:r>
    </w:p>
    <w:p w14:paraId="51DDDFC1" w14:textId="7184F810" w:rsidR="00A864BC" w:rsidRDefault="00A864BC" w:rsidP="00A864BC">
      <w:r>
        <w:t>Our evaluation of Hinkley Point C nuclear power project has given us a detailed understanding of its many dimensions, from industry structure and stakeholder engagement, economic ramifications, ethical considerations and environmental impacts. In this concluding chapter we draw together key findings and insights gleaned from project evaluation, emphasize sustainable energy generation as an objective principle and offer balanced conclusions regarding its progress as an energy sector initiative in the UK.</w:t>
      </w:r>
    </w:p>
    <w:p w14:paraId="47DDDE88" w14:textId="77777777" w:rsidR="00A864BC" w:rsidRDefault="00A864BC" w:rsidP="00A864BC">
      <w:r>
        <w:t>Hinkley Point C represents a tremendous opportunity for UK renewable energy development, holding potential to address growing energy demands, reduce carbon emissions and stimulate local economies through job creation and economic expansion. Furthermore, its progress, highlighted by signing an investment contract and adhering to stringent safety regulations, emphasizes its dedication to safe and sustainable energy production (Amyas Morse 2017).</w:t>
      </w:r>
    </w:p>
    <w:p w14:paraId="25AEF088" w14:textId="77777777" w:rsidR="00A864BC" w:rsidRDefault="00A864BC" w:rsidP="00A864BC">
      <w:r>
        <w:t>Sustainable energy generation cannot be overstated in today's environment-minded world, as global concerns over climate change and environmental degradation rise. Projects like Hinkley Point C play an integral part in shaping a more eco-friendly future - its low-carbon energy generation aligns with UK commitments to international climate goals as well as an imperative to transition toward cleaner sources (Clarke et al. 2008).</w:t>
      </w:r>
    </w:p>
    <w:p w14:paraId="434E652D" w14:textId="77777777" w:rsidR="00A864BC" w:rsidRDefault="00A864BC" w:rsidP="00A864BC">
      <w:r>
        <w:t>Given the project's current progress, assessing its potential success or failure for the UK energy sector requires taking an objective view. Positive elements, like job creation opportunities, economic expansion and carbon emissions reductions are balanced against ethical concerns, financial implications and market dynamics that might arise during its lifecycle. As time passes, lessons learned during development, stakeholder engagement and industry regulations could provide valuable lessons for similar ventures in future (Morton Lonsdale Sheppard 2014).</w:t>
      </w:r>
    </w:p>
    <w:p w14:paraId="47C36386" w14:textId="318C4C09" w:rsidR="00A864BC" w:rsidRDefault="00A864BC" w:rsidP="00A864BC">
      <w:r>
        <w:t>Hinkley Point C stands at an integral crossroads between sustainable energy generation and its associated challenges, and nuclear energy's many obstacles. As its potential to contribute to future energy sector needs within the UK while adhering to stringent safety measures and ethical considerations is carefully assessed, its lessons and recommendations from this evaluation may serve to guide future endeavors towards more responsible, cost-efficient, and eco-friendly energy generation efforts.</w:t>
      </w:r>
    </w:p>
    <w:p w14:paraId="56FE20F5" w14:textId="77777777" w:rsidR="00A864BC" w:rsidRDefault="00A864BC" w:rsidP="00A864BC"/>
    <w:p w14:paraId="22F7BD2B" w14:textId="77777777" w:rsidR="00A864BC" w:rsidRDefault="00A864BC" w:rsidP="00A864BC"/>
    <w:p w14:paraId="298C045B" w14:textId="77777777" w:rsidR="00A864BC" w:rsidRDefault="00A864BC" w:rsidP="00A864BC"/>
    <w:p w14:paraId="4F160F0C" w14:textId="77777777" w:rsidR="00A864BC" w:rsidRDefault="00A864BC" w:rsidP="00A864BC"/>
    <w:p w14:paraId="7E4629DC" w14:textId="23CF98D5" w:rsidR="00A864BC" w:rsidRDefault="00A864BC" w:rsidP="00A864BC">
      <w:pPr>
        <w:pStyle w:val="Heading1"/>
      </w:pPr>
      <w:bookmarkStart w:id="7" w:name="_Toc143845316"/>
      <w:r>
        <w:lastRenderedPageBreak/>
        <w:t>References</w:t>
      </w:r>
      <w:bookmarkEnd w:id="7"/>
    </w:p>
    <w:p w14:paraId="732CE09B" w14:textId="77777777" w:rsidR="00A864BC" w:rsidRDefault="00A864BC" w:rsidP="00A864BC">
      <w:pPr>
        <w:pStyle w:val="ListParagraph"/>
        <w:numPr>
          <w:ilvl w:val="0"/>
          <w:numId w:val="1"/>
        </w:numPr>
      </w:pPr>
      <w:r>
        <w:t>Adler, F.R. and Tanner, C. (2013). Urban ecosystems: ecological principles for the built environment. Cambridge: Cambridge University Press.</w:t>
      </w:r>
    </w:p>
    <w:p w14:paraId="1BB18B27" w14:textId="77777777" w:rsidR="00A864BC" w:rsidRDefault="00A864BC" w:rsidP="00A864BC">
      <w:pPr>
        <w:pStyle w:val="ListParagraph"/>
        <w:numPr>
          <w:ilvl w:val="0"/>
          <w:numId w:val="1"/>
        </w:numPr>
      </w:pPr>
      <w:r>
        <w:t>Amyas Morse (2017). Department for Business, Energy &amp; Industrial Strategy: Hinkley Point C. London: National Audit Office.</w:t>
      </w:r>
    </w:p>
    <w:p w14:paraId="05341FED" w14:textId="77777777" w:rsidR="00A864BC" w:rsidRDefault="00A864BC" w:rsidP="00A864BC">
      <w:pPr>
        <w:pStyle w:val="ListParagraph"/>
        <w:numPr>
          <w:ilvl w:val="0"/>
          <w:numId w:val="1"/>
        </w:numPr>
      </w:pPr>
      <w:r>
        <w:t>AraújoK.M. (2017). Low carbon energy transitions: turning points in national policy and innovation. New York, Ny: Oxford University Press.</w:t>
      </w:r>
    </w:p>
    <w:p w14:paraId="3BB988E3" w14:textId="77777777" w:rsidR="00A864BC" w:rsidRDefault="00A864BC" w:rsidP="00A864BC">
      <w:pPr>
        <w:pStyle w:val="ListParagraph"/>
        <w:numPr>
          <w:ilvl w:val="0"/>
          <w:numId w:val="1"/>
        </w:numPr>
      </w:pPr>
      <w:r>
        <w:t>Batel, S. and Devine‐Wright, P., 2017. Energy colonialism and the role of the global in local responses to new energy infrastructures in the UK: A critical and exploratory empirical analysis. Antipode, 49(1), pp.3-22.</w:t>
      </w:r>
    </w:p>
    <w:p w14:paraId="57C5325F" w14:textId="77777777" w:rsidR="00A864BC" w:rsidRDefault="00A864BC" w:rsidP="00A864BC">
      <w:pPr>
        <w:pStyle w:val="ListParagraph"/>
        <w:numPr>
          <w:ilvl w:val="0"/>
          <w:numId w:val="1"/>
        </w:numPr>
      </w:pPr>
      <w:r>
        <w:t>Busch, T. and Shrivastava, P. (2017). The Global Carbon Crisis. Routledge.</w:t>
      </w:r>
    </w:p>
    <w:p w14:paraId="432A5269" w14:textId="77777777" w:rsidR="00A864BC" w:rsidRDefault="00A864BC" w:rsidP="00A864BC">
      <w:pPr>
        <w:pStyle w:val="ListParagraph"/>
        <w:numPr>
          <w:ilvl w:val="0"/>
          <w:numId w:val="1"/>
        </w:numPr>
      </w:pPr>
      <w:r>
        <w:t>Chou, J.S. and Leatemia, G.T., 2016. Critical process and factors for ex-post evaluation of public-private partnership infrastructure projects in Indonesia. Journal of Management in Engineering, 32(5), p.05016011.</w:t>
      </w:r>
    </w:p>
    <w:p w14:paraId="49A84F33" w14:textId="77777777" w:rsidR="00A864BC" w:rsidRDefault="00A864BC" w:rsidP="00A864BC">
      <w:pPr>
        <w:pStyle w:val="ListParagraph"/>
        <w:numPr>
          <w:ilvl w:val="0"/>
          <w:numId w:val="1"/>
        </w:numPr>
      </w:pPr>
      <w:r>
        <w:t>Clarke, J.A., Johnstone, C.M., Kelly, N.J., Strachan, P.A. and Tuohy, P., 2008. The role of built environment energy efficiency in a sustainable UK energy economy. Energy policy, 36(12), pp.4605-4609.</w:t>
      </w:r>
    </w:p>
    <w:p w14:paraId="58F33530" w14:textId="77777777" w:rsidR="00A864BC" w:rsidRDefault="00A864BC" w:rsidP="00A864BC">
      <w:pPr>
        <w:pStyle w:val="ListParagraph"/>
        <w:numPr>
          <w:ilvl w:val="0"/>
          <w:numId w:val="1"/>
        </w:numPr>
      </w:pPr>
      <w:r>
        <w:t>Cooper, J. (2013). Nuclear Energy and the Low Carbon Transition.</w:t>
      </w:r>
    </w:p>
    <w:p w14:paraId="054C4E3B" w14:textId="77777777" w:rsidR="00A864BC" w:rsidRDefault="00A864BC" w:rsidP="00A864BC">
      <w:pPr>
        <w:pStyle w:val="ListParagraph"/>
        <w:numPr>
          <w:ilvl w:val="0"/>
          <w:numId w:val="1"/>
        </w:numPr>
      </w:pPr>
      <w:r>
        <w:t>Farrell, A.E., Zerriffi, H. and Dowlatabadi, H., 2004. Energy infrastructure and security. Annu. Rev. Environ. Resour., 29, pp.421-469.</w:t>
      </w:r>
    </w:p>
    <w:p w14:paraId="5B61CE1A" w14:textId="77777777" w:rsidR="00A864BC" w:rsidRDefault="00A864BC" w:rsidP="00A864BC">
      <w:pPr>
        <w:pStyle w:val="ListParagraph"/>
        <w:numPr>
          <w:ilvl w:val="0"/>
          <w:numId w:val="1"/>
        </w:numPr>
      </w:pPr>
      <w:r>
        <w:t>Findlay, T., 2010. Nuclear energy and global governance: ensuring safety, security and non-proliferation. Routledge.</w:t>
      </w:r>
    </w:p>
    <w:p w14:paraId="522C9CC7" w14:textId="77777777" w:rsidR="00A864BC" w:rsidRDefault="00A864BC" w:rsidP="00A864BC">
      <w:pPr>
        <w:pStyle w:val="ListParagraph"/>
        <w:numPr>
          <w:ilvl w:val="0"/>
          <w:numId w:val="1"/>
        </w:numPr>
      </w:pPr>
      <w:r>
        <w:t>François Lévêque (2015). The economics and uncertainties of nuclear power. Cambridge, United Kingdom: Cambridge University Press.</w:t>
      </w:r>
    </w:p>
    <w:p w14:paraId="14875643" w14:textId="77777777" w:rsidR="00A864BC" w:rsidRDefault="00A864BC" w:rsidP="00A864BC">
      <w:pPr>
        <w:pStyle w:val="ListParagraph"/>
        <w:numPr>
          <w:ilvl w:val="0"/>
          <w:numId w:val="1"/>
        </w:numPr>
      </w:pPr>
      <w:r>
        <w:t>Gan, J. (2021). Urban Biodiversity and Built Environment. Springer Nature.</w:t>
      </w:r>
    </w:p>
    <w:p w14:paraId="27050542" w14:textId="77777777" w:rsidR="00A864BC" w:rsidRDefault="00A864BC" w:rsidP="00A864BC">
      <w:pPr>
        <w:pStyle w:val="ListParagraph"/>
        <w:numPr>
          <w:ilvl w:val="0"/>
          <w:numId w:val="1"/>
        </w:numPr>
      </w:pPr>
      <w:r>
        <w:t>Grant, G. (2012). Ecosystem services come to town: greening cities by working with nature. Chicester: Wiley.</w:t>
      </w:r>
    </w:p>
    <w:p w14:paraId="06A7824E" w14:textId="77777777" w:rsidR="00A864BC" w:rsidRDefault="00A864BC" w:rsidP="00A864BC">
      <w:pPr>
        <w:pStyle w:val="ListParagraph"/>
        <w:numPr>
          <w:ilvl w:val="0"/>
          <w:numId w:val="1"/>
        </w:numPr>
      </w:pPr>
      <w:r>
        <w:t>Gunnell, K., Williams, C. and Murphy, B. (2019). Design for Biodiversity. Routledge.</w:t>
      </w:r>
    </w:p>
    <w:p w14:paraId="633EAF31" w14:textId="77777777" w:rsidR="00A864BC" w:rsidRDefault="00A864BC" w:rsidP="00A864BC">
      <w:pPr>
        <w:pStyle w:val="ListParagraph"/>
        <w:numPr>
          <w:ilvl w:val="0"/>
          <w:numId w:val="1"/>
        </w:numPr>
      </w:pPr>
      <w:r>
        <w:t>Jenkins, J.D., Zhou, Z., Ponciroli, R., Vilim, R.B., Ganda, F., de Sisternes, F. and Botterud, A. (2018). The benefits of nuclear flexibility in power system operations with renewable energy. Applied Energy, [online] 222, pp.872–884. doi:https://doi.org/10.1016/j.apenergy.2018.03.002.</w:t>
      </w:r>
    </w:p>
    <w:p w14:paraId="76D3E83A" w14:textId="77777777" w:rsidR="00A864BC" w:rsidRDefault="00A864BC" w:rsidP="00A864BC">
      <w:pPr>
        <w:pStyle w:val="ListParagraph"/>
        <w:numPr>
          <w:ilvl w:val="0"/>
          <w:numId w:val="1"/>
        </w:numPr>
      </w:pPr>
      <w:r>
        <w:t>Jones, L.E. (2014). Renewable energy integration: practical management of variability, uncertainty and flexibility in power grids. London: Academic Press.</w:t>
      </w:r>
    </w:p>
    <w:p w14:paraId="3A80FBD2" w14:textId="77777777" w:rsidR="00A864BC" w:rsidRDefault="00A864BC" w:rsidP="00A864BC">
      <w:pPr>
        <w:pStyle w:val="ListParagraph"/>
        <w:numPr>
          <w:ilvl w:val="0"/>
          <w:numId w:val="1"/>
        </w:numPr>
      </w:pPr>
      <w:r>
        <w:t>Keyhani, A., Marwali, M.N. and Dai, M., 2009. Integration of green and renewable energy in electric power systems. John Wiley &amp; Sons.</w:t>
      </w:r>
    </w:p>
    <w:p w14:paraId="01497FC9" w14:textId="77777777" w:rsidR="00A864BC" w:rsidRDefault="00A864BC" w:rsidP="00A864BC">
      <w:pPr>
        <w:pStyle w:val="ListParagraph"/>
        <w:numPr>
          <w:ilvl w:val="0"/>
          <w:numId w:val="1"/>
        </w:numPr>
      </w:pPr>
      <w:r>
        <w:t>Kuo, W. (2014). Critical Reflections on Nuclear and Renewable Energy. John Wiley &amp; Sons.</w:t>
      </w:r>
    </w:p>
    <w:p w14:paraId="7BB7E2FC" w14:textId="77777777" w:rsidR="00A864BC" w:rsidRDefault="00A864BC" w:rsidP="00A864BC">
      <w:pPr>
        <w:pStyle w:val="ListParagraph"/>
        <w:numPr>
          <w:ilvl w:val="0"/>
          <w:numId w:val="1"/>
        </w:numPr>
      </w:pPr>
      <w:r>
        <w:t>Mancini, M., Locatelli, G. and Sainati, T., 2015. The divergence between actual and estimated costs in large industrial and infrastructure projects: Is nuclear special?.</w:t>
      </w:r>
    </w:p>
    <w:p w14:paraId="588BDAC1" w14:textId="77777777" w:rsidR="00A864BC" w:rsidRDefault="00A864BC" w:rsidP="00A864BC">
      <w:pPr>
        <w:pStyle w:val="ListParagraph"/>
        <w:numPr>
          <w:ilvl w:val="0"/>
          <w:numId w:val="1"/>
        </w:numPr>
      </w:pPr>
      <w:r>
        <w:t>Morton, S., Lonsdale, M. and Sheppard, A. (2014). Biodiversity. CSIRO PUBLISHING.</w:t>
      </w:r>
    </w:p>
    <w:p w14:paraId="0853F136" w14:textId="77777777" w:rsidR="00A864BC" w:rsidRDefault="00A864BC" w:rsidP="00A864BC">
      <w:pPr>
        <w:pStyle w:val="ListParagraph"/>
        <w:numPr>
          <w:ilvl w:val="0"/>
          <w:numId w:val="1"/>
        </w:numPr>
      </w:pPr>
      <w:r>
        <w:t>Rüdiger Meiswinkel, Meyer, J. and Schnell, J. (2013). Design and Construction of Nuclear Power Plants. John Wiley &amp; Sons.</w:t>
      </w:r>
    </w:p>
    <w:p w14:paraId="175968F4" w14:textId="77777777" w:rsidR="00A864BC" w:rsidRDefault="00A864BC" w:rsidP="00A864BC">
      <w:pPr>
        <w:pStyle w:val="ListParagraph"/>
        <w:numPr>
          <w:ilvl w:val="0"/>
          <w:numId w:val="1"/>
        </w:numPr>
      </w:pPr>
      <w:r>
        <w:t>Sagar, A.D. and Van der Zwaan, B., 2006. Technological innovation in the energy sector: R&amp;D, deployment, and learning-by-doing. Energy policy, 34(17), pp.2601-2608.</w:t>
      </w:r>
    </w:p>
    <w:p w14:paraId="5C1C254A" w14:textId="77777777" w:rsidR="00A864BC" w:rsidRDefault="00A864BC" w:rsidP="00A864BC">
      <w:pPr>
        <w:pStyle w:val="ListParagraph"/>
        <w:numPr>
          <w:ilvl w:val="0"/>
          <w:numId w:val="1"/>
        </w:numPr>
      </w:pPr>
      <w:r>
        <w:t>Schroeder, A., Oei, P.Y., Sander, A., Hankel, L. and Laurisch, L.C., 2013. The integration of renewable energies into the German transmission grid—A scenario comparison. Energy Policy, 61, pp.140-150.</w:t>
      </w:r>
    </w:p>
    <w:p w14:paraId="3ECF811E" w14:textId="77777777" w:rsidR="00A864BC" w:rsidRDefault="00A864BC" w:rsidP="00A864BC">
      <w:pPr>
        <w:pStyle w:val="ListParagraph"/>
        <w:numPr>
          <w:ilvl w:val="0"/>
          <w:numId w:val="1"/>
        </w:numPr>
      </w:pPr>
      <w:r>
        <w:lastRenderedPageBreak/>
        <w:t>Thomas, S., 2016. The Hinkley Point decision: An analysis of the policy process. Energy Policy, 96, pp.421-431.</w:t>
      </w:r>
    </w:p>
    <w:p w14:paraId="5F1B000F" w14:textId="399931B1" w:rsidR="00DA6566" w:rsidRDefault="00A864BC" w:rsidP="00A864BC">
      <w:pPr>
        <w:pStyle w:val="ListParagraph"/>
        <w:numPr>
          <w:ilvl w:val="0"/>
          <w:numId w:val="1"/>
        </w:numPr>
      </w:pPr>
      <w:r>
        <w:t>Toke, D. (2018). Low Carbon Politics. Routledge.</w:t>
      </w:r>
    </w:p>
    <w:sectPr w:rsidR="00DA65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379E3"/>
    <w:multiLevelType w:val="hybridMultilevel"/>
    <w:tmpl w:val="93C0C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4268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98E"/>
    <w:rsid w:val="0031298E"/>
    <w:rsid w:val="005434A5"/>
    <w:rsid w:val="00604836"/>
    <w:rsid w:val="00615CCD"/>
    <w:rsid w:val="007E5E3D"/>
    <w:rsid w:val="00932DF1"/>
    <w:rsid w:val="00A864BC"/>
    <w:rsid w:val="00AD5F59"/>
    <w:rsid w:val="00DA5834"/>
    <w:rsid w:val="00DA6566"/>
    <w:rsid w:val="00EA7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A4D72"/>
  <w15:chartTrackingRefBased/>
  <w15:docId w15:val="{FBB534F5-41E1-493D-9111-920B5A0A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4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4BC"/>
    <w:pPr>
      <w:ind w:left="720"/>
      <w:contextualSpacing/>
    </w:pPr>
  </w:style>
  <w:style w:type="character" w:customStyle="1" w:styleId="Heading1Char">
    <w:name w:val="Heading 1 Char"/>
    <w:basedOn w:val="DefaultParagraphFont"/>
    <w:link w:val="Heading1"/>
    <w:uiPriority w:val="9"/>
    <w:rsid w:val="00A864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5CCD"/>
    <w:pPr>
      <w:outlineLvl w:val="9"/>
    </w:pPr>
    <w:rPr>
      <w:kern w:val="0"/>
      <w:lang w:eastAsia="en-GB"/>
      <w14:ligatures w14:val="none"/>
    </w:rPr>
  </w:style>
  <w:style w:type="paragraph" w:styleId="TOC1">
    <w:name w:val="toc 1"/>
    <w:basedOn w:val="Normal"/>
    <w:next w:val="Normal"/>
    <w:autoRedefine/>
    <w:uiPriority w:val="39"/>
    <w:unhideWhenUsed/>
    <w:rsid w:val="00615CCD"/>
    <w:pPr>
      <w:spacing w:after="100"/>
    </w:pPr>
  </w:style>
  <w:style w:type="character" w:styleId="Hyperlink">
    <w:name w:val="Hyperlink"/>
    <w:basedOn w:val="DefaultParagraphFont"/>
    <w:uiPriority w:val="99"/>
    <w:unhideWhenUsed/>
    <w:rsid w:val="00615CCD"/>
    <w:rPr>
      <w:color w:val="0563C1" w:themeColor="hyperlink"/>
      <w:u w:val="single"/>
    </w:rPr>
  </w:style>
  <w:style w:type="paragraph" w:styleId="Title">
    <w:name w:val="Title"/>
    <w:basedOn w:val="Normal"/>
    <w:next w:val="Normal"/>
    <w:link w:val="TitleChar"/>
    <w:uiPriority w:val="10"/>
    <w:qFormat/>
    <w:rsid w:val="00615C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CC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41293">
      <w:bodyDiv w:val="1"/>
      <w:marLeft w:val="0"/>
      <w:marRight w:val="0"/>
      <w:marTop w:val="0"/>
      <w:marBottom w:val="0"/>
      <w:divBdr>
        <w:top w:val="none" w:sz="0" w:space="0" w:color="auto"/>
        <w:left w:val="none" w:sz="0" w:space="0" w:color="auto"/>
        <w:bottom w:val="none" w:sz="0" w:space="0" w:color="auto"/>
        <w:right w:val="none" w:sz="0" w:space="0" w:color="auto"/>
      </w:divBdr>
    </w:div>
    <w:div w:id="283779163">
      <w:bodyDiv w:val="1"/>
      <w:marLeft w:val="0"/>
      <w:marRight w:val="0"/>
      <w:marTop w:val="0"/>
      <w:marBottom w:val="0"/>
      <w:divBdr>
        <w:top w:val="none" w:sz="0" w:space="0" w:color="auto"/>
        <w:left w:val="none" w:sz="0" w:space="0" w:color="auto"/>
        <w:bottom w:val="none" w:sz="0" w:space="0" w:color="auto"/>
        <w:right w:val="none" w:sz="0" w:space="0" w:color="auto"/>
      </w:divBdr>
    </w:div>
    <w:div w:id="559244862">
      <w:bodyDiv w:val="1"/>
      <w:marLeft w:val="0"/>
      <w:marRight w:val="0"/>
      <w:marTop w:val="0"/>
      <w:marBottom w:val="0"/>
      <w:divBdr>
        <w:top w:val="none" w:sz="0" w:space="0" w:color="auto"/>
        <w:left w:val="none" w:sz="0" w:space="0" w:color="auto"/>
        <w:bottom w:val="none" w:sz="0" w:space="0" w:color="auto"/>
        <w:right w:val="none" w:sz="0" w:space="0" w:color="auto"/>
      </w:divBdr>
    </w:div>
    <w:div w:id="586353871">
      <w:bodyDiv w:val="1"/>
      <w:marLeft w:val="0"/>
      <w:marRight w:val="0"/>
      <w:marTop w:val="0"/>
      <w:marBottom w:val="0"/>
      <w:divBdr>
        <w:top w:val="none" w:sz="0" w:space="0" w:color="auto"/>
        <w:left w:val="none" w:sz="0" w:space="0" w:color="auto"/>
        <w:bottom w:val="none" w:sz="0" w:space="0" w:color="auto"/>
        <w:right w:val="none" w:sz="0" w:space="0" w:color="auto"/>
      </w:divBdr>
    </w:div>
    <w:div w:id="608900813">
      <w:bodyDiv w:val="1"/>
      <w:marLeft w:val="0"/>
      <w:marRight w:val="0"/>
      <w:marTop w:val="0"/>
      <w:marBottom w:val="0"/>
      <w:divBdr>
        <w:top w:val="none" w:sz="0" w:space="0" w:color="auto"/>
        <w:left w:val="none" w:sz="0" w:space="0" w:color="auto"/>
        <w:bottom w:val="none" w:sz="0" w:space="0" w:color="auto"/>
        <w:right w:val="none" w:sz="0" w:space="0" w:color="auto"/>
      </w:divBdr>
    </w:div>
    <w:div w:id="726760683">
      <w:bodyDiv w:val="1"/>
      <w:marLeft w:val="0"/>
      <w:marRight w:val="0"/>
      <w:marTop w:val="0"/>
      <w:marBottom w:val="0"/>
      <w:divBdr>
        <w:top w:val="none" w:sz="0" w:space="0" w:color="auto"/>
        <w:left w:val="none" w:sz="0" w:space="0" w:color="auto"/>
        <w:bottom w:val="none" w:sz="0" w:space="0" w:color="auto"/>
        <w:right w:val="none" w:sz="0" w:space="0" w:color="auto"/>
      </w:divBdr>
    </w:div>
    <w:div w:id="867721651">
      <w:bodyDiv w:val="1"/>
      <w:marLeft w:val="0"/>
      <w:marRight w:val="0"/>
      <w:marTop w:val="0"/>
      <w:marBottom w:val="0"/>
      <w:divBdr>
        <w:top w:val="none" w:sz="0" w:space="0" w:color="auto"/>
        <w:left w:val="none" w:sz="0" w:space="0" w:color="auto"/>
        <w:bottom w:val="none" w:sz="0" w:space="0" w:color="auto"/>
        <w:right w:val="none" w:sz="0" w:space="0" w:color="auto"/>
      </w:divBdr>
    </w:div>
    <w:div w:id="898827059">
      <w:bodyDiv w:val="1"/>
      <w:marLeft w:val="0"/>
      <w:marRight w:val="0"/>
      <w:marTop w:val="0"/>
      <w:marBottom w:val="0"/>
      <w:divBdr>
        <w:top w:val="none" w:sz="0" w:space="0" w:color="auto"/>
        <w:left w:val="none" w:sz="0" w:space="0" w:color="auto"/>
        <w:bottom w:val="none" w:sz="0" w:space="0" w:color="auto"/>
        <w:right w:val="none" w:sz="0" w:space="0" w:color="auto"/>
      </w:divBdr>
    </w:div>
    <w:div w:id="994650700">
      <w:bodyDiv w:val="1"/>
      <w:marLeft w:val="0"/>
      <w:marRight w:val="0"/>
      <w:marTop w:val="0"/>
      <w:marBottom w:val="0"/>
      <w:divBdr>
        <w:top w:val="none" w:sz="0" w:space="0" w:color="auto"/>
        <w:left w:val="none" w:sz="0" w:space="0" w:color="auto"/>
        <w:bottom w:val="none" w:sz="0" w:space="0" w:color="auto"/>
        <w:right w:val="none" w:sz="0" w:space="0" w:color="auto"/>
      </w:divBdr>
    </w:div>
    <w:div w:id="1052853012">
      <w:bodyDiv w:val="1"/>
      <w:marLeft w:val="0"/>
      <w:marRight w:val="0"/>
      <w:marTop w:val="0"/>
      <w:marBottom w:val="0"/>
      <w:divBdr>
        <w:top w:val="none" w:sz="0" w:space="0" w:color="auto"/>
        <w:left w:val="none" w:sz="0" w:space="0" w:color="auto"/>
        <w:bottom w:val="none" w:sz="0" w:space="0" w:color="auto"/>
        <w:right w:val="none" w:sz="0" w:space="0" w:color="auto"/>
      </w:divBdr>
    </w:div>
    <w:div w:id="1112744944">
      <w:bodyDiv w:val="1"/>
      <w:marLeft w:val="0"/>
      <w:marRight w:val="0"/>
      <w:marTop w:val="0"/>
      <w:marBottom w:val="0"/>
      <w:divBdr>
        <w:top w:val="none" w:sz="0" w:space="0" w:color="auto"/>
        <w:left w:val="none" w:sz="0" w:space="0" w:color="auto"/>
        <w:bottom w:val="none" w:sz="0" w:space="0" w:color="auto"/>
        <w:right w:val="none" w:sz="0" w:space="0" w:color="auto"/>
      </w:divBdr>
    </w:div>
    <w:div w:id="1246692159">
      <w:bodyDiv w:val="1"/>
      <w:marLeft w:val="0"/>
      <w:marRight w:val="0"/>
      <w:marTop w:val="0"/>
      <w:marBottom w:val="0"/>
      <w:divBdr>
        <w:top w:val="none" w:sz="0" w:space="0" w:color="auto"/>
        <w:left w:val="none" w:sz="0" w:space="0" w:color="auto"/>
        <w:bottom w:val="none" w:sz="0" w:space="0" w:color="auto"/>
        <w:right w:val="none" w:sz="0" w:space="0" w:color="auto"/>
      </w:divBdr>
    </w:div>
    <w:div w:id="1505047693">
      <w:bodyDiv w:val="1"/>
      <w:marLeft w:val="0"/>
      <w:marRight w:val="0"/>
      <w:marTop w:val="0"/>
      <w:marBottom w:val="0"/>
      <w:divBdr>
        <w:top w:val="none" w:sz="0" w:space="0" w:color="auto"/>
        <w:left w:val="none" w:sz="0" w:space="0" w:color="auto"/>
        <w:bottom w:val="none" w:sz="0" w:space="0" w:color="auto"/>
        <w:right w:val="none" w:sz="0" w:space="0" w:color="auto"/>
      </w:divBdr>
    </w:div>
    <w:div w:id="1537230344">
      <w:bodyDiv w:val="1"/>
      <w:marLeft w:val="0"/>
      <w:marRight w:val="0"/>
      <w:marTop w:val="0"/>
      <w:marBottom w:val="0"/>
      <w:divBdr>
        <w:top w:val="none" w:sz="0" w:space="0" w:color="auto"/>
        <w:left w:val="none" w:sz="0" w:space="0" w:color="auto"/>
        <w:bottom w:val="none" w:sz="0" w:space="0" w:color="auto"/>
        <w:right w:val="none" w:sz="0" w:space="0" w:color="auto"/>
      </w:divBdr>
    </w:div>
    <w:div w:id="1772583250">
      <w:bodyDiv w:val="1"/>
      <w:marLeft w:val="0"/>
      <w:marRight w:val="0"/>
      <w:marTop w:val="0"/>
      <w:marBottom w:val="0"/>
      <w:divBdr>
        <w:top w:val="none" w:sz="0" w:space="0" w:color="auto"/>
        <w:left w:val="none" w:sz="0" w:space="0" w:color="auto"/>
        <w:bottom w:val="none" w:sz="0" w:space="0" w:color="auto"/>
        <w:right w:val="none" w:sz="0" w:space="0" w:color="auto"/>
      </w:divBdr>
    </w:div>
    <w:div w:id="17844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3306</Words>
  <Characters>18845</Characters>
  <Application>Microsoft Office Word</Application>
  <DocSecurity>0</DocSecurity>
  <Lines>157</Lines>
  <Paragraphs>44</Paragraphs>
  <ScaleCrop>false</ScaleCrop>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Andrei Botnaru</cp:lastModifiedBy>
  <cp:revision>2</cp:revision>
  <dcterms:created xsi:type="dcterms:W3CDTF">2023-09-01T09:57:00Z</dcterms:created>
  <dcterms:modified xsi:type="dcterms:W3CDTF">2023-09-01T09:57:00Z</dcterms:modified>
</cp:coreProperties>
</file>