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8D4EE2" w14:paraId="2C078E63" wp14:textId="70E0CA4D">
      <w:pPr>
        <w:rPr>
          <w:i w:val="1"/>
          <w:iCs w:val="1"/>
          <w:sz w:val="28"/>
          <w:szCs w:val="28"/>
          <w:u w:val="single"/>
        </w:rPr>
      </w:pPr>
      <w:r w:rsidRPr="4C8D4EE2" w:rsidR="409C99E1">
        <w:rPr>
          <w:i w:val="1"/>
          <w:iCs w:val="1"/>
          <w:sz w:val="28"/>
          <w:szCs w:val="28"/>
          <w:u w:val="single"/>
        </w:rPr>
        <w:t>Level 4 Assessment Specification – Criminal Law</w:t>
      </w:r>
      <w:r w:rsidRPr="4C8D4EE2" w:rsidR="409C99E1">
        <w:rPr>
          <w:i w:val="1"/>
          <w:iCs w:val="1"/>
          <w:sz w:val="28"/>
          <w:szCs w:val="28"/>
        </w:rPr>
        <w:t xml:space="preserve"> </w:t>
      </w:r>
    </w:p>
    <w:p w:rsidR="409C99E1" w:rsidP="4C8D4EE2" w:rsidRDefault="409C99E1" w14:paraId="71C47768" w14:textId="79CFC277">
      <w:pPr>
        <w:pStyle w:val="Normal"/>
        <w:rPr>
          <w:i w:val="1"/>
          <w:iCs w:val="1"/>
          <w:sz w:val="28"/>
          <w:szCs w:val="28"/>
          <w:u w:val="single"/>
        </w:rPr>
      </w:pPr>
      <w:r w:rsidRPr="4C8D4EE2" w:rsidR="409C99E1">
        <w:rPr>
          <w:i w:val="1"/>
          <w:iCs w:val="1"/>
          <w:sz w:val="28"/>
          <w:szCs w:val="28"/>
          <w:u w:val="single"/>
        </w:rPr>
        <w:t>Module Code: BMLW4005</w:t>
      </w:r>
      <w:r w:rsidRPr="4C8D4EE2" w:rsidR="409C99E1">
        <w:rPr>
          <w:i w:val="1"/>
          <w:iCs w:val="1"/>
          <w:sz w:val="28"/>
          <w:szCs w:val="28"/>
        </w:rPr>
        <w:t xml:space="preserve"> </w:t>
      </w:r>
    </w:p>
    <w:p w:rsidR="409C99E1" w:rsidP="4C8D4EE2" w:rsidRDefault="409C99E1" w14:paraId="2A8BE455" w14:textId="2EA63CFC">
      <w:pPr>
        <w:pStyle w:val="Normal"/>
        <w:rPr>
          <w:i w:val="1"/>
          <w:iCs w:val="1"/>
          <w:sz w:val="28"/>
          <w:szCs w:val="28"/>
          <w:u w:val="single"/>
        </w:rPr>
      </w:pPr>
      <w:r w:rsidRPr="4C8D4EE2" w:rsidR="409C99E1">
        <w:rPr>
          <w:i w:val="1"/>
          <w:iCs w:val="1"/>
          <w:sz w:val="28"/>
          <w:szCs w:val="28"/>
          <w:u w:val="single"/>
        </w:rPr>
        <w:t>Student Number: 2219978</w:t>
      </w:r>
      <w:r w:rsidRPr="4C8D4EE2" w:rsidR="2BB2C596">
        <w:rPr>
          <w:i w:val="1"/>
          <w:iCs w:val="1"/>
          <w:sz w:val="28"/>
          <w:szCs w:val="28"/>
          <w:u w:val="single"/>
        </w:rPr>
        <w:t xml:space="preserve"> Bradley Jones</w:t>
      </w:r>
    </w:p>
    <w:p w:rsidR="4C8D4EE2" w:rsidP="4C8D4EE2" w:rsidRDefault="4C8D4EE2" w14:paraId="3D75F741" w14:textId="53A60173">
      <w:pPr>
        <w:pStyle w:val="Normal"/>
        <w:rPr>
          <w:i w:val="1"/>
          <w:iCs w:val="1"/>
          <w:sz w:val="24"/>
          <w:szCs w:val="24"/>
          <w:u w:val="single"/>
        </w:rPr>
      </w:pPr>
    </w:p>
    <w:p w:rsidR="31182814" w:rsidP="4C8D4EE2" w:rsidRDefault="31182814" w14:paraId="217986F2" w14:textId="13868A49">
      <w:pPr>
        <w:pStyle w:val="Normal"/>
        <w:rPr>
          <w:i w:val="0"/>
          <w:iCs w:val="0"/>
          <w:sz w:val="24"/>
          <w:szCs w:val="24"/>
          <w:u w:val="none"/>
        </w:rPr>
      </w:pPr>
      <w:r w:rsidRPr="4C8D4EE2" w:rsidR="31182814">
        <w:rPr>
          <w:i w:val="0"/>
          <w:iCs w:val="0"/>
          <w:sz w:val="24"/>
          <w:szCs w:val="24"/>
          <w:u w:val="none"/>
        </w:rPr>
        <w:t>This essay is based on the Coroners and Justice Act (2009)</w:t>
      </w:r>
      <w:r w:rsidRPr="4C8D4EE2" w:rsidR="613ADEC6">
        <w:rPr>
          <w:i w:val="0"/>
          <w:iCs w:val="0"/>
          <w:sz w:val="24"/>
          <w:szCs w:val="24"/>
          <w:u w:val="none"/>
        </w:rPr>
        <w:t xml:space="preserve"> and what changes they made to the defence of </w:t>
      </w:r>
      <w:r w:rsidRPr="4C8D4EE2" w:rsidR="61BF10E8">
        <w:rPr>
          <w:i w:val="0"/>
          <w:iCs w:val="0"/>
          <w:sz w:val="24"/>
          <w:szCs w:val="24"/>
          <w:u w:val="none"/>
        </w:rPr>
        <w:t>diminished responsibility.</w:t>
      </w:r>
      <w:r w:rsidRPr="4C8D4EE2" w:rsidR="61BF10E8">
        <w:rPr>
          <w:i w:val="0"/>
          <w:iCs w:val="0"/>
          <w:sz w:val="24"/>
          <w:szCs w:val="24"/>
          <w:u w:val="none"/>
        </w:rPr>
        <w:t xml:space="preserve"> Throughout this essay there will be various pieces of evidence included that</w:t>
      </w:r>
      <w:r w:rsidRPr="4C8D4EE2" w:rsidR="40EE9A45">
        <w:rPr>
          <w:i w:val="0"/>
          <w:iCs w:val="0"/>
          <w:sz w:val="24"/>
          <w:szCs w:val="24"/>
          <w:u w:val="none"/>
        </w:rPr>
        <w:t xml:space="preserve"> can give perspective from both sides of the argument</w:t>
      </w:r>
      <w:r w:rsidRPr="4C8D4EE2" w:rsidR="2A0175CF">
        <w:rPr>
          <w:i w:val="0"/>
          <w:iCs w:val="0"/>
          <w:sz w:val="24"/>
          <w:szCs w:val="24"/>
          <w:u w:val="none"/>
        </w:rPr>
        <w:t xml:space="preserve"> as to whether these amendments changed this section of the law and if t</w:t>
      </w:r>
      <w:r w:rsidRPr="4C8D4EE2" w:rsidR="0953E868">
        <w:rPr>
          <w:i w:val="0"/>
          <w:iCs w:val="0"/>
          <w:sz w:val="24"/>
          <w:szCs w:val="24"/>
          <w:u w:val="none"/>
        </w:rPr>
        <w:t xml:space="preserve">hey did change this section of the law, then was it a positive or negative change </w:t>
      </w:r>
      <w:r w:rsidRPr="4C8D4EE2" w:rsidR="20E4A9CE">
        <w:rPr>
          <w:i w:val="0"/>
          <w:iCs w:val="0"/>
          <w:sz w:val="24"/>
          <w:szCs w:val="24"/>
          <w:u w:val="none"/>
        </w:rPr>
        <w:t xml:space="preserve">to this area. </w:t>
      </w:r>
    </w:p>
    <w:p w:rsidR="720FBFC5" w:rsidP="0F4A45D0" w:rsidRDefault="720FBFC5" w14:paraId="341E07DA" w14:textId="78167962">
      <w:pPr>
        <w:pStyle w:val="Normal"/>
        <w:rPr>
          <w:i w:val="0"/>
          <w:iCs w:val="0"/>
          <w:sz w:val="24"/>
          <w:szCs w:val="24"/>
          <w:u w:val="none"/>
        </w:rPr>
      </w:pPr>
      <w:r w:rsidRPr="0F4A45D0" w:rsidR="720FBFC5">
        <w:rPr>
          <w:i w:val="0"/>
          <w:iCs w:val="0"/>
          <w:sz w:val="24"/>
          <w:szCs w:val="24"/>
          <w:u w:val="none"/>
        </w:rPr>
        <w:t>The Coroners and Justice Act 2009</w:t>
      </w:r>
      <w:r w:rsidRPr="0F4A45D0" w:rsidR="705167FB">
        <w:rPr>
          <w:i w:val="0"/>
          <w:iCs w:val="0"/>
          <w:sz w:val="24"/>
          <w:szCs w:val="24"/>
          <w:u w:val="none"/>
        </w:rPr>
        <w:t xml:space="preserve"> </w:t>
      </w:r>
      <w:r w:rsidRPr="0F4A45D0" w:rsidR="4A20A57F">
        <w:rPr>
          <w:i w:val="0"/>
          <w:iCs w:val="0"/>
          <w:sz w:val="24"/>
          <w:szCs w:val="24"/>
          <w:u w:val="none"/>
        </w:rPr>
        <w:t xml:space="preserve">changed the law on an individual provoking another individual in England and Wales </w:t>
      </w:r>
      <w:r w:rsidRPr="0F4A45D0" w:rsidR="1DCF2328">
        <w:rPr>
          <w:i w:val="0"/>
          <w:iCs w:val="0"/>
          <w:sz w:val="24"/>
          <w:szCs w:val="24"/>
          <w:u w:val="none"/>
        </w:rPr>
        <w:t xml:space="preserve">where it </w:t>
      </w:r>
      <w:r w:rsidRPr="0F4A45D0" w:rsidR="1DCF2328">
        <w:rPr>
          <w:i w:val="0"/>
          <w:iCs w:val="0"/>
          <w:sz w:val="24"/>
          <w:szCs w:val="24"/>
          <w:u w:val="none"/>
        </w:rPr>
        <w:t>states</w:t>
      </w:r>
      <w:r w:rsidRPr="0F4A45D0" w:rsidR="1DCF2328">
        <w:rPr>
          <w:i w:val="0"/>
          <w:iCs w:val="0"/>
          <w:sz w:val="24"/>
          <w:szCs w:val="24"/>
          <w:u w:val="none"/>
        </w:rPr>
        <w:t xml:space="preserve"> that </w:t>
      </w:r>
      <w:r w:rsidRPr="0F4A45D0" w:rsidR="457C1F84">
        <w:rPr>
          <w:i w:val="0"/>
          <w:iCs w:val="0"/>
          <w:sz w:val="24"/>
          <w:szCs w:val="24"/>
          <w:u w:val="none"/>
        </w:rPr>
        <w:t>individuals that committed ‘Honour killings</w:t>
      </w:r>
      <w:r w:rsidRPr="0F4A45D0" w:rsidR="3C5369C0">
        <w:rPr>
          <w:i w:val="0"/>
          <w:iCs w:val="0"/>
          <w:sz w:val="24"/>
          <w:szCs w:val="24"/>
          <w:u w:val="none"/>
        </w:rPr>
        <w:t>’</w:t>
      </w:r>
      <w:r w:rsidRPr="0F4A45D0" w:rsidR="16F195AE">
        <w:rPr>
          <w:i w:val="0"/>
          <w:iCs w:val="0"/>
          <w:sz w:val="24"/>
          <w:szCs w:val="24"/>
          <w:u w:val="none"/>
        </w:rPr>
        <w:t xml:space="preserve"> </w:t>
      </w:r>
      <w:r w:rsidRPr="0F4A45D0" w:rsidR="6FE4CC42">
        <w:rPr>
          <w:i w:val="0"/>
          <w:iCs w:val="0"/>
          <w:sz w:val="24"/>
          <w:szCs w:val="24"/>
          <w:u w:val="none"/>
        </w:rPr>
        <w:t>were ruled out of the possibility of being named a murder from being provoked and was not</w:t>
      </w:r>
      <w:r w:rsidRPr="0F4A45D0" w:rsidR="452F1A4C">
        <w:rPr>
          <w:i w:val="0"/>
          <w:iCs w:val="0"/>
          <w:sz w:val="24"/>
          <w:szCs w:val="24"/>
          <w:u w:val="none"/>
        </w:rPr>
        <w:t xml:space="preserve"> </w:t>
      </w:r>
      <w:r w:rsidRPr="0F4A45D0" w:rsidR="12796B25">
        <w:rPr>
          <w:i w:val="0"/>
          <w:iCs w:val="0"/>
          <w:sz w:val="24"/>
          <w:szCs w:val="24"/>
          <w:u w:val="none"/>
        </w:rPr>
        <w:t xml:space="preserve">within the circumstances of being named a loss of control. </w:t>
      </w:r>
      <w:r w:rsidRPr="0F4A45D0" w:rsidR="674D6407">
        <w:rPr>
          <w:i w:val="0"/>
          <w:iCs w:val="0"/>
          <w:sz w:val="24"/>
          <w:szCs w:val="24"/>
          <w:u w:val="none"/>
        </w:rPr>
        <w:t xml:space="preserve">The Coroners and Justice Act 2009 was implemented with the phrasing that there is two </w:t>
      </w:r>
      <w:r w:rsidRPr="0F4A45D0" w:rsidR="674D6407">
        <w:rPr>
          <w:i w:val="0"/>
          <w:iCs w:val="0"/>
          <w:sz w:val="24"/>
          <w:szCs w:val="24"/>
          <w:u w:val="none"/>
        </w:rPr>
        <w:t>different ways</w:t>
      </w:r>
      <w:r w:rsidRPr="0F4A45D0" w:rsidR="674D6407">
        <w:rPr>
          <w:i w:val="0"/>
          <w:iCs w:val="0"/>
          <w:sz w:val="24"/>
          <w:szCs w:val="24"/>
          <w:u w:val="none"/>
        </w:rPr>
        <w:t xml:space="preserve"> that </w:t>
      </w:r>
      <w:r w:rsidRPr="0F4A45D0" w:rsidR="4FED6423">
        <w:rPr>
          <w:i w:val="0"/>
          <w:iCs w:val="0"/>
          <w:sz w:val="24"/>
          <w:szCs w:val="24"/>
          <w:u w:val="none"/>
        </w:rPr>
        <w:t xml:space="preserve">an individual can now claim a defence in a circumstance for a murder. </w:t>
      </w:r>
      <w:r w:rsidRPr="0F4A45D0" w:rsidR="565CA5A7">
        <w:rPr>
          <w:i w:val="0"/>
          <w:iCs w:val="0"/>
          <w:sz w:val="24"/>
          <w:szCs w:val="24"/>
          <w:u w:val="none"/>
        </w:rPr>
        <w:t>Both ways have the title of ‘Loss of control’ but vary in the ways the individual in question has lost control. The first being due the defendant feel</w:t>
      </w:r>
      <w:r w:rsidRPr="0F4A45D0" w:rsidR="05E5C8C1">
        <w:rPr>
          <w:i w:val="0"/>
          <w:iCs w:val="0"/>
          <w:sz w:val="24"/>
          <w:szCs w:val="24"/>
          <w:u w:val="none"/>
        </w:rPr>
        <w:t xml:space="preserve">ing fear of harm or serious violence from the victim resulting in the defendant to </w:t>
      </w:r>
      <w:r w:rsidRPr="0F4A45D0" w:rsidR="7A6804EE">
        <w:rPr>
          <w:i w:val="0"/>
          <w:iCs w:val="0"/>
          <w:sz w:val="24"/>
          <w:szCs w:val="24"/>
          <w:u w:val="none"/>
        </w:rPr>
        <w:t xml:space="preserve">presuming an act of violence is coming and resulting in them attacking the victim first, resulting in serious harm </w:t>
      </w:r>
      <w:r w:rsidRPr="0F4A45D0" w:rsidR="14FFA595">
        <w:rPr>
          <w:i w:val="0"/>
          <w:iCs w:val="0"/>
          <w:sz w:val="24"/>
          <w:szCs w:val="24"/>
          <w:u w:val="none"/>
        </w:rPr>
        <w:t xml:space="preserve">or even death. The second way of the defendant claiming ‘Loss of control’ is </w:t>
      </w:r>
      <w:r w:rsidRPr="0F4A45D0" w:rsidR="0A01C91A">
        <w:rPr>
          <w:i w:val="0"/>
          <w:iCs w:val="0"/>
          <w:sz w:val="24"/>
          <w:szCs w:val="24"/>
          <w:u w:val="none"/>
        </w:rPr>
        <w:t xml:space="preserve">much less likely to be used as a defence in court </w:t>
      </w:r>
      <w:r w:rsidRPr="0F4A45D0" w:rsidR="3797AF89">
        <w:rPr>
          <w:i w:val="0"/>
          <w:iCs w:val="0"/>
          <w:sz w:val="24"/>
          <w:szCs w:val="24"/>
          <w:u w:val="none"/>
        </w:rPr>
        <w:t xml:space="preserve">as </w:t>
      </w:r>
      <w:r w:rsidRPr="0F4A45D0" w:rsidR="08E69DA4">
        <w:rPr>
          <w:i w:val="0"/>
          <w:iCs w:val="0"/>
          <w:sz w:val="24"/>
          <w:szCs w:val="24"/>
          <w:u w:val="none"/>
        </w:rPr>
        <w:t xml:space="preserve">it can only be used in ‘Exceptional circumstances’ which </w:t>
      </w:r>
      <w:r w:rsidRPr="0F4A45D0" w:rsidR="0A826E05">
        <w:rPr>
          <w:i w:val="0"/>
          <w:iCs w:val="0"/>
          <w:sz w:val="24"/>
          <w:szCs w:val="24"/>
          <w:u w:val="none"/>
        </w:rPr>
        <w:t xml:space="preserve">implies that the average individual with the average </w:t>
      </w:r>
      <w:r w:rsidRPr="0F4A45D0" w:rsidR="44BC368B">
        <w:rPr>
          <w:i w:val="0"/>
          <w:iCs w:val="0"/>
          <w:sz w:val="24"/>
          <w:szCs w:val="24"/>
          <w:u w:val="none"/>
        </w:rPr>
        <w:t>tolerance and capability to restrain themselves from committing violence is</w:t>
      </w:r>
      <w:r w:rsidRPr="0F4A45D0" w:rsidR="44BC368B">
        <w:rPr>
          <w:i w:val="0"/>
          <w:iCs w:val="0"/>
          <w:sz w:val="24"/>
          <w:szCs w:val="24"/>
          <w:u w:val="none"/>
        </w:rPr>
        <w:t xml:space="preserve"> compared to the defendant who has witnessed these circumstances and see whether </w:t>
      </w:r>
      <w:r w:rsidRPr="0F4A45D0" w:rsidR="465806EC">
        <w:rPr>
          <w:i w:val="0"/>
          <w:iCs w:val="0"/>
          <w:sz w:val="24"/>
          <w:szCs w:val="24"/>
          <w:u w:val="none"/>
        </w:rPr>
        <w:t>their</w:t>
      </w:r>
      <w:r w:rsidRPr="0F4A45D0" w:rsidR="44BC368B">
        <w:rPr>
          <w:i w:val="0"/>
          <w:iCs w:val="0"/>
          <w:sz w:val="24"/>
          <w:szCs w:val="24"/>
          <w:u w:val="none"/>
        </w:rPr>
        <w:t xml:space="preserve"> re</w:t>
      </w:r>
      <w:r w:rsidRPr="0F4A45D0" w:rsidR="23A72DA6">
        <w:rPr>
          <w:i w:val="0"/>
          <w:iCs w:val="0"/>
          <w:sz w:val="24"/>
          <w:szCs w:val="24"/>
          <w:u w:val="none"/>
        </w:rPr>
        <w:t>sponse is</w:t>
      </w:r>
      <w:r w:rsidRPr="0F4A45D0" w:rsidR="7E31C82F">
        <w:rPr>
          <w:i w:val="0"/>
          <w:iCs w:val="0"/>
          <w:sz w:val="24"/>
          <w:szCs w:val="24"/>
          <w:u w:val="none"/>
        </w:rPr>
        <w:t xml:space="preserve"> valid of being </w:t>
      </w:r>
      <w:r w:rsidRPr="0F4A45D0" w:rsidR="54473D87">
        <w:rPr>
          <w:i w:val="0"/>
          <w:iCs w:val="0"/>
          <w:sz w:val="24"/>
          <w:szCs w:val="24"/>
          <w:u w:val="none"/>
        </w:rPr>
        <w:t>what the average person would withstand before possibly resorting to violence themselves (Dogan, 2013).</w:t>
      </w:r>
    </w:p>
    <w:p w:rsidR="4C8D4EE2" w:rsidP="0F4A45D0" w:rsidRDefault="4C8D4EE2" w14:paraId="02FC5560" w14:textId="68D11B02">
      <w:pPr>
        <w:pStyle w:val="Normal"/>
        <w:rPr>
          <w:i w:val="0"/>
          <w:iCs w:val="0"/>
          <w:sz w:val="24"/>
          <w:szCs w:val="24"/>
          <w:u w:val="none"/>
        </w:rPr>
      </w:pPr>
      <w:r w:rsidRPr="0F4A45D0" w:rsidR="6614CFC0">
        <w:rPr>
          <w:i w:val="0"/>
          <w:iCs w:val="0"/>
          <w:sz w:val="24"/>
          <w:szCs w:val="24"/>
          <w:u w:val="none"/>
        </w:rPr>
        <w:t xml:space="preserve">The reason for the Coroners and Justice Act 2009 was due to the </w:t>
      </w:r>
      <w:r w:rsidRPr="0F4A45D0" w:rsidR="35BF137B">
        <w:rPr>
          <w:i w:val="0"/>
          <w:iCs w:val="0"/>
          <w:sz w:val="24"/>
          <w:szCs w:val="24"/>
          <w:u w:val="none"/>
        </w:rPr>
        <w:t xml:space="preserve">Section two of the </w:t>
      </w:r>
      <w:r w:rsidRPr="0F4A45D0" w:rsidR="6614CFC0">
        <w:rPr>
          <w:i w:val="0"/>
          <w:iCs w:val="0"/>
          <w:sz w:val="24"/>
          <w:szCs w:val="24"/>
          <w:u w:val="none"/>
        </w:rPr>
        <w:t xml:space="preserve">Homicide Act 1957 which </w:t>
      </w:r>
      <w:r w:rsidRPr="0F4A45D0" w:rsidR="771A2E49">
        <w:rPr>
          <w:i w:val="0"/>
          <w:iCs w:val="0"/>
          <w:sz w:val="24"/>
          <w:szCs w:val="24"/>
          <w:u w:val="none"/>
        </w:rPr>
        <w:t xml:space="preserve">states that if an individual commits a </w:t>
      </w:r>
      <w:r w:rsidRPr="0F4A45D0" w:rsidR="54336D09">
        <w:rPr>
          <w:i w:val="0"/>
          <w:iCs w:val="0"/>
          <w:sz w:val="24"/>
          <w:szCs w:val="24"/>
          <w:u w:val="none"/>
        </w:rPr>
        <w:t xml:space="preserve">murder but is suffering from either a physical or mental impairment </w:t>
      </w:r>
      <w:r w:rsidRPr="0F4A45D0" w:rsidR="215A80BA">
        <w:rPr>
          <w:i w:val="0"/>
          <w:iCs w:val="0"/>
          <w:sz w:val="24"/>
          <w:szCs w:val="24"/>
          <w:u w:val="none"/>
        </w:rPr>
        <w:t>then the charges of the crime can be dropped to Manslaughter which could be argued that the change in the legislation was necessary as before the Coroners and Justice Act 2009</w:t>
      </w:r>
      <w:r w:rsidRPr="0F4A45D0" w:rsidR="00ACF353">
        <w:rPr>
          <w:i w:val="0"/>
          <w:iCs w:val="0"/>
          <w:sz w:val="24"/>
          <w:szCs w:val="24"/>
          <w:u w:val="none"/>
        </w:rPr>
        <w:t xml:space="preserve">, it was only considered anything else but </w:t>
      </w:r>
      <w:r w:rsidRPr="0F4A45D0" w:rsidR="5BBE62AB">
        <w:rPr>
          <w:i w:val="0"/>
          <w:iCs w:val="0"/>
          <w:sz w:val="24"/>
          <w:szCs w:val="24"/>
          <w:u w:val="none"/>
        </w:rPr>
        <w:t>murder if the individual themselves suffered with an impairment rather than considering the circumstances that have built towards the end result</w:t>
      </w:r>
      <w:r w:rsidRPr="0F4A45D0" w:rsidR="5C4294CD">
        <w:rPr>
          <w:i w:val="0"/>
          <w:iCs w:val="0"/>
          <w:sz w:val="24"/>
          <w:szCs w:val="24"/>
          <w:u w:val="none"/>
        </w:rPr>
        <w:t xml:space="preserve"> (Legislation.gov, 2023).</w:t>
      </w:r>
    </w:p>
    <w:p w:rsidR="4C8D4EE2" w:rsidP="0F4A45D0" w:rsidRDefault="4C8D4EE2" w14:paraId="3B2330FC" w14:textId="3C66A6DF">
      <w:pPr>
        <w:pStyle w:val="Normal"/>
        <w:rPr>
          <w:i w:val="0"/>
          <w:iCs w:val="0"/>
          <w:sz w:val="24"/>
          <w:szCs w:val="24"/>
          <w:u w:val="none"/>
        </w:rPr>
      </w:pPr>
      <w:r w:rsidRPr="0F4A45D0" w:rsidR="0D5DADE7">
        <w:rPr>
          <w:i w:val="0"/>
          <w:iCs w:val="0"/>
          <w:sz w:val="24"/>
          <w:szCs w:val="24"/>
          <w:u w:val="none"/>
        </w:rPr>
        <w:t xml:space="preserve">It could be agreed that the change of this legislation was positive as it gives defendants the </w:t>
      </w:r>
      <w:r w:rsidRPr="0F4A45D0" w:rsidR="78F91B25">
        <w:rPr>
          <w:i w:val="0"/>
          <w:iCs w:val="0"/>
          <w:sz w:val="24"/>
          <w:szCs w:val="24"/>
          <w:u w:val="none"/>
        </w:rPr>
        <w:t>opportunity to give their side of the story in more depth so that the decision on their sentencing can be consid</w:t>
      </w:r>
      <w:r w:rsidRPr="0F4A45D0" w:rsidR="5EB22422">
        <w:rPr>
          <w:i w:val="0"/>
          <w:iCs w:val="0"/>
          <w:sz w:val="24"/>
          <w:szCs w:val="24"/>
          <w:u w:val="none"/>
        </w:rPr>
        <w:t xml:space="preserve">ered more accurately </w:t>
      </w:r>
      <w:r w:rsidRPr="0F4A45D0" w:rsidR="25F374E0">
        <w:rPr>
          <w:i w:val="0"/>
          <w:iCs w:val="0"/>
          <w:sz w:val="24"/>
          <w:szCs w:val="24"/>
          <w:u w:val="none"/>
        </w:rPr>
        <w:t xml:space="preserve">as it could be argued that an individual suffering from years of abuse off a partner and eventually retaliating isn’t the same as an average murder case </w:t>
      </w:r>
      <w:r w:rsidRPr="0F4A45D0" w:rsidR="400ABC39">
        <w:rPr>
          <w:i w:val="0"/>
          <w:iCs w:val="0"/>
          <w:sz w:val="24"/>
          <w:szCs w:val="24"/>
          <w:u w:val="none"/>
        </w:rPr>
        <w:t>so it shouldn’t be treated as one</w:t>
      </w:r>
      <w:r w:rsidRPr="0F4A45D0" w:rsidR="6B40FC1F">
        <w:rPr>
          <w:i w:val="0"/>
          <w:iCs w:val="0"/>
          <w:sz w:val="24"/>
          <w:szCs w:val="24"/>
          <w:u w:val="none"/>
        </w:rPr>
        <w:t xml:space="preserve">. </w:t>
      </w:r>
      <w:r w:rsidRPr="0F4A45D0" w:rsidR="7A32AC9E">
        <w:rPr>
          <w:i w:val="0"/>
          <w:iCs w:val="0"/>
          <w:sz w:val="24"/>
          <w:szCs w:val="24"/>
          <w:u w:val="none"/>
        </w:rPr>
        <w:t xml:space="preserve">Another consideration into </w:t>
      </w:r>
      <w:r w:rsidRPr="0F4A45D0" w:rsidR="10C000CB">
        <w:rPr>
          <w:i w:val="0"/>
          <w:iCs w:val="0"/>
          <w:sz w:val="24"/>
          <w:szCs w:val="24"/>
          <w:u w:val="none"/>
        </w:rPr>
        <w:t xml:space="preserve">a ‘Loss of control’ case is the </w:t>
      </w:r>
      <w:r w:rsidRPr="0F4A45D0" w:rsidR="33556707">
        <w:rPr>
          <w:i w:val="0"/>
          <w:iCs w:val="0"/>
          <w:sz w:val="24"/>
          <w:szCs w:val="24"/>
          <w:u w:val="none"/>
        </w:rPr>
        <w:t>A</w:t>
      </w:r>
      <w:r w:rsidRPr="0F4A45D0" w:rsidR="10C000CB">
        <w:rPr>
          <w:i w:val="0"/>
          <w:iCs w:val="0"/>
          <w:sz w:val="24"/>
          <w:szCs w:val="24"/>
          <w:u w:val="none"/>
        </w:rPr>
        <w:t xml:space="preserve">ctus </w:t>
      </w:r>
      <w:r w:rsidRPr="0F4A45D0" w:rsidR="0B58B46D">
        <w:rPr>
          <w:i w:val="0"/>
          <w:iCs w:val="0"/>
          <w:sz w:val="24"/>
          <w:szCs w:val="24"/>
          <w:u w:val="none"/>
        </w:rPr>
        <w:t>R</w:t>
      </w:r>
      <w:r w:rsidRPr="0F4A45D0" w:rsidR="10C000CB">
        <w:rPr>
          <w:i w:val="0"/>
          <w:iCs w:val="0"/>
          <w:sz w:val="24"/>
          <w:szCs w:val="24"/>
          <w:u w:val="none"/>
        </w:rPr>
        <w:t xml:space="preserve">eus as well as the </w:t>
      </w:r>
      <w:r w:rsidRPr="0F4A45D0" w:rsidR="12B19836">
        <w:rPr>
          <w:i w:val="0"/>
          <w:iCs w:val="0"/>
          <w:sz w:val="24"/>
          <w:szCs w:val="24"/>
          <w:u w:val="none"/>
        </w:rPr>
        <w:t>M</w:t>
      </w:r>
      <w:r w:rsidRPr="0F4A45D0" w:rsidR="10C000CB">
        <w:rPr>
          <w:i w:val="0"/>
          <w:iCs w:val="0"/>
          <w:sz w:val="24"/>
          <w:szCs w:val="24"/>
          <w:u w:val="none"/>
        </w:rPr>
        <w:t>ens</w:t>
      </w:r>
      <w:r w:rsidRPr="0F4A45D0" w:rsidR="10C000CB">
        <w:rPr>
          <w:i w:val="0"/>
          <w:iCs w:val="0"/>
          <w:sz w:val="24"/>
          <w:szCs w:val="24"/>
          <w:u w:val="none"/>
        </w:rPr>
        <w:t xml:space="preserve"> </w:t>
      </w:r>
      <w:r w:rsidRPr="0F4A45D0" w:rsidR="029AA97E">
        <w:rPr>
          <w:i w:val="0"/>
          <w:iCs w:val="0"/>
          <w:sz w:val="24"/>
          <w:szCs w:val="24"/>
          <w:u w:val="none"/>
        </w:rPr>
        <w:t>R</w:t>
      </w:r>
      <w:r w:rsidRPr="0F4A45D0" w:rsidR="10C000CB">
        <w:rPr>
          <w:i w:val="0"/>
          <w:iCs w:val="0"/>
          <w:sz w:val="24"/>
          <w:szCs w:val="24"/>
          <w:u w:val="none"/>
        </w:rPr>
        <w:t>ea</w:t>
      </w:r>
      <w:r w:rsidRPr="0F4A45D0" w:rsidR="63C978BD">
        <w:rPr>
          <w:i w:val="0"/>
          <w:iCs w:val="0"/>
          <w:sz w:val="24"/>
          <w:szCs w:val="24"/>
          <w:u w:val="none"/>
        </w:rPr>
        <w:t xml:space="preserve"> of the defendant. Actus Reus is a </w:t>
      </w:r>
      <w:r w:rsidRPr="0F4A45D0" w:rsidR="3D398714">
        <w:rPr>
          <w:i w:val="0"/>
          <w:iCs w:val="0"/>
          <w:sz w:val="24"/>
          <w:szCs w:val="24"/>
          <w:u w:val="none"/>
        </w:rPr>
        <w:t xml:space="preserve">Latin word which means </w:t>
      </w:r>
      <w:r w:rsidRPr="0F4A45D0" w:rsidR="2DB624AF">
        <w:rPr>
          <w:i w:val="0"/>
          <w:iCs w:val="0"/>
          <w:sz w:val="24"/>
          <w:szCs w:val="24"/>
          <w:u w:val="none"/>
        </w:rPr>
        <w:t>an individual commits an illegal ac</w:t>
      </w:r>
      <w:r w:rsidRPr="0F4A45D0" w:rsidR="1BC4A5A1">
        <w:rPr>
          <w:i w:val="0"/>
          <w:iCs w:val="0"/>
          <w:sz w:val="24"/>
          <w:szCs w:val="24"/>
          <w:u w:val="none"/>
        </w:rPr>
        <w:t xml:space="preserve">t and is normally </w:t>
      </w:r>
      <w:r w:rsidRPr="0F4A45D0" w:rsidR="5402F46E">
        <w:rPr>
          <w:i w:val="0"/>
          <w:iCs w:val="0"/>
          <w:sz w:val="24"/>
          <w:szCs w:val="24"/>
          <w:u w:val="none"/>
        </w:rPr>
        <w:t xml:space="preserve">connected with the Latin phrase </w:t>
      </w:r>
      <w:r w:rsidRPr="0F4A45D0" w:rsidR="5402F46E">
        <w:rPr>
          <w:i w:val="0"/>
          <w:iCs w:val="0"/>
          <w:sz w:val="24"/>
          <w:szCs w:val="24"/>
          <w:u w:val="none"/>
        </w:rPr>
        <w:t>Mens</w:t>
      </w:r>
      <w:r w:rsidRPr="0F4A45D0" w:rsidR="5402F46E">
        <w:rPr>
          <w:i w:val="0"/>
          <w:iCs w:val="0"/>
          <w:sz w:val="24"/>
          <w:szCs w:val="24"/>
          <w:u w:val="none"/>
        </w:rPr>
        <w:t xml:space="preserve"> </w:t>
      </w:r>
      <w:r w:rsidRPr="0F4A45D0" w:rsidR="7DC258A2">
        <w:rPr>
          <w:i w:val="0"/>
          <w:iCs w:val="0"/>
          <w:sz w:val="24"/>
          <w:szCs w:val="24"/>
          <w:u w:val="none"/>
        </w:rPr>
        <w:t>R</w:t>
      </w:r>
      <w:r w:rsidRPr="0F4A45D0" w:rsidR="5402F46E">
        <w:rPr>
          <w:i w:val="0"/>
          <w:iCs w:val="0"/>
          <w:sz w:val="24"/>
          <w:szCs w:val="24"/>
          <w:u w:val="none"/>
        </w:rPr>
        <w:t xml:space="preserve">ea </w:t>
      </w:r>
      <w:r w:rsidRPr="0F4A45D0" w:rsidR="597096B7">
        <w:rPr>
          <w:i w:val="0"/>
          <w:iCs w:val="0"/>
          <w:sz w:val="24"/>
          <w:szCs w:val="24"/>
          <w:u w:val="none"/>
        </w:rPr>
        <w:t xml:space="preserve">which </w:t>
      </w:r>
      <w:r w:rsidRPr="0F4A45D0" w:rsidR="36B90095">
        <w:rPr>
          <w:i w:val="0"/>
          <w:iCs w:val="0"/>
          <w:sz w:val="24"/>
          <w:szCs w:val="24"/>
          <w:u w:val="none"/>
        </w:rPr>
        <w:t>is the mental intent to commit the crime</w:t>
      </w:r>
      <w:r w:rsidRPr="0F4A45D0" w:rsidR="6C4119C5">
        <w:rPr>
          <w:i w:val="0"/>
          <w:iCs w:val="0"/>
          <w:sz w:val="24"/>
          <w:szCs w:val="24"/>
          <w:u w:val="none"/>
        </w:rPr>
        <w:t xml:space="preserve"> (Legal Dictionary, 2015)</w:t>
      </w:r>
      <w:r w:rsidRPr="0F4A45D0" w:rsidR="36B90095">
        <w:rPr>
          <w:i w:val="0"/>
          <w:iCs w:val="0"/>
          <w:sz w:val="24"/>
          <w:szCs w:val="24"/>
          <w:u w:val="none"/>
        </w:rPr>
        <w:t xml:space="preserve">. In cases that fall under the ‘Loss of control’ defence will normally </w:t>
      </w:r>
      <w:r w:rsidRPr="0F4A45D0" w:rsidR="62AE54BC">
        <w:rPr>
          <w:i w:val="0"/>
          <w:iCs w:val="0"/>
          <w:sz w:val="24"/>
          <w:szCs w:val="24"/>
          <w:u w:val="none"/>
        </w:rPr>
        <w:t xml:space="preserve">argue that although the Actus Reus was in effect as the crime had been committed, the </w:t>
      </w:r>
      <w:r w:rsidRPr="0F4A45D0" w:rsidR="62AE54BC">
        <w:rPr>
          <w:i w:val="0"/>
          <w:iCs w:val="0"/>
          <w:sz w:val="24"/>
          <w:szCs w:val="24"/>
          <w:u w:val="none"/>
        </w:rPr>
        <w:t>Mens</w:t>
      </w:r>
      <w:r w:rsidRPr="0F4A45D0" w:rsidR="62AE54BC">
        <w:rPr>
          <w:i w:val="0"/>
          <w:iCs w:val="0"/>
          <w:sz w:val="24"/>
          <w:szCs w:val="24"/>
          <w:u w:val="none"/>
        </w:rPr>
        <w:t xml:space="preserve"> Rea was not in effect hence the ‘Lack of control</w:t>
      </w:r>
      <w:r w:rsidRPr="0F4A45D0" w:rsidR="62AE54BC">
        <w:rPr>
          <w:i w:val="0"/>
          <w:iCs w:val="0"/>
          <w:sz w:val="24"/>
          <w:szCs w:val="24"/>
          <w:u w:val="none"/>
        </w:rPr>
        <w:t>’</w:t>
      </w:r>
      <w:r w:rsidRPr="0F4A45D0" w:rsidR="19DBB68C">
        <w:rPr>
          <w:i w:val="0"/>
          <w:iCs w:val="0"/>
          <w:sz w:val="24"/>
          <w:szCs w:val="24"/>
          <w:u w:val="none"/>
        </w:rPr>
        <w:t>.</w:t>
      </w:r>
      <w:r w:rsidRPr="0F4A45D0" w:rsidR="19DBB68C">
        <w:rPr>
          <w:i w:val="0"/>
          <w:iCs w:val="0"/>
          <w:sz w:val="24"/>
          <w:szCs w:val="24"/>
          <w:u w:val="none"/>
        </w:rPr>
        <w:t xml:space="preserve"> To test whether the defendants </w:t>
      </w:r>
      <w:r w:rsidRPr="0F4A45D0" w:rsidR="19DBB68C">
        <w:rPr>
          <w:i w:val="0"/>
          <w:iCs w:val="0"/>
          <w:sz w:val="24"/>
          <w:szCs w:val="24"/>
          <w:u w:val="none"/>
        </w:rPr>
        <w:t>Mens</w:t>
      </w:r>
      <w:r w:rsidRPr="0F4A45D0" w:rsidR="19DBB68C">
        <w:rPr>
          <w:i w:val="0"/>
          <w:iCs w:val="0"/>
          <w:sz w:val="24"/>
          <w:szCs w:val="24"/>
          <w:u w:val="none"/>
        </w:rPr>
        <w:t xml:space="preserve"> Rea is </w:t>
      </w:r>
      <w:r w:rsidRPr="0F4A45D0" w:rsidR="612CFDF3">
        <w:rPr>
          <w:i w:val="0"/>
          <w:iCs w:val="0"/>
          <w:sz w:val="24"/>
          <w:szCs w:val="24"/>
          <w:u w:val="none"/>
        </w:rPr>
        <w:t>intact during</w:t>
      </w:r>
      <w:r w:rsidRPr="0F4A45D0" w:rsidR="19DBB68C">
        <w:rPr>
          <w:i w:val="0"/>
          <w:iCs w:val="0"/>
          <w:sz w:val="24"/>
          <w:szCs w:val="24"/>
          <w:u w:val="none"/>
        </w:rPr>
        <w:t xml:space="preserve"> the process of then crime committed</w:t>
      </w:r>
      <w:r w:rsidRPr="0F4A45D0" w:rsidR="14F8DE3C">
        <w:rPr>
          <w:i w:val="0"/>
          <w:iCs w:val="0"/>
          <w:sz w:val="24"/>
          <w:szCs w:val="24"/>
          <w:u w:val="none"/>
        </w:rPr>
        <w:t xml:space="preserve">, the defendant must be assessed on whether the crime that was committed was intentional and was the end motive to come out from the scenario that had </w:t>
      </w:r>
      <w:r w:rsidRPr="0F4A45D0" w:rsidR="72121CFB">
        <w:rPr>
          <w:i w:val="0"/>
          <w:iCs w:val="0"/>
          <w:sz w:val="24"/>
          <w:szCs w:val="24"/>
          <w:u w:val="none"/>
        </w:rPr>
        <w:t>taken place</w:t>
      </w:r>
      <w:r w:rsidRPr="0F4A45D0" w:rsidR="4FD80656">
        <w:rPr>
          <w:i w:val="0"/>
          <w:iCs w:val="0"/>
          <w:sz w:val="24"/>
          <w:szCs w:val="24"/>
          <w:u w:val="none"/>
        </w:rPr>
        <w:t xml:space="preserve"> (E-lawresources.co.uk, 2023)</w:t>
      </w:r>
      <w:r w:rsidRPr="0F4A45D0" w:rsidR="72121CFB">
        <w:rPr>
          <w:i w:val="0"/>
          <w:iCs w:val="0"/>
          <w:sz w:val="24"/>
          <w:szCs w:val="24"/>
          <w:u w:val="none"/>
        </w:rPr>
        <w:t xml:space="preserve">. </w:t>
      </w:r>
    </w:p>
    <w:p w:rsidR="4C8D4EE2" w:rsidP="0F4A45D0" w:rsidRDefault="4C8D4EE2" w14:paraId="0EBAECE8" w14:textId="4D11EC1C">
      <w:pPr>
        <w:pStyle w:val="Normal"/>
        <w:rPr>
          <w:i w:val="0"/>
          <w:iCs w:val="0"/>
          <w:sz w:val="24"/>
          <w:szCs w:val="24"/>
          <w:u w:val="none"/>
        </w:rPr>
      </w:pPr>
      <w:r w:rsidRPr="0F4A45D0" w:rsidR="52149018">
        <w:rPr>
          <w:i w:val="0"/>
          <w:iCs w:val="0"/>
          <w:sz w:val="24"/>
          <w:szCs w:val="24"/>
          <w:u w:val="none"/>
        </w:rPr>
        <w:t>A few changes</w:t>
      </w:r>
      <w:r w:rsidRPr="0F4A45D0" w:rsidR="52149018">
        <w:rPr>
          <w:i w:val="0"/>
          <w:iCs w:val="0"/>
          <w:sz w:val="24"/>
          <w:szCs w:val="24"/>
          <w:u w:val="none"/>
        </w:rPr>
        <w:t xml:space="preserve"> </w:t>
      </w:r>
      <w:r w:rsidRPr="0F4A45D0" w:rsidR="52149018">
        <w:rPr>
          <w:i w:val="0"/>
          <w:iCs w:val="0"/>
          <w:sz w:val="24"/>
          <w:szCs w:val="24"/>
          <w:u w:val="none"/>
        </w:rPr>
        <w:t>section 52 of the Coroners and Justice Act 2009 made</w:t>
      </w:r>
      <w:r w:rsidRPr="0F4A45D0" w:rsidR="369BD48D">
        <w:rPr>
          <w:i w:val="0"/>
          <w:iCs w:val="0"/>
          <w:sz w:val="24"/>
          <w:szCs w:val="24"/>
          <w:u w:val="none"/>
        </w:rPr>
        <w:t xml:space="preserve"> to section 2(1) of the Homicide Act 1957 is three new areas of the original act which claim </w:t>
      </w:r>
      <w:r w:rsidRPr="0F4A45D0" w:rsidR="15EE4726">
        <w:rPr>
          <w:i w:val="0"/>
          <w:iCs w:val="0"/>
          <w:sz w:val="24"/>
          <w:szCs w:val="24"/>
          <w:u w:val="none"/>
        </w:rPr>
        <w:t xml:space="preserve">that in the instance of a plea of diminished responsibility </w:t>
      </w:r>
      <w:r w:rsidRPr="0F4A45D0" w:rsidR="4B001137">
        <w:rPr>
          <w:i w:val="0"/>
          <w:iCs w:val="0"/>
          <w:sz w:val="24"/>
          <w:szCs w:val="24"/>
          <w:u w:val="none"/>
        </w:rPr>
        <w:t>being successful,</w:t>
      </w:r>
      <w:r w:rsidRPr="0F4A45D0" w:rsidR="6A68D01A">
        <w:rPr>
          <w:i w:val="0"/>
          <w:iCs w:val="0"/>
          <w:sz w:val="24"/>
          <w:szCs w:val="24"/>
          <w:u w:val="none"/>
        </w:rPr>
        <w:t xml:space="preserve"> will </w:t>
      </w:r>
      <w:r w:rsidRPr="0F4A45D0" w:rsidR="4B001137">
        <w:rPr>
          <w:i w:val="0"/>
          <w:iCs w:val="0"/>
          <w:sz w:val="24"/>
          <w:szCs w:val="24"/>
          <w:u w:val="none"/>
        </w:rPr>
        <w:t xml:space="preserve">still have the same outcome with </w:t>
      </w:r>
      <w:r w:rsidRPr="0F4A45D0" w:rsidR="01052C2C">
        <w:rPr>
          <w:i w:val="0"/>
          <w:iCs w:val="0"/>
          <w:sz w:val="24"/>
          <w:szCs w:val="24"/>
          <w:u w:val="none"/>
        </w:rPr>
        <w:t xml:space="preserve">a verdict of manslaughter instead of murder but the phrasing of </w:t>
      </w:r>
      <w:r w:rsidRPr="0F4A45D0" w:rsidR="7CBD54F9">
        <w:rPr>
          <w:i w:val="0"/>
          <w:iCs w:val="0"/>
          <w:sz w:val="24"/>
          <w:szCs w:val="24"/>
          <w:u w:val="none"/>
        </w:rPr>
        <w:t>pleas such as ‘Abnormality of the mind’ were instead reworded as ‘Abnormality of mental functioning’ which mu</w:t>
      </w:r>
      <w:r w:rsidRPr="0F4A45D0" w:rsidR="1CD488C7">
        <w:rPr>
          <w:i w:val="0"/>
          <w:iCs w:val="0"/>
          <w:sz w:val="24"/>
          <w:szCs w:val="24"/>
          <w:u w:val="none"/>
        </w:rPr>
        <w:t>st</w:t>
      </w:r>
      <w:r w:rsidRPr="0F4A45D0" w:rsidR="7CBD54F9">
        <w:rPr>
          <w:i w:val="0"/>
          <w:iCs w:val="0"/>
          <w:sz w:val="24"/>
          <w:szCs w:val="24"/>
          <w:u w:val="none"/>
        </w:rPr>
        <w:t xml:space="preserve"> also be proven to be from a medical condition </w:t>
      </w:r>
      <w:r w:rsidRPr="0F4A45D0" w:rsidR="08051BBA">
        <w:rPr>
          <w:i w:val="0"/>
          <w:iCs w:val="0"/>
          <w:sz w:val="24"/>
          <w:szCs w:val="24"/>
          <w:u w:val="none"/>
        </w:rPr>
        <w:t xml:space="preserve">that is listed. </w:t>
      </w:r>
      <w:r w:rsidRPr="0F4A45D0" w:rsidR="37223F85">
        <w:rPr>
          <w:i w:val="0"/>
          <w:iCs w:val="0"/>
          <w:sz w:val="24"/>
          <w:szCs w:val="24"/>
          <w:u w:val="none"/>
        </w:rPr>
        <w:t xml:space="preserve">An example of </w:t>
      </w:r>
      <w:r w:rsidRPr="0F4A45D0" w:rsidR="7BA988F8">
        <w:rPr>
          <w:i w:val="0"/>
          <w:iCs w:val="0"/>
          <w:sz w:val="24"/>
          <w:szCs w:val="24"/>
          <w:u w:val="none"/>
        </w:rPr>
        <w:t xml:space="preserve">a medical condition being used as a </w:t>
      </w:r>
      <w:r w:rsidRPr="0F4A45D0" w:rsidR="5519974F">
        <w:rPr>
          <w:i w:val="0"/>
          <w:iCs w:val="0"/>
          <w:sz w:val="24"/>
          <w:szCs w:val="24"/>
          <w:u w:val="none"/>
        </w:rPr>
        <w:t xml:space="preserve">source of ‘Diminished Responsibility’ </w:t>
      </w:r>
      <w:r w:rsidRPr="0F4A45D0" w:rsidR="260DFBB4">
        <w:rPr>
          <w:i w:val="0"/>
          <w:iCs w:val="0"/>
          <w:sz w:val="24"/>
          <w:szCs w:val="24"/>
          <w:u w:val="none"/>
        </w:rPr>
        <w:t>would be the case of R v Joyce and Kay [2017] where both individuals suffered from diagnosed schizophren</w:t>
      </w:r>
      <w:r w:rsidRPr="0F4A45D0" w:rsidR="05606E4D">
        <w:rPr>
          <w:i w:val="0"/>
          <w:iCs w:val="0"/>
          <w:sz w:val="24"/>
          <w:szCs w:val="24"/>
          <w:u w:val="none"/>
        </w:rPr>
        <w:t>ia and killed while intoxicated with alcohol and possibly drugs</w:t>
      </w:r>
      <w:r w:rsidRPr="0F4A45D0" w:rsidR="62C31789">
        <w:rPr>
          <w:i w:val="0"/>
          <w:iCs w:val="0"/>
          <w:sz w:val="24"/>
          <w:szCs w:val="24"/>
          <w:u w:val="none"/>
        </w:rPr>
        <w:t xml:space="preserve"> </w:t>
      </w:r>
      <w:r w:rsidRPr="0F4A45D0" w:rsidR="02506F6C">
        <w:rPr>
          <w:i w:val="0"/>
          <w:iCs w:val="0"/>
          <w:sz w:val="24"/>
          <w:szCs w:val="24"/>
          <w:u w:val="none"/>
        </w:rPr>
        <w:t>which can be argued that even without the influence of drugs or alcohol, the defendants would have committed crimes such as murder anyway (</w:t>
      </w:r>
      <w:r w:rsidRPr="0F4A45D0" w:rsidR="38558A60">
        <w:rPr>
          <w:i w:val="0"/>
          <w:iCs w:val="0"/>
          <w:sz w:val="24"/>
          <w:szCs w:val="24"/>
          <w:u w:val="none"/>
        </w:rPr>
        <w:t xml:space="preserve">Mental Health Law Online, 2023). </w:t>
      </w:r>
    </w:p>
    <w:p w:rsidR="4C8D4EE2" w:rsidP="0F4A45D0" w:rsidRDefault="4C8D4EE2" w14:paraId="7AA2F4E4" w14:textId="65E751A4">
      <w:pPr>
        <w:pStyle w:val="Normal"/>
        <w:rPr>
          <w:i w:val="0"/>
          <w:iCs w:val="0"/>
          <w:sz w:val="24"/>
          <w:szCs w:val="24"/>
          <w:u w:val="none"/>
        </w:rPr>
      </w:pPr>
      <w:r w:rsidRPr="0F4A45D0" w:rsidR="58A090FF">
        <w:rPr>
          <w:i w:val="0"/>
          <w:iCs w:val="0"/>
          <w:sz w:val="24"/>
          <w:szCs w:val="24"/>
          <w:u w:val="none"/>
        </w:rPr>
        <w:t>On the opposing side of</w:t>
      </w:r>
      <w:r w:rsidRPr="0F4A45D0" w:rsidR="2893C17E">
        <w:rPr>
          <w:i w:val="0"/>
          <w:iCs w:val="0"/>
          <w:sz w:val="24"/>
          <w:szCs w:val="24"/>
          <w:u w:val="none"/>
        </w:rPr>
        <w:t xml:space="preserve"> examples of</w:t>
      </w:r>
      <w:r w:rsidRPr="0F4A45D0" w:rsidR="58A090FF">
        <w:rPr>
          <w:i w:val="0"/>
          <w:iCs w:val="0"/>
          <w:sz w:val="24"/>
          <w:szCs w:val="24"/>
          <w:u w:val="none"/>
        </w:rPr>
        <w:t xml:space="preserve"> defendants trying to use diminished responsibility </w:t>
      </w:r>
      <w:r w:rsidRPr="0F4A45D0" w:rsidR="42C315B5">
        <w:rPr>
          <w:i w:val="0"/>
          <w:iCs w:val="0"/>
          <w:sz w:val="24"/>
          <w:szCs w:val="24"/>
          <w:u w:val="none"/>
        </w:rPr>
        <w:t xml:space="preserve">and denied </w:t>
      </w:r>
      <w:r w:rsidRPr="0F4A45D0" w:rsidR="1B0339C4">
        <w:rPr>
          <w:i w:val="0"/>
          <w:iCs w:val="0"/>
          <w:sz w:val="24"/>
          <w:szCs w:val="24"/>
          <w:u w:val="none"/>
        </w:rPr>
        <w:t xml:space="preserve">the use is </w:t>
      </w:r>
      <w:r w:rsidRPr="0F4A45D0" w:rsidR="2EFA57E2">
        <w:rPr>
          <w:i w:val="0"/>
          <w:iCs w:val="0"/>
          <w:sz w:val="24"/>
          <w:szCs w:val="24"/>
          <w:u w:val="none"/>
        </w:rPr>
        <w:t xml:space="preserve">the case of R v Dowds [2012] where the defendant and his partner were </w:t>
      </w:r>
      <w:r w:rsidRPr="0F4A45D0" w:rsidR="60CB432C">
        <w:rPr>
          <w:i w:val="0"/>
          <w:iCs w:val="0"/>
          <w:sz w:val="24"/>
          <w:szCs w:val="24"/>
          <w:u w:val="none"/>
        </w:rPr>
        <w:t xml:space="preserve">regular drinkers and </w:t>
      </w:r>
      <w:r w:rsidRPr="0F4A45D0" w:rsidR="7B1A79FA">
        <w:rPr>
          <w:i w:val="0"/>
          <w:iCs w:val="0"/>
          <w:sz w:val="24"/>
          <w:szCs w:val="24"/>
          <w:u w:val="none"/>
        </w:rPr>
        <w:t>would engage in violent confrontations regularly. The defendant killed his partner while under the influenc</w:t>
      </w:r>
      <w:r w:rsidRPr="0F4A45D0" w:rsidR="3358C8C8">
        <w:rPr>
          <w:i w:val="0"/>
          <w:iCs w:val="0"/>
          <w:sz w:val="24"/>
          <w:szCs w:val="24"/>
          <w:u w:val="none"/>
        </w:rPr>
        <w:t xml:space="preserve">e of alcohol and reported the murder two days after the murder had taken place, while in court, the defendant claimed that he was not dependant on alcohol </w:t>
      </w:r>
      <w:r w:rsidRPr="0F4A45D0" w:rsidR="1911D1C5">
        <w:rPr>
          <w:i w:val="0"/>
          <w:iCs w:val="0"/>
          <w:sz w:val="24"/>
          <w:szCs w:val="24"/>
          <w:u w:val="none"/>
        </w:rPr>
        <w:t xml:space="preserve">but as soon as </w:t>
      </w:r>
      <w:r w:rsidRPr="0F4A45D0" w:rsidR="30A2932B">
        <w:rPr>
          <w:i w:val="0"/>
          <w:iCs w:val="0"/>
          <w:sz w:val="24"/>
          <w:szCs w:val="24"/>
          <w:u w:val="none"/>
        </w:rPr>
        <w:t xml:space="preserve">he would engage in drinking, he would become unable to control his drinking. </w:t>
      </w:r>
      <w:r w:rsidRPr="0F4A45D0" w:rsidR="707B2021">
        <w:rPr>
          <w:i w:val="0"/>
          <w:iCs w:val="0"/>
          <w:sz w:val="24"/>
          <w:szCs w:val="24"/>
          <w:u w:val="none"/>
        </w:rPr>
        <w:t xml:space="preserve">The defendant was sentenced to the murder of his partner </w:t>
      </w:r>
      <w:r w:rsidRPr="0F4A45D0" w:rsidR="2E3659BF">
        <w:rPr>
          <w:i w:val="0"/>
          <w:iCs w:val="0"/>
          <w:sz w:val="24"/>
          <w:szCs w:val="24"/>
          <w:u w:val="none"/>
        </w:rPr>
        <w:t xml:space="preserve">and later went on to appeal the decision </w:t>
      </w:r>
      <w:r w:rsidRPr="0F4A45D0" w:rsidR="0D4FA5D4">
        <w:rPr>
          <w:i w:val="0"/>
          <w:iCs w:val="0"/>
          <w:sz w:val="24"/>
          <w:szCs w:val="24"/>
          <w:u w:val="none"/>
        </w:rPr>
        <w:t xml:space="preserve">as </w:t>
      </w:r>
      <w:r w:rsidRPr="0F4A45D0" w:rsidR="6CA2186C">
        <w:rPr>
          <w:i w:val="0"/>
          <w:iCs w:val="0"/>
          <w:sz w:val="24"/>
          <w:szCs w:val="24"/>
          <w:u w:val="none"/>
        </w:rPr>
        <w:t xml:space="preserve">acute intoxication </w:t>
      </w:r>
      <w:r w:rsidRPr="0F4A45D0" w:rsidR="64BA039D">
        <w:rPr>
          <w:i w:val="0"/>
          <w:iCs w:val="0"/>
          <w:sz w:val="24"/>
          <w:szCs w:val="24"/>
          <w:u w:val="none"/>
        </w:rPr>
        <w:t xml:space="preserve">is a recognised medical condition by the World Health </w:t>
      </w:r>
      <w:r w:rsidRPr="0F4A45D0" w:rsidR="5B9D379C">
        <w:rPr>
          <w:i w:val="0"/>
          <w:iCs w:val="0"/>
          <w:sz w:val="24"/>
          <w:szCs w:val="24"/>
          <w:u w:val="none"/>
        </w:rPr>
        <w:t>Organisation but was disapproved by the trial judge as ‘Voluntary’ acute intoxication is not</w:t>
      </w:r>
      <w:r w:rsidRPr="0F4A45D0" w:rsidR="6203CE00">
        <w:rPr>
          <w:i w:val="0"/>
          <w:iCs w:val="0"/>
          <w:sz w:val="24"/>
          <w:szCs w:val="24"/>
          <w:u w:val="none"/>
        </w:rPr>
        <w:t xml:space="preserve"> a</w:t>
      </w:r>
      <w:r w:rsidRPr="0F4A45D0" w:rsidR="5B9D379C">
        <w:rPr>
          <w:i w:val="0"/>
          <w:iCs w:val="0"/>
          <w:sz w:val="24"/>
          <w:szCs w:val="24"/>
          <w:u w:val="none"/>
        </w:rPr>
        <w:t xml:space="preserve"> </w:t>
      </w:r>
      <w:r w:rsidRPr="0F4A45D0" w:rsidR="05E8B8B7">
        <w:rPr>
          <w:i w:val="0"/>
          <w:iCs w:val="0"/>
          <w:sz w:val="24"/>
          <w:szCs w:val="24"/>
          <w:u w:val="none"/>
        </w:rPr>
        <w:t xml:space="preserve">justifiable </w:t>
      </w:r>
      <w:r w:rsidRPr="0F4A45D0" w:rsidR="4D9F3B3F">
        <w:rPr>
          <w:i w:val="0"/>
          <w:iCs w:val="0"/>
          <w:sz w:val="24"/>
          <w:szCs w:val="24"/>
          <w:u w:val="none"/>
        </w:rPr>
        <w:t xml:space="preserve">example of diminished responsibility which could then be argued if the defendant had claimed he was alcohol </w:t>
      </w:r>
      <w:r w:rsidRPr="0F4A45D0" w:rsidR="270F4996">
        <w:rPr>
          <w:i w:val="0"/>
          <w:iCs w:val="0"/>
          <w:sz w:val="24"/>
          <w:szCs w:val="24"/>
          <w:u w:val="none"/>
        </w:rPr>
        <w:t>dependant,</w:t>
      </w:r>
      <w:r w:rsidRPr="0F4A45D0" w:rsidR="4D9F3B3F">
        <w:rPr>
          <w:i w:val="0"/>
          <w:iCs w:val="0"/>
          <w:sz w:val="24"/>
          <w:szCs w:val="24"/>
          <w:u w:val="none"/>
        </w:rPr>
        <w:t xml:space="preserve"> then he would have</w:t>
      </w:r>
      <w:r w:rsidRPr="0F4A45D0" w:rsidR="35EA57A2">
        <w:rPr>
          <w:i w:val="0"/>
          <w:iCs w:val="0"/>
          <w:sz w:val="24"/>
          <w:szCs w:val="24"/>
          <w:u w:val="none"/>
        </w:rPr>
        <w:t xml:space="preserve"> had a better chance of successfully overturning his conviction since alcohol dependency is a recognised </w:t>
      </w:r>
      <w:r w:rsidRPr="0F4A45D0" w:rsidR="1E8BDD92">
        <w:rPr>
          <w:i w:val="0"/>
          <w:iCs w:val="0"/>
          <w:sz w:val="24"/>
          <w:szCs w:val="24"/>
          <w:u w:val="none"/>
        </w:rPr>
        <w:t>medical condition</w:t>
      </w:r>
      <w:r w:rsidRPr="0F4A45D0" w:rsidR="38DD5ADC">
        <w:rPr>
          <w:i w:val="0"/>
          <w:iCs w:val="0"/>
          <w:sz w:val="24"/>
          <w:szCs w:val="24"/>
          <w:u w:val="none"/>
        </w:rPr>
        <w:t xml:space="preserve"> (Digestible Notes, 2023).</w:t>
      </w:r>
      <w:r w:rsidRPr="0F4A45D0" w:rsidR="35EA57A2">
        <w:rPr>
          <w:i w:val="0"/>
          <w:iCs w:val="0"/>
          <w:sz w:val="24"/>
          <w:szCs w:val="24"/>
          <w:u w:val="none"/>
        </w:rPr>
        <w:t xml:space="preserve"> </w:t>
      </w:r>
    </w:p>
    <w:p w:rsidR="4C8D4EE2" w:rsidP="0F4A45D0" w:rsidRDefault="4C8D4EE2" w14:paraId="009C7CD8" w14:textId="60BB56C6">
      <w:pPr>
        <w:pStyle w:val="Normal"/>
        <w:rPr>
          <w:i w:val="0"/>
          <w:iCs w:val="0"/>
          <w:sz w:val="24"/>
          <w:szCs w:val="24"/>
          <w:u w:val="none"/>
        </w:rPr>
      </w:pPr>
      <w:r w:rsidRPr="0F4A45D0" w:rsidR="74DD3634">
        <w:rPr>
          <w:i w:val="0"/>
          <w:iCs w:val="0"/>
          <w:sz w:val="24"/>
          <w:szCs w:val="24"/>
          <w:u w:val="none"/>
        </w:rPr>
        <w:t xml:space="preserve">An example of an ongoing case of diminished responsibility would be the R v Cobley [2021] case which is based on a woman who killed her </w:t>
      </w:r>
      <w:r w:rsidRPr="0F4A45D0" w:rsidR="078CC73F">
        <w:rPr>
          <w:i w:val="0"/>
          <w:iCs w:val="0"/>
          <w:sz w:val="24"/>
          <w:szCs w:val="24"/>
          <w:u w:val="none"/>
        </w:rPr>
        <w:t>new-born</w:t>
      </w:r>
      <w:r w:rsidRPr="0F4A45D0" w:rsidR="74DD3634">
        <w:rPr>
          <w:i w:val="0"/>
          <w:iCs w:val="0"/>
          <w:sz w:val="24"/>
          <w:szCs w:val="24"/>
          <w:u w:val="none"/>
        </w:rPr>
        <w:t xml:space="preserve"> child and was convicted of murder </w:t>
      </w:r>
      <w:r w:rsidRPr="0F4A45D0" w:rsidR="6B9220D8">
        <w:rPr>
          <w:i w:val="0"/>
          <w:iCs w:val="0"/>
          <w:sz w:val="24"/>
          <w:szCs w:val="24"/>
          <w:u w:val="none"/>
        </w:rPr>
        <w:t xml:space="preserve">but </w:t>
      </w:r>
      <w:r w:rsidRPr="0F4A45D0" w:rsidR="725B2BA4">
        <w:rPr>
          <w:i w:val="0"/>
          <w:iCs w:val="0"/>
          <w:sz w:val="24"/>
          <w:szCs w:val="24"/>
          <w:u w:val="none"/>
        </w:rPr>
        <w:t>since the conviction has been evaluated by a psychiatrist and is requesting a retrial on the argument of diminished responsibility due to the psychia</w:t>
      </w:r>
      <w:r w:rsidRPr="0F4A45D0" w:rsidR="12D48DFF">
        <w:rPr>
          <w:i w:val="0"/>
          <w:iCs w:val="0"/>
          <w:sz w:val="24"/>
          <w:szCs w:val="24"/>
          <w:u w:val="none"/>
        </w:rPr>
        <w:t xml:space="preserve">tric evidence that has been giving on her character. Going off the previous two examples of arguing diminished responsibility, it could be argued that the </w:t>
      </w:r>
      <w:r w:rsidRPr="0F4A45D0" w:rsidR="5DC26DD6">
        <w:rPr>
          <w:i w:val="0"/>
          <w:iCs w:val="0"/>
          <w:sz w:val="24"/>
          <w:szCs w:val="24"/>
          <w:u w:val="none"/>
        </w:rPr>
        <w:t xml:space="preserve">defendant could be looking at a successful retrial if </w:t>
      </w:r>
      <w:r w:rsidRPr="0F4A45D0" w:rsidR="321B6E0E">
        <w:rPr>
          <w:i w:val="0"/>
          <w:iCs w:val="0"/>
          <w:sz w:val="24"/>
          <w:szCs w:val="24"/>
          <w:u w:val="none"/>
        </w:rPr>
        <w:t xml:space="preserve">the psychiatric evaluation is </w:t>
      </w:r>
      <w:r w:rsidRPr="0F4A45D0" w:rsidR="199E8C23">
        <w:rPr>
          <w:i w:val="0"/>
          <w:iCs w:val="0"/>
          <w:sz w:val="24"/>
          <w:szCs w:val="24"/>
          <w:u w:val="none"/>
        </w:rPr>
        <w:t xml:space="preserve">enough to convince a trial judge that the sentencing is </w:t>
      </w:r>
      <w:r w:rsidRPr="0F4A45D0" w:rsidR="58960367">
        <w:rPr>
          <w:i w:val="0"/>
          <w:iCs w:val="0"/>
          <w:sz w:val="24"/>
          <w:szCs w:val="24"/>
          <w:u w:val="none"/>
        </w:rPr>
        <w:t xml:space="preserve">too harsh for the defendant </w:t>
      </w:r>
      <w:r w:rsidRPr="0F4A45D0" w:rsidR="54B18DA0">
        <w:rPr>
          <w:i w:val="0"/>
          <w:iCs w:val="0"/>
          <w:sz w:val="24"/>
          <w:szCs w:val="24"/>
          <w:u w:val="none"/>
        </w:rPr>
        <w:t xml:space="preserve">then they may end up doing a manslaughter sentence instead under the partial diminished responsibility </w:t>
      </w:r>
      <w:r w:rsidRPr="0F4A45D0" w:rsidR="443CF932">
        <w:rPr>
          <w:i w:val="0"/>
          <w:iCs w:val="0"/>
          <w:sz w:val="24"/>
          <w:szCs w:val="24"/>
          <w:u w:val="none"/>
        </w:rPr>
        <w:t>order (Mental Health Law Online, 2023).</w:t>
      </w:r>
    </w:p>
    <w:p w:rsidR="4C8D4EE2" w:rsidP="0F4A45D0" w:rsidRDefault="4C8D4EE2" w14:paraId="5111A08E" w14:textId="6C9DEA8B">
      <w:pPr>
        <w:pStyle w:val="Normal"/>
        <w:rPr>
          <w:i w:val="0"/>
          <w:iCs w:val="0"/>
          <w:sz w:val="24"/>
          <w:szCs w:val="24"/>
          <w:u w:val="none"/>
        </w:rPr>
      </w:pPr>
      <w:r w:rsidRPr="0F4A45D0" w:rsidR="30AD0BCC">
        <w:rPr>
          <w:i w:val="0"/>
          <w:iCs w:val="0"/>
          <w:sz w:val="24"/>
          <w:szCs w:val="24"/>
          <w:u w:val="none"/>
        </w:rPr>
        <w:t xml:space="preserve">After assessing both outcomes of individuals </w:t>
      </w:r>
      <w:r w:rsidRPr="0F4A45D0" w:rsidR="4DEA3937">
        <w:rPr>
          <w:i w:val="0"/>
          <w:iCs w:val="0"/>
          <w:sz w:val="24"/>
          <w:szCs w:val="24"/>
          <w:u w:val="none"/>
        </w:rPr>
        <w:t xml:space="preserve">attempting to use diminished responsibility as a plea for </w:t>
      </w:r>
      <w:r w:rsidRPr="0F4A45D0" w:rsidR="06288805">
        <w:rPr>
          <w:i w:val="0"/>
          <w:iCs w:val="0"/>
          <w:sz w:val="24"/>
          <w:szCs w:val="24"/>
          <w:u w:val="none"/>
        </w:rPr>
        <w:t xml:space="preserve">crimes committed, it would appear that the Coroners and Justice Act </w:t>
      </w:r>
      <w:r w:rsidRPr="0F4A45D0" w:rsidR="56733478">
        <w:rPr>
          <w:i w:val="0"/>
          <w:iCs w:val="0"/>
          <w:sz w:val="24"/>
          <w:szCs w:val="24"/>
          <w:u w:val="none"/>
        </w:rPr>
        <w:t>2009 has made it easier for people to access a manslaughter se</w:t>
      </w:r>
      <w:r w:rsidRPr="0F4A45D0" w:rsidR="5CD9CADC">
        <w:rPr>
          <w:i w:val="0"/>
          <w:iCs w:val="0"/>
          <w:sz w:val="24"/>
          <w:szCs w:val="24"/>
          <w:u w:val="none"/>
        </w:rPr>
        <w:t xml:space="preserve">ntence for a murder </w:t>
      </w:r>
      <w:r w:rsidRPr="0F4A45D0" w:rsidR="378D9D4F">
        <w:rPr>
          <w:i w:val="0"/>
          <w:iCs w:val="0"/>
          <w:sz w:val="24"/>
          <w:szCs w:val="24"/>
          <w:u w:val="none"/>
        </w:rPr>
        <w:t xml:space="preserve">with a much wider bracket of mental health issues and </w:t>
      </w:r>
      <w:r w:rsidRPr="0F4A45D0" w:rsidR="4B774D26">
        <w:rPr>
          <w:i w:val="0"/>
          <w:iCs w:val="0"/>
          <w:sz w:val="24"/>
          <w:szCs w:val="24"/>
          <w:u w:val="none"/>
        </w:rPr>
        <w:t xml:space="preserve">diagnoses in the modern day compared to when the original Homicide Act 1957 was in place. The downside to this </w:t>
      </w:r>
      <w:r w:rsidRPr="0F4A45D0" w:rsidR="3712BA65">
        <w:rPr>
          <w:i w:val="0"/>
          <w:iCs w:val="0"/>
          <w:sz w:val="24"/>
          <w:szCs w:val="24"/>
          <w:u w:val="none"/>
        </w:rPr>
        <w:t xml:space="preserve">act being in place is the fact that if defendants can fall under a bracket of diminished responsibility by claiming that they are alcohol dependant then it is </w:t>
      </w:r>
      <w:r w:rsidRPr="0F4A45D0" w:rsidR="696EA4F0">
        <w:rPr>
          <w:i w:val="0"/>
          <w:iCs w:val="0"/>
          <w:sz w:val="24"/>
          <w:szCs w:val="24"/>
          <w:u w:val="none"/>
        </w:rPr>
        <w:t>possible that people serving manslaughter sentences should be sentenced to murder.</w:t>
      </w:r>
      <w:r w:rsidRPr="0F4A45D0" w:rsidR="22A71EE8">
        <w:rPr>
          <w:i w:val="0"/>
          <w:iCs w:val="0"/>
          <w:sz w:val="24"/>
          <w:szCs w:val="24"/>
          <w:u w:val="none"/>
        </w:rPr>
        <w:t xml:space="preserve"> </w:t>
      </w:r>
    </w:p>
    <w:p w:rsidR="4C8D4EE2" w:rsidP="0F4A45D0" w:rsidRDefault="4C8D4EE2" w14:paraId="44B0206F" w14:textId="65334F83">
      <w:pPr>
        <w:pStyle w:val="Normal"/>
        <w:rPr>
          <w:i w:val="0"/>
          <w:iCs w:val="0"/>
          <w:sz w:val="24"/>
          <w:szCs w:val="24"/>
          <w:u w:val="none"/>
        </w:rPr>
      </w:pPr>
    </w:p>
    <w:p w:rsidR="0F4A45D0" w:rsidP="0F4A45D0" w:rsidRDefault="0F4A45D0" w14:paraId="379D0406" w14:textId="7631CAF8">
      <w:pPr>
        <w:pStyle w:val="Normal"/>
        <w:rPr>
          <w:i w:val="0"/>
          <w:iCs w:val="0"/>
          <w:sz w:val="24"/>
          <w:szCs w:val="24"/>
          <w:u w:val="none"/>
        </w:rPr>
      </w:pPr>
    </w:p>
    <w:p w:rsidR="0F4A45D0" w:rsidP="0F4A45D0" w:rsidRDefault="0F4A45D0" w14:paraId="2D5EAB9F" w14:textId="3F17173D">
      <w:pPr>
        <w:pStyle w:val="Normal"/>
        <w:rPr>
          <w:i w:val="0"/>
          <w:iCs w:val="0"/>
          <w:sz w:val="24"/>
          <w:szCs w:val="24"/>
          <w:u w:val="none"/>
        </w:rPr>
      </w:pPr>
    </w:p>
    <w:p w:rsidR="0F4A45D0" w:rsidP="0F4A45D0" w:rsidRDefault="0F4A45D0" w14:paraId="1AB20131" w14:textId="1E1E53CB">
      <w:pPr>
        <w:pStyle w:val="Normal"/>
        <w:rPr>
          <w:i w:val="0"/>
          <w:iCs w:val="0"/>
          <w:sz w:val="24"/>
          <w:szCs w:val="24"/>
          <w:u w:val="none"/>
        </w:rPr>
      </w:pPr>
    </w:p>
    <w:p w:rsidR="0F4A45D0" w:rsidP="0F4A45D0" w:rsidRDefault="0F4A45D0" w14:paraId="6BAEF148" w14:textId="6051E219">
      <w:pPr>
        <w:pStyle w:val="Normal"/>
        <w:rPr>
          <w:i w:val="0"/>
          <w:iCs w:val="0"/>
          <w:sz w:val="24"/>
          <w:szCs w:val="24"/>
          <w:u w:val="none"/>
        </w:rPr>
      </w:pPr>
    </w:p>
    <w:p w:rsidR="0F4A45D0" w:rsidP="0F4A45D0" w:rsidRDefault="0F4A45D0" w14:paraId="4591C8B9" w14:textId="4FB385CC">
      <w:pPr>
        <w:pStyle w:val="Normal"/>
        <w:rPr>
          <w:i w:val="0"/>
          <w:iCs w:val="0"/>
          <w:sz w:val="24"/>
          <w:szCs w:val="24"/>
          <w:u w:val="none"/>
        </w:rPr>
      </w:pPr>
    </w:p>
    <w:p w:rsidR="0F4A45D0" w:rsidP="0F4A45D0" w:rsidRDefault="0F4A45D0" w14:paraId="4167FAB0" w14:textId="1F437AA8">
      <w:pPr>
        <w:pStyle w:val="Normal"/>
        <w:rPr>
          <w:i w:val="0"/>
          <w:iCs w:val="0"/>
          <w:sz w:val="24"/>
          <w:szCs w:val="24"/>
          <w:u w:val="none"/>
        </w:rPr>
      </w:pPr>
    </w:p>
    <w:p w:rsidR="0F4A45D0" w:rsidP="0F4A45D0" w:rsidRDefault="0F4A45D0" w14:paraId="48221B4F" w14:textId="71FDD8A1">
      <w:pPr>
        <w:pStyle w:val="Normal"/>
        <w:rPr>
          <w:i w:val="0"/>
          <w:iCs w:val="0"/>
          <w:sz w:val="24"/>
          <w:szCs w:val="24"/>
          <w:u w:val="none"/>
        </w:rPr>
      </w:pPr>
    </w:p>
    <w:p w:rsidR="0F4A45D0" w:rsidP="0F4A45D0" w:rsidRDefault="0F4A45D0" w14:paraId="17A329A0" w14:textId="752FC255">
      <w:pPr>
        <w:pStyle w:val="Normal"/>
        <w:rPr>
          <w:i w:val="0"/>
          <w:iCs w:val="0"/>
          <w:sz w:val="24"/>
          <w:szCs w:val="24"/>
          <w:u w:val="none"/>
        </w:rPr>
      </w:pPr>
    </w:p>
    <w:p w:rsidR="305D8B72" w:rsidP="0F4A45D0" w:rsidRDefault="305D8B72" w14:paraId="55203496" w14:textId="5511BD43">
      <w:pPr>
        <w:pStyle w:val="Normal"/>
        <w:rPr>
          <w:i w:val="0"/>
          <w:iCs w:val="0"/>
          <w:sz w:val="24"/>
          <w:szCs w:val="24"/>
          <w:u w:val="none"/>
        </w:rPr>
      </w:pPr>
      <w:r w:rsidRPr="0F4A45D0" w:rsidR="305D8B72">
        <w:rPr>
          <w:i w:val="0"/>
          <w:iCs w:val="0"/>
          <w:sz w:val="24"/>
          <w:szCs w:val="24"/>
          <w:u w:val="none"/>
        </w:rPr>
        <w:t xml:space="preserve">References </w:t>
      </w:r>
    </w:p>
    <w:p w:rsidR="45596AB1" w:rsidP="0F4A45D0" w:rsidRDefault="45596AB1" w14:paraId="521D1A3F" w14:textId="3578D2D1">
      <w:pPr>
        <w:pStyle w:val="Normal"/>
        <w:rPr>
          <w:i w:val="0"/>
          <w:iCs w:val="0"/>
          <w:sz w:val="24"/>
          <w:szCs w:val="24"/>
          <w:u w:val="none"/>
        </w:rPr>
      </w:pPr>
      <w:r w:rsidRPr="0F4A45D0" w:rsidR="45596AB1">
        <w:rPr>
          <w:i w:val="0"/>
          <w:iCs w:val="0"/>
          <w:sz w:val="24"/>
          <w:szCs w:val="24"/>
          <w:u w:val="none"/>
        </w:rPr>
        <w:t xml:space="preserve">Digestible Notes, (2023) ‘Manslaughter: Diminished Responsibility Cases’. Available at: </w:t>
      </w:r>
      <w:hyperlink r:id="Rfa6e9e03aa954c3a">
        <w:r w:rsidRPr="0F4A45D0" w:rsidR="45596AB1">
          <w:rPr>
            <w:rStyle w:val="Hyperlink"/>
            <w:i w:val="0"/>
            <w:iCs w:val="0"/>
            <w:sz w:val="24"/>
            <w:szCs w:val="24"/>
          </w:rPr>
          <w:t>https://digestiblenotes.com/law/criminal_cases/diminished_responsibility.php</w:t>
        </w:r>
      </w:hyperlink>
      <w:r w:rsidRPr="0F4A45D0" w:rsidR="45596AB1">
        <w:rPr>
          <w:i w:val="0"/>
          <w:iCs w:val="0"/>
          <w:sz w:val="24"/>
          <w:szCs w:val="24"/>
          <w:u w:val="none"/>
        </w:rPr>
        <w:t xml:space="preserve"> (Acc</w:t>
      </w:r>
      <w:r w:rsidRPr="0F4A45D0" w:rsidR="6B394567">
        <w:rPr>
          <w:i w:val="0"/>
          <w:iCs w:val="0"/>
          <w:sz w:val="24"/>
          <w:szCs w:val="24"/>
          <w:u w:val="none"/>
        </w:rPr>
        <w:t xml:space="preserve">essed 20 February 2023) </w:t>
      </w:r>
    </w:p>
    <w:p w:rsidR="305D8B72" w:rsidP="0F4A45D0" w:rsidRDefault="305D8B72" w14:paraId="0164519C" w14:textId="58B11848">
      <w:pPr>
        <w:pStyle w:val="Normal"/>
        <w:rPr>
          <w:i w:val="0"/>
          <w:iCs w:val="0"/>
          <w:sz w:val="24"/>
          <w:szCs w:val="24"/>
          <w:u w:val="none"/>
        </w:rPr>
      </w:pPr>
      <w:r w:rsidRPr="0F4A45D0" w:rsidR="305D8B72">
        <w:rPr>
          <w:i w:val="0"/>
          <w:iCs w:val="0"/>
          <w:sz w:val="24"/>
          <w:szCs w:val="24"/>
          <w:u w:val="none"/>
        </w:rPr>
        <w:t xml:space="preserve">Dogan. R, (2013) ‘Did the Coroners and Justice Act 2009 get it right? </w:t>
      </w:r>
      <w:r w:rsidRPr="0F4A45D0" w:rsidR="305D8B72">
        <w:rPr>
          <w:i w:val="0"/>
          <w:iCs w:val="0"/>
          <w:sz w:val="24"/>
          <w:szCs w:val="24"/>
          <w:u w:val="none"/>
        </w:rPr>
        <w:t>Are all honour killings revenge killings?</w:t>
      </w:r>
      <w:r w:rsidRPr="0F4A45D0" w:rsidR="305D8B72">
        <w:rPr>
          <w:i w:val="0"/>
          <w:iCs w:val="0"/>
          <w:sz w:val="24"/>
          <w:szCs w:val="24"/>
          <w:u w:val="none"/>
        </w:rPr>
        <w:t>’.</w:t>
      </w:r>
      <w:r w:rsidRPr="0F4A45D0" w:rsidR="305D8B72">
        <w:rPr>
          <w:i w:val="0"/>
          <w:iCs w:val="0"/>
          <w:sz w:val="24"/>
          <w:szCs w:val="24"/>
          <w:u w:val="none"/>
        </w:rPr>
        <w:t xml:space="preserve"> Available at</w:t>
      </w:r>
      <w:r w:rsidRPr="0F4A45D0" w:rsidR="60804224">
        <w:rPr>
          <w:i w:val="0"/>
          <w:iCs w:val="0"/>
          <w:sz w:val="24"/>
          <w:szCs w:val="24"/>
          <w:u w:val="none"/>
        </w:rPr>
        <w:t xml:space="preserve">: </w:t>
      </w:r>
      <w:hyperlink r:id="R26f3c778f5c04d3c">
        <w:r w:rsidRPr="0F4A45D0" w:rsidR="60804224">
          <w:rPr>
            <w:rStyle w:val="Hyperlink"/>
            <w:i w:val="0"/>
            <w:iCs w:val="0"/>
            <w:sz w:val="24"/>
            <w:szCs w:val="24"/>
          </w:rPr>
          <w:t>https://journals-sagepub-com.ezproxy.uwtsd.ac.uk/doi/full/10.1177/1462474513504797</w:t>
        </w:r>
      </w:hyperlink>
      <w:r w:rsidRPr="0F4A45D0" w:rsidR="60804224">
        <w:rPr>
          <w:i w:val="0"/>
          <w:iCs w:val="0"/>
          <w:sz w:val="24"/>
          <w:szCs w:val="24"/>
          <w:u w:val="none"/>
        </w:rPr>
        <w:t xml:space="preserve"> (Accessed 20 February 2023) </w:t>
      </w:r>
    </w:p>
    <w:p w:rsidR="3E992769" w:rsidP="0F4A45D0" w:rsidRDefault="3E992769" w14:paraId="26489D9A" w14:textId="260A06E9">
      <w:pPr>
        <w:pStyle w:val="Normal"/>
        <w:rPr>
          <w:i w:val="0"/>
          <w:iCs w:val="0"/>
          <w:sz w:val="24"/>
          <w:szCs w:val="24"/>
          <w:u w:val="none"/>
        </w:rPr>
      </w:pPr>
      <w:r w:rsidRPr="0F4A45D0" w:rsidR="3E992769">
        <w:rPr>
          <w:i w:val="0"/>
          <w:iCs w:val="0"/>
          <w:sz w:val="24"/>
          <w:szCs w:val="24"/>
          <w:u w:val="none"/>
        </w:rPr>
        <w:t>E-Lawresources.co.uk, (2023) ‘</w:t>
      </w:r>
      <w:r w:rsidRPr="0F4A45D0" w:rsidR="3E992769">
        <w:rPr>
          <w:i w:val="0"/>
          <w:iCs w:val="0"/>
          <w:sz w:val="24"/>
          <w:szCs w:val="24"/>
          <w:u w:val="none"/>
        </w:rPr>
        <w:t>Mens</w:t>
      </w:r>
      <w:r w:rsidRPr="0F4A45D0" w:rsidR="3E992769">
        <w:rPr>
          <w:i w:val="0"/>
          <w:iCs w:val="0"/>
          <w:sz w:val="24"/>
          <w:szCs w:val="24"/>
          <w:u w:val="none"/>
        </w:rPr>
        <w:t xml:space="preserve"> rea – Intention'. Available at: </w:t>
      </w:r>
      <w:hyperlink r:id="Rec4ca07104c6463f">
        <w:r w:rsidRPr="0F4A45D0" w:rsidR="3E992769">
          <w:rPr>
            <w:rStyle w:val="Hyperlink"/>
            <w:i w:val="0"/>
            <w:iCs w:val="0"/>
            <w:sz w:val="24"/>
            <w:szCs w:val="24"/>
          </w:rPr>
          <w:t>http://e-lawresources.co.uk/Mens-rea-intention.php</w:t>
        </w:r>
      </w:hyperlink>
      <w:r w:rsidRPr="0F4A45D0" w:rsidR="3E992769">
        <w:rPr>
          <w:i w:val="0"/>
          <w:iCs w:val="0"/>
          <w:sz w:val="24"/>
          <w:szCs w:val="24"/>
          <w:u w:val="none"/>
        </w:rPr>
        <w:t xml:space="preserve"> (Accessed 20 February 2023</w:t>
      </w:r>
      <w:r w:rsidRPr="0F4A45D0" w:rsidR="69A1FB95">
        <w:rPr>
          <w:i w:val="0"/>
          <w:iCs w:val="0"/>
          <w:sz w:val="24"/>
          <w:szCs w:val="24"/>
          <w:u w:val="none"/>
        </w:rPr>
        <w:t xml:space="preserve">) </w:t>
      </w:r>
    </w:p>
    <w:p w:rsidR="5341BAE7" w:rsidP="0F4A45D0" w:rsidRDefault="5341BAE7" w14:paraId="43AB0196" w14:textId="0BCF0552">
      <w:pPr>
        <w:pStyle w:val="Normal"/>
        <w:rPr>
          <w:i w:val="0"/>
          <w:iCs w:val="0"/>
          <w:sz w:val="24"/>
          <w:szCs w:val="24"/>
          <w:u w:val="none"/>
        </w:rPr>
      </w:pPr>
      <w:r w:rsidRPr="0F4A45D0" w:rsidR="5341BAE7">
        <w:rPr>
          <w:i w:val="0"/>
          <w:iCs w:val="0"/>
          <w:sz w:val="24"/>
          <w:szCs w:val="24"/>
          <w:u w:val="none"/>
        </w:rPr>
        <w:t xml:space="preserve">Legal Dictionary, (2015) ‘ACTUS REUS’. Available at: </w:t>
      </w:r>
      <w:hyperlink r:id="R82c4f57ec2334459">
        <w:r w:rsidRPr="0F4A45D0" w:rsidR="5341BAE7">
          <w:rPr>
            <w:rStyle w:val="Hyperlink"/>
            <w:i w:val="0"/>
            <w:iCs w:val="0"/>
            <w:sz w:val="24"/>
            <w:szCs w:val="24"/>
          </w:rPr>
          <w:t>https://legaldictionary.net/actus-reus/?utm_content=cmp-true</w:t>
        </w:r>
      </w:hyperlink>
      <w:r w:rsidRPr="0F4A45D0" w:rsidR="5341BAE7">
        <w:rPr>
          <w:i w:val="0"/>
          <w:iCs w:val="0"/>
          <w:sz w:val="24"/>
          <w:szCs w:val="24"/>
          <w:u w:val="none"/>
        </w:rPr>
        <w:t xml:space="preserve"> (Accessed 20 Februa</w:t>
      </w:r>
      <w:r w:rsidRPr="0F4A45D0" w:rsidR="2AE5FEF7">
        <w:rPr>
          <w:i w:val="0"/>
          <w:iCs w:val="0"/>
          <w:sz w:val="24"/>
          <w:szCs w:val="24"/>
          <w:u w:val="none"/>
        </w:rPr>
        <w:t>ry 2023)</w:t>
      </w:r>
    </w:p>
    <w:p w:rsidR="1480E39B" w:rsidP="0F4A45D0" w:rsidRDefault="1480E39B" w14:paraId="66FF5495" w14:textId="654F0459">
      <w:pPr>
        <w:pStyle w:val="Normal"/>
        <w:rPr>
          <w:i w:val="0"/>
          <w:iCs w:val="0"/>
          <w:sz w:val="24"/>
          <w:szCs w:val="24"/>
          <w:u w:val="none"/>
        </w:rPr>
      </w:pPr>
      <w:r w:rsidRPr="0F4A45D0" w:rsidR="1480E39B">
        <w:rPr>
          <w:i w:val="0"/>
          <w:iCs w:val="0"/>
          <w:sz w:val="24"/>
          <w:szCs w:val="24"/>
          <w:u w:val="none"/>
        </w:rPr>
        <w:t xml:space="preserve">Legislation.go.uk, (2023) ‘Homicide Act 1957’. Available at: </w:t>
      </w:r>
      <w:hyperlink r:id="Rf1b9a1b0c9664b7e">
        <w:r w:rsidRPr="0F4A45D0" w:rsidR="1480E39B">
          <w:rPr>
            <w:rStyle w:val="Hyperlink"/>
            <w:i w:val="0"/>
            <w:iCs w:val="0"/>
            <w:sz w:val="24"/>
            <w:szCs w:val="24"/>
          </w:rPr>
          <w:t>https://www.legislation.gov.uk/ukpga/Eliz2/5-6/11/section/2/1991-02-01</w:t>
        </w:r>
      </w:hyperlink>
      <w:r w:rsidRPr="0F4A45D0" w:rsidR="1480E39B">
        <w:rPr>
          <w:i w:val="0"/>
          <w:iCs w:val="0"/>
          <w:sz w:val="24"/>
          <w:szCs w:val="24"/>
          <w:u w:val="none"/>
        </w:rPr>
        <w:t xml:space="preserve"> (Accessed 20 February 2023) </w:t>
      </w:r>
    </w:p>
    <w:p w:rsidR="34AC59F7" w:rsidP="0F4A45D0" w:rsidRDefault="34AC59F7" w14:paraId="0EE7D826" w14:textId="0020FD51">
      <w:pPr>
        <w:pStyle w:val="Normal"/>
        <w:rPr>
          <w:i w:val="0"/>
          <w:iCs w:val="0"/>
          <w:sz w:val="24"/>
          <w:szCs w:val="24"/>
          <w:u w:val="none"/>
        </w:rPr>
      </w:pPr>
      <w:r w:rsidRPr="0F4A45D0" w:rsidR="34AC59F7">
        <w:rPr>
          <w:i w:val="0"/>
          <w:iCs w:val="0"/>
          <w:sz w:val="24"/>
          <w:szCs w:val="24"/>
          <w:u w:val="none"/>
        </w:rPr>
        <w:t xml:space="preserve">Mental Health Law Online, (2023) ‘Diminished responsibility </w:t>
      </w:r>
      <w:r w:rsidRPr="0F4A45D0" w:rsidR="34AC59F7">
        <w:rPr>
          <w:i w:val="0"/>
          <w:iCs w:val="0"/>
          <w:sz w:val="24"/>
          <w:szCs w:val="24"/>
          <w:u w:val="none"/>
        </w:rPr>
        <w:t>cases’</w:t>
      </w:r>
      <w:r w:rsidRPr="0F4A45D0" w:rsidR="34AC59F7">
        <w:rPr>
          <w:i w:val="0"/>
          <w:iCs w:val="0"/>
          <w:sz w:val="24"/>
          <w:szCs w:val="24"/>
          <w:u w:val="none"/>
        </w:rPr>
        <w:t>. Available at:</w:t>
      </w:r>
      <w:r w:rsidRPr="0F4A45D0" w:rsidR="26AE5D9A">
        <w:rPr>
          <w:i w:val="0"/>
          <w:iCs w:val="0"/>
          <w:sz w:val="24"/>
          <w:szCs w:val="24"/>
          <w:u w:val="none"/>
        </w:rPr>
        <w:t xml:space="preserve"> </w:t>
      </w:r>
      <w:hyperlink r:id="Rbd9bdca3a6cc435c">
        <w:r w:rsidRPr="0F4A45D0" w:rsidR="26AE5D9A">
          <w:rPr>
            <w:rStyle w:val="Hyperlink"/>
            <w:i w:val="0"/>
            <w:iCs w:val="0"/>
            <w:sz w:val="24"/>
            <w:szCs w:val="24"/>
          </w:rPr>
          <w:t>https://www.mentalhealthlaw.co.uk/Category:Diminished_responsibility_cases</w:t>
        </w:r>
      </w:hyperlink>
      <w:r w:rsidRPr="0F4A45D0" w:rsidR="26AE5D9A">
        <w:rPr>
          <w:i w:val="0"/>
          <w:iCs w:val="0"/>
          <w:sz w:val="24"/>
          <w:szCs w:val="24"/>
          <w:u w:val="none"/>
        </w:rPr>
        <w:t xml:space="preserve"> (Accessed 20 February 2023) </w:t>
      </w:r>
      <w:r w:rsidRPr="0F4A45D0" w:rsidR="4AA38F96">
        <w:rPr>
          <w:i w:val="0"/>
          <w:iCs w:val="0"/>
          <w:sz w:val="24"/>
          <w:szCs w:val="24"/>
          <w:u w:val="none"/>
        </w:rPr>
        <w:t>[1]</w:t>
      </w:r>
    </w:p>
    <w:p w:rsidR="4AA38F96" w:rsidP="0F4A45D0" w:rsidRDefault="4AA38F96" w14:paraId="56A5A981" w14:textId="1413742C">
      <w:pPr>
        <w:pStyle w:val="Normal"/>
        <w:rPr>
          <w:i w:val="0"/>
          <w:iCs w:val="0"/>
          <w:sz w:val="24"/>
          <w:szCs w:val="24"/>
          <w:u w:val="none"/>
        </w:rPr>
      </w:pPr>
      <w:r w:rsidRPr="0F4A45D0" w:rsidR="4AA38F96">
        <w:rPr>
          <w:i w:val="0"/>
          <w:iCs w:val="0"/>
          <w:sz w:val="24"/>
          <w:szCs w:val="24"/>
          <w:u w:val="none"/>
        </w:rPr>
        <w:t xml:space="preserve">Mental Health Law Online, (2023) ‘Diminished responsibility </w:t>
      </w:r>
      <w:r w:rsidRPr="0F4A45D0" w:rsidR="4AA38F96">
        <w:rPr>
          <w:i w:val="0"/>
          <w:iCs w:val="0"/>
          <w:sz w:val="24"/>
          <w:szCs w:val="24"/>
          <w:u w:val="none"/>
        </w:rPr>
        <w:t>cases’</w:t>
      </w:r>
      <w:r w:rsidRPr="0F4A45D0" w:rsidR="4AA38F96">
        <w:rPr>
          <w:i w:val="0"/>
          <w:iCs w:val="0"/>
          <w:sz w:val="24"/>
          <w:szCs w:val="24"/>
          <w:u w:val="none"/>
        </w:rPr>
        <w:t xml:space="preserve">. Available at: </w:t>
      </w:r>
      <w:hyperlink r:id="R2a5b379064ed4185">
        <w:r w:rsidRPr="0F4A45D0" w:rsidR="4AA38F96">
          <w:rPr>
            <w:rStyle w:val="Hyperlink"/>
            <w:i w:val="0"/>
            <w:iCs w:val="0"/>
            <w:sz w:val="24"/>
            <w:szCs w:val="24"/>
          </w:rPr>
          <w:t>https://www.mentalhealthlaw.co.uk/Category:Diminished_responsibility_cases</w:t>
        </w:r>
      </w:hyperlink>
      <w:r w:rsidRPr="0F4A45D0" w:rsidR="4AA38F96">
        <w:rPr>
          <w:i w:val="0"/>
          <w:iCs w:val="0"/>
          <w:sz w:val="24"/>
          <w:szCs w:val="24"/>
          <w:u w:val="none"/>
        </w:rPr>
        <w:t xml:space="preserve"> </w:t>
      </w:r>
      <w:r w:rsidRPr="0F4A45D0" w:rsidR="363EFCD5">
        <w:rPr>
          <w:i w:val="0"/>
          <w:iCs w:val="0"/>
          <w:sz w:val="24"/>
          <w:szCs w:val="24"/>
          <w:u w:val="none"/>
        </w:rPr>
        <w:t>(Accessed 20 February 2023) [2]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pnpCXlvsG9C54" int2:id="v6J1Cfzi">
      <int2:state int2:type="AugLoop_Text_Critique" int2:value="Rejected"/>
    </int2:textHash>
    <int2:bookmark int2:bookmarkName="_Int_QU8u1i6w" int2:invalidationBookmarkName="" int2:hashCode="V7l3IO5RQ7f5rT" int2:id="hcQPsu0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03526B"/>
    <w:rsid w:val="005123D5"/>
    <w:rsid w:val="00ACF353"/>
    <w:rsid w:val="00E68B0E"/>
    <w:rsid w:val="01052C2C"/>
    <w:rsid w:val="0112579E"/>
    <w:rsid w:val="0205F972"/>
    <w:rsid w:val="02506F6C"/>
    <w:rsid w:val="029AA97E"/>
    <w:rsid w:val="031A6BAB"/>
    <w:rsid w:val="03232834"/>
    <w:rsid w:val="0388A176"/>
    <w:rsid w:val="0457E6CD"/>
    <w:rsid w:val="04AFC71E"/>
    <w:rsid w:val="04BEF895"/>
    <w:rsid w:val="04DCB53F"/>
    <w:rsid w:val="051BB6E6"/>
    <w:rsid w:val="05606E4D"/>
    <w:rsid w:val="05E5C8C1"/>
    <w:rsid w:val="05E8B8B7"/>
    <w:rsid w:val="06288805"/>
    <w:rsid w:val="066FB8A1"/>
    <w:rsid w:val="06AF67EB"/>
    <w:rsid w:val="06B78747"/>
    <w:rsid w:val="07819922"/>
    <w:rsid w:val="07896589"/>
    <w:rsid w:val="078CC73F"/>
    <w:rsid w:val="07C8ECFD"/>
    <w:rsid w:val="07F69957"/>
    <w:rsid w:val="08051BBA"/>
    <w:rsid w:val="0861BAC8"/>
    <w:rsid w:val="0871DC14"/>
    <w:rsid w:val="087E5671"/>
    <w:rsid w:val="08E69DA4"/>
    <w:rsid w:val="0953E868"/>
    <w:rsid w:val="0A01C91A"/>
    <w:rsid w:val="0A0DAC75"/>
    <w:rsid w:val="0A826E05"/>
    <w:rsid w:val="0B58B46D"/>
    <w:rsid w:val="0B5F419D"/>
    <w:rsid w:val="0BB5F733"/>
    <w:rsid w:val="0C12A50E"/>
    <w:rsid w:val="0C1ECB46"/>
    <w:rsid w:val="0D4FA5D4"/>
    <w:rsid w:val="0D5DADE7"/>
    <w:rsid w:val="0E8F69F4"/>
    <w:rsid w:val="0E9836F3"/>
    <w:rsid w:val="0EA18FD7"/>
    <w:rsid w:val="0EA7B823"/>
    <w:rsid w:val="0ED0FC4C"/>
    <w:rsid w:val="0EED97F5"/>
    <w:rsid w:val="0EF8E85F"/>
    <w:rsid w:val="0F4A45D0"/>
    <w:rsid w:val="10340754"/>
    <w:rsid w:val="10C000CB"/>
    <w:rsid w:val="11C70AB6"/>
    <w:rsid w:val="124EB363"/>
    <w:rsid w:val="126B5303"/>
    <w:rsid w:val="12796B25"/>
    <w:rsid w:val="12B19836"/>
    <w:rsid w:val="12D48DFF"/>
    <w:rsid w:val="137500FA"/>
    <w:rsid w:val="1441693F"/>
    <w:rsid w:val="1480E39B"/>
    <w:rsid w:val="14AF31CD"/>
    <w:rsid w:val="14F2E88A"/>
    <w:rsid w:val="14F8DE3C"/>
    <w:rsid w:val="14FFA595"/>
    <w:rsid w:val="15EE4726"/>
    <w:rsid w:val="16E4758E"/>
    <w:rsid w:val="16F195AE"/>
    <w:rsid w:val="1729C116"/>
    <w:rsid w:val="174E32D5"/>
    <w:rsid w:val="1759217C"/>
    <w:rsid w:val="175F5828"/>
    <w:rsid w:val="17DC09CE"/>
    <w:rsid w:val="1911D1C5"/>
    <w:rsid w:val="199E8C23"/>
    <w:rsid w:val="19DBB68C"/>
    <w:rsid w:val="19F96D0B"/>
    <w:rsid w:val="1B0339C4"/>
    <w:rsid w:val="1B7EB00E"/>
    <w:rsid w:val="1BC4A5A1"/>
    <w:rsid w:val="1C920582"/>
    <w:rsid w:val="1CD488C7"/>
    <w:rsid w:val="1D4D25F5"/>
    <w:rsid w:val="1DCF2328"/>
    <w:rsid w:val="1E2DD5E3"/>
    <w:rsid w:val="1E8BDD92"/>
    <w:rsid w:val="1F7CD922"/>
    <w:rsid w:val="1FC1BAAC"/>
    <w:rsid w:val="1FC9A644"/>
    <w:rsid w:val="1FF7F207"/>
    <w:rsid w:val="2003D1A8"/>
    <w:rsid w:val="20C882FB"/>
    <w:rsid w:val="20E4A9CE"/>
    <w:rsid w:val="20F8E514"/>
    <w:rsid w:val="215A80BA"/>
    <w:rsid w:val="21D16B92"/>
    <w:rsid w:val="21E5D346"/>
    <w:rsid w:val="229FF7E2"/>
    <w:rsid w:val="22A71EE8"/>
    <w:rsid w:val="22B479E4"/>
    <w:rsid w:val="22F95B6E"/>
    <w:rsid w:val="2315F717"/>
    <w:rsid w:val="2381A3A7"/>
    <w:rsid w:val="23A72DA6"/>
    <w:rsid w:val="245C6676"/>
    <w:rsid w:val="251D7408"/>
    <w:rsid w:val="2552B2A4"/>
    <w:rsid w:val="2566B67D"/>
    <w:rsid w:val="2587CC85"/>
    <w:rsid w:val="25A638A0"/>
    <w:rsid w:val="25F374E0"/>
    <w:rsid w:val="260DFBB4"/>
    <w:rsid w:val="2630FC30"/>
    <w:rsid w:val="26360EA6"/>
    <w:rsid w:val="267C512B"/>
    <w:rsid w:val="26AE5D9A"/>
    <w:rsid w:val="26DB3A11"/>
    <w:rsid w:val="26DB4EF5"/>
    <w:rsid w:val="270286DE"/>
    <w:rsid w:val="270F4996"/>
    <w:rsid w:val="271E70C7"/>
    <w:rsid w:val="27582BC4"/>
    <w:rsid w:val="2787EB07"/>
    <w:rsid w:val="28138A22"/>
    <w:rsid w:val="28771F56"/>
    <w:rsid w:val="2893C17E"/>
    <w:rsid w:val="289E573F"/>
    <w:rsid w:val="28CDEE49"/>
    <w:rsid w:val="29270A9A"/>
    <w:rsid w:val="29708A78"/>
    <w:rsid w:val="2A0175CF"/>
    <w:rsid w:val="2A12EFB7"/>
    <w:rsid w:val="2A5C433F"/>
    <w:rsid w:val="2A69BEAA"/>
    <w:rsid w:val="2AC96BD8"/>
    <w:rsid w:val="2AD500DE"/>
    <w:rsid w:val="2AE5FEF7"/>
    <w:rsid w:val="2BB2C596"/>
    <w:rsid w:val="2BF813A0"/>
    <w:rsid w:val="2D41D075"/>
    <w:rsid w:val="2D9C3494"/>
    <w:rsid w:val="2DB624AF"/>
    <w:rsid w:val="2E0CA1A0"/>
    <w:rsid w:val="2E2F021E"/>
    <w:rsid w:val="2E3659BF"/>
    <w:rsid w:val="2E43FB9B"/>
    <w:rsid w:val="2EFA57E2"/>
    <w:rsid w:val="2F8A8930"/>
    <w:rsid w:val="2FDFCBFC"/>
    <w:rsid w:val="305D8B72"/>
    <w:rsid w:val="306CB8CF"/>
    <w:rsid w:val="30A2932B"/>
    <w:rsid w:val="30AD0BCC"/>
    <w:rsid w:val="30CB84C3"/>
    <w:rsid w:val="30EC43C5"/>
    <w:rsid w:val="31182814"/>
    <w:rsid w:val="314C9192"/>
    <w:rsid w:val="317B9C5D"/>
    <w:rsid w:val="321B6E0E"/>
    <w:rsid w:val="33556707"/>
    <w:rsid w:val="3358C8C8"/>
    <w:rsid w:val="34481BAE"/>
    <w:rsid w:val="34AB65C4"/>
    <w:rsid w:val="34AC59F7"/>
    <w:rsid w:val="3519F594"/>
    <w:rsid w:val="35589EFF"/>
    <w:rsid w:val="35BF137B"/>
    <w:rsid w:val="35EA57A2"/>
    <w:rsid w:val="35F8465D"/>
    <w:rsid w:val="35F8DBBA"/>
    <w:rsid w:val="363EFCD5"/>
    <w:rsid w:val="36473625"/>
    <w:rsid w:val="369BD48D"/>
    <w:rsid w:val="36A0350A"/>
    <w:rsid w:val="36B90095"/>
    <w:rsid w:val="3712BA65"/>
    <w:rsid w:val="37223F85"/>
    <w:rsid w:val="3770A1DB"/>
    <w:rsid w:val="378D9D4F"/>
    <w:rsid w:val="379416BE"/>
    <w:rsid w:val="3797AF89"/>
    <w:rsid w:val="37D02B31"/>
    <w:rsid w:val="38558A60"/>
    <w:rsid w:val="38899735"/>
    <w:rsid w:val="38DD5ADC"/>
    <w:rsid w:val="3977EF11"/>
    <w:rsid w:val="3986AE42"/>
    <w:rsid w:val="3AE0EC4B"/>
    <w:rsid w:val="3B3F1A4C"/>
    <w:rsid w:val="3B46CFE9"/>
    <w:rsid w:val="3C5369C0"/>
    <w:rsid w:val="3CE73DA3"/>
    <w:rsid w:val="3D398714"/>
    <w:rsid w:val="3D4C1A8A"/>
    <w:rsid w:val="3D4F6AA1"/>
    <w:rsid w:val="3DEF3A21"/>
    <w:rsid w:val="3E2ACEF7"/>
    <w:rsid w:val="3E5A1F65"/>
    <w:rsid w:val="3E830E04"/>
    <w:rsid w:val="3E992769"/>
    <w:rsid w:val="3EBA4885"/>
    <w:rsid w:val="3EDDB0D2"/>
    <w:rsid w:val="3EE7EAEB"/>
    <w:rsid w:val="3EFF9D1D"/>
    <w:rsid w:val="3F6A99AC"/>
    <w:rsid w:val="3FF5EFC6"/>
    <w:rsid w:val="400ABC39"/>
    <w:rsid w:val="409C99E1"/>
    <w:rsid w:val="40EE9A45"/>
    <w:rsid w:val="4162154E"/>
    <w:rsid w:val="42AB27D0"/>
    <w:rsid w:val="42C315B5"/>
    <w:rsid w:val="439349EB"/>
    <w:rsid w:val="44082B1E"/>
    <w:rsid w:val="442ABCCD"/>
    <w:rsid w:val="443CF932"/>
    <w:rsid w:val="4454BB0D"/>
    <w:rsid w:val="449108CD"/>
    <w:rsid w:val="44B4767D"/>
    <w:rsid w:val="44BC368B"/>
    <w:rsid w:val="452F1A4C"/>
    <w:rsid w:val="45596AB1"/>
    <w:rsid w:val="457C1F84"/>
    <w:rsid w:val="45CA4A1B"/>
    <w:rsid w:val="45DDABE4"/>
    <w:rsid w:val="460091CC"/>
    <w:rsid w:val="465806EC"/>
    <w:rsid w:val="465FAA3A"/>
    <w:rsid w:val="4932699C"/>
    <w:rsid w:val="4A041519"/>
    <w:rsid w:val="4A20A57F"/>
    <w:rsid w:val="4A4B8C02"/>
    <w:rsid w:val="4A980FBE"/>
    <w:rsid w:val="4AA38F96"/>
    <w:rsid w:val="4AEB4D27"/>
    <w:rsid w:val="4B001137"/>
    <w:rsid w:val="4B410DE7"/>
    <w:rsid w:val="4B774D26"/>
    <w:rsid w:val="4C8D4EE2"/>
    <w:rsid w:val="4CC64D17"/>
    <w:rsid w:val="4D9F3B3F"/>
    <w:rsid w:val="4DEA3937"/>
    <w:rsid w:val="4E82A1ED"/>
    <w:rsid w:val="4E9C81FB"/>
    <w:rsid w:val="4ED8B008"/>
    <w:rsid w:val="4F52C95D"/>
    <w:rsid w:val="4F60EC97"/>
    <w:rsid w:val="4FD80656"/>
    <w:rsid w:val="4FED6423"/>
    <w:rsid w:val="508A96C8"/>
    <w:rsid w:val="5141664E"/>
    <w:rsid w:val="52149018"/>
    <w:rsid w:val="53076163"/>
    <w:rsid w:val="5332F352"/>
    <w:rsid w:val="5341BAE7"/>
    <w:rsid w:val="536FF31E"/>
    <w:rsid w:val="5402F46E"/>
    <w:rsid w:val="54336D09"/>
    <w:rsid w:val="54473D87"/>
    <w:rsid w:val="54790710"/>
    <w:rsid w:val="549508B6"/>
    <w:rsid w:val="54B18DA0"/>
    <w:rsid w:val="5519974F"/>
    <w:rsid w:val="55539225"/>
    <w:rsid w:val="55BD9295"/>
    <w:rsid w:val="5630D917"/>
    <w:rsid w:val="565CA5A7"/>
    <w:rsid w:val="56733478"/>
    <w:rsid w:val="56AC3139"/>
    <w:rsid w:val="56E69587"/>
    <w:rsid w:val="57268335"/>
    <w:rsid w:val="5793BCE1"/>
    <w:rsid w:val="57CCA978"/>
    <w:rsid w:val="584BE1C9"/>
    <w:rsid w:val="58960367"/>
    <w:rsid w:val="58A090FF"/>
    <w:rsid w:val="58BA72F6"/>
    <w:rsid w:val="58C5BD16"/>
    <w:rsid w:val="58F53357"/>
    <w:rsid w:val="594C7833"/>
    <w:rsid w:val="597096B7"/>
    <w:rsid w:val="59E7B22A"/>
    <w:rsid w:val="5A8A9912"/>
    <w:rsid w:val="5B83828B"/>
    <w:rsid w:val="5B9D379C"/>
    <w:rsid w:val="5BBE62AB"/>
    <w:rsid w:val="5BC4C14F"/>
    <w:rsid w:val="5C4294CD"/>
    <w:rsid w:val="5C6B01DA"/>
    <w:rsid w:val="5CCFF4EC"/>
    <w:rsid w:val="5CD9CADC"/>
    <w:rsid w:val="5D1D071A"/>
    <w:rsid w:val="5D54137F"/>
    <w:rsid w:val="5D6091B0"/>
    <w:rsid w:val="5D9EE9BF"/>
    <w:rsid w:val="5DBC2A1D"/>
    <w:rsid w:val="5DC26DD6"/>
    <w:rsid w:val="5E96BFF9"/>
    <w:rsid w:val="5EB22422"/>
    <w:rsid w:val="5F57FA7E"/>
    <w:rsid w:val="6020C6F0"/>
    <w:rsid w:val="6054A7DC"/>
    <w:rsid w:val="60804224"/>
    <w:rsid w:val="60CB432C"/>
    <w:rsid w:val="60E8BC09"/>
    <w:rsid w:val="612CFDF3"/>
    <w:rsid w:val="613ADEC6"/>
    <w:rsid w:val="61609A2F"/>
    <w:rsid w:val="61BF10E8"/>
    <w:rsid w:val="6203526B"/>
    <w:rsid w:val="6203CE00"/>
    <w:rsid w:val="62AE54BC"/>
    <w:rsid w:val="62C31789"/>
    <w:rsid w:val="62F1B761"/>
    <w:rsid w:val="63C978BD"/>
    <w:rsid w:val="64776F75"/>
    <w:rsid w:val="64BA039D"/>
    <w:rsid w:val="64C6B33E"/>
    <w:rsid w:val="650F0D48"/>
    <w:rsid w:val="655F3E97"/>
    <w:rsid w:val="6614CFC0"/>
    <w:rsid w:val="663E51A0"/>
    <w:rsid w:val="674D6407"/>
    <w:rsid w:val="67CEB922"/>
    <w:rsid w:val="68AE233D"/>
    <w:rsid w:val="696EA4F0"/>
    <w:rsid w:val="69A1FB95"/>
    <w:rsid w:val="6A68D01A"/>
    <w:rsid w:val="6ACFF302"/>
    <w:rsid w:val="6B394567"/>
    <w:rsid w:val="6B40FC1F"/>
    <w:rsid w:val="6B9220D8"/>
    <w:rsid w:val="6C28A191"/>
    <w:rsid w:val="6C3816FB"/>
    <w:rsid w:val="6C4119C5"/>
    <w:rsid w:val="6C4AE569"/>
    <w:rsid w:val="6CA2186C"/>
    <w:rsid w:val="6D584461"/>
    <w:rsid w:val="6DBCA58B"/>
    <w:rsid w:val="6DDA3B6D"/>
    <w:rsid w:val="6F7310C1"/>
    <w:rsid w:val="6FA36425"/>
    <w:rsid w:val="6FE4CC42"/>
    <w:rsid w:val="7025BCFA"/>
    <w:rsid w:val="705167FB"/>
    <w:rsid w:val="707B2021"/>
    <w:rsid w:val="70AC7817"/>
    <w:rsid w:val="71458152"/>
    <w:rsid w:val="71759B68"/>
    <w:rsid w:val="72037C80"/>
    <w:rsid w:val="720FBFC5"/>
    <w:rsid w:val="72121CFB"/>
    <w:rsid w:val="725B2BA4"/>
    <w:rsid w:val="73367AF9"/>
    <w:rsid w:val="745AEB5F"/>
    <w:rsid w:val="74DD3634"/>
    <w:rsid w:val="754B6C59"/>
    <w:rsid w:val="75C8B48A"/>
    <w:rsid w:val="75DD9363"/>
    <w:rsid w:val="765DCD88"/>
    <w:rsid w:val="76AB9414"/>
    <w:rsid w:val="771A2E49"/>
    <w:rsid w:val="779B9C09"/>
    <w:rsid w:val="7870BD24"/>
    <w:rsid w:val="78F91B25"/>
    <w:rsid w:val="7A32AC9E"/>
    <w:rsid w:val="7A6804EE"/>
    <w:rsid w:val="7ACA3100"/>
    <w:rsid w:val="7AD32025"/>
    <w:rsid w:val="7B1A79FA"/>
    <w:rsid w:val="7B26217F"/>
    <w:rsid w:val="7B9829BA"/>
    <w:rsid w:val="7B9CD9F3"/>
    <w:rsid w:val="7BA1BBF1"/>
    <w:rsid w:val="7BA988F8"/>
    <w:rsid w:val="7C4CD4E7"/>
    <w:rsid w:val="7C660161"/>
    <w:rsid w:val="7CBD54F9"/>
    <w:rsid w:val="7CDE5541"/>
    <w:rsid w:val="7D54E7D1"/>
    <w:rsid w:val="7DC258A2"/>
    <w:rsid w:val="7E21DEF8"/>
    <w:rsid w:val="7E31C82F"/>
    <w:rsid w:val="7E3939D3"/>
    <w:rsid w:val="7EB55373"/>
    <w:rsid w:val="7FA691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3526B"/>
  <w15:chartTrackingRefBased/>
  <w15:docId w15:val="{B6368938-8EC9-45BC-9955-0327399571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C8D4EE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C8D4EE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C8D4EE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C8D4EE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C8D4EE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C8D4EE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C8D4EE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C8D4EE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C8D4EE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C8D4EE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C8D4EE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C8D4EE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C8D4EE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C8D4EE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C8D4EE2"/>
    <w:pPr>
      <w:spacing/>
      <w:ind w:left="720"/>
      <w:contextualSpacing/>
    </w:pPr>
  </w:style>
  <w:style w:type="character" w:styleId="Heading1Char" w:customStyle="true">
    <w:uiPriority w:val="9"/>
    <w:name w:val="Heading 1 Char"/>
    <w:basedOn w:val="DefaultParagraphFont"/>
    <w:link w:val="Heading1"/>
    <w:rsid w:val="4C8D4EE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C8D4EE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C8D4EE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C8D4EE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C8D4EE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C8D4EE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C8D4EE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C8D4EE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C8D4EE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C8D4EE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C8D4EE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C8D4EE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C8D4EE2"/>
    <w:rPr>
      <w:i w:val="1"/>
      <w:iCs w:val="1"/>
      <w:noProof w:val="0"/>
      <w:color w:val="4472C4" w:themeColor="accent1" w:themeTint="FF" w:themeShade="FF"/>
      <w:lang w:val="en-GB"/>
    </w:rPr>
  </w:style>
  <w:style w:type="paragraph" w:styleId="TOC1">
    <w:uiPriority w:val="39"/>
    <w:name w:val="toc 1"/>
    <w:basedOn w:val="Normal"/>
    <w:next w:val="Normal"/>
    <w:unhideWhenUsed/>
    <w:rsid w:val="4C8D4EE2"/>
    <w:pPr>
      <w:spacing w:after="100"/>
    </w:pPr>
  </w:style>
  <w:style w:type="paragraph" w:styleId="TOC2">
    <w:uiPriority w:val="39"/>
    <w:name w:val="toc 2"/>
    <w:basedOn w:val="Normal"/>
    <w:next w:val="Normal"/>
    <w:unhideWhenUsed/>
    <w:rsid w:val="4C8D4EE2"/>
    <w:pPr>
      <w:spacing w:after="100"/>
      <w:ind w:left="220"/>
    </w:pPr>
  </w:style>
  <w:style w:type="paragraph" w:styleId="TOC3">
    <w:uiPriority w:val="39"/>
    <w:name w:val="toc 3"/>
    <w:basedOn w:val="Normal"/>
    <w:next w:val="Normal"/>
    <w:unhideWhenUsed/>
    <w:rsid w:val="4C8D4EE2"/>
    <w:pPr>
      <w:spacing w:after="100"/>
      <w:ind w:left="440"/>
    </w:pPr>
  </w:style>
  <w:style w:type="paragraph" w:styleId="TOC4">
    <w:uiPriority w:val="39"/>
    <w:name w:val="toc 4"/>
    <w:basedOn w:val="Normal"/>
    <w:next w:val="Normal"/>
    <w:unhideWhenUsed/>
    <w:rsid w:val="4C8D4EE2"/>
    <w:pPr>
      <w:spacing w:after="100"/>
      <w:ind w:left="660"/>
    </w:pPr>
  </w:style>
  <w:style w:type="paragraph" w:styleId="TOC5">
    <w:uiPriority w:val="39"/>
    <w:name w:val="toc 5"/>
    <w:basedOn w:val="Normal"/>
    <w:next w:val="Normal"/>
    <w:unhideWhenUsed/>
    <w:rsid w:val="4C8D4EE2"/>
    <w:pPr>
      <w:spacing w:after="100"/>
      <w:ind w:left="880"/>
    </w:pPr>
  </w:style>
  <w:style w:type="paragraph" w:styleId="TOC6">
    <w:uiPriority w:val="39"/>
    <w:name w:val="toc 6"/>
    <w:basedOn w:val="Normal"/>
    <w:next w:val="Normal"/>
    <w:unhideWhenUsed/>
    <w:rsid w:val="4C8D4EE2"/>
    <w:pPr>
      <w:spacing w:after="100"/>
      <w:ind w:left="1100"/>
    </w:pPr>
  </w:style>
  <w:style w:type="paragraph" w:styleId="TOC7">
    <w:uiPriority w:val="39"/>
    <w:name w:val="toc 7"/>
    <w:basedOn w:val="Normal"/>
    <w:next w:val="Normal"/>
    <w:unhideWhenUsed/>
    <w:rsid w:val="4C8D4EE2"/>
    <w:pPr>
      <w:spacing w:after="100"/>
      <w:ind w:left="1320"/>
    </w:pPr>
  </w:style>
  <w:style w:type="paragraph" w:styleId="TOC8">
    <w:uiPriority w:val="39"/>
    <w:name w:val="toc 8"/>
    <w:basedOn w:val="Normal"/>
    <w:next w:val="Normal"/>
    <w:unhideWhenUsed/>
    <w:rsid w:val="4C8D4EE2"/>
    <w:pPr>
      <w:spacing w:after="100"/>
      <w:ind w:left="1540"/>
    </w:pPr>
  </w:style>
  <w:style w:type="paragraph" w:styleId="TOC9">
    <w:uiPriority w:val="39"/>
    <w:name w:val="toc 9"/>
    <w:basedOn w:val="Normal"/>
    <w:next w:val="Normal"/>
    <w:unhideWhenUsed/>
    <w:rsid w:val="4C8D4EE2"/>
    <w:pPr>
      <w:spacing w:after="100"/>
      <w:ind w:left="1760"/>
    </w:pPr>
  </w:style>
  <w:style w:type="paragraph" w:styleId="EndnoteText">
    <w:uiPriority w:val="99"/>
    <w:name w:val="endnote text"/>
    <w:basedOn w:val="Normal"/>
    <w:semiHidden/>
    <w:unhideWhenUsed/>
    <w:link w:val="EndnoteTextChar"/>
    <w:rsid w:val="4C8D4EE2"/>
    <w:rPr>
      <w:sz w:val="20"/>
      <w:szCs w:val="20"/>
    </w:rPr>
    <w:pPr>
      <w:spacing w:after="0"/>
    </w:pPr>
  </w:style>
  <w:style w:type="character" w:styleId="EndnoteTextChar" w:customStyle="true">
    <w:uiPriority w:val="99"/>
    <w:name w:val="Endnote Text Char"/>
    <w:basedOn w:val="DefaultParagraphFont"/>
    <w:semiHidden/>
    <w:link w:val="EndnoteText"/>
    <w:rsid w:val="4C8D4EE2"/>
    <w:rPr>
      <w:noProof w:val="0"/>
      <w:sz w:val="20"/>
      <w:szCs w:val="20"/>
      <w:lang w:val="en-GB"/>
    </w:rPr>
  </w:style>
  <w:style w:type="paragraph" w:styleId="Footer">
    <w:uiPriority w:val="99"/>
    <w:name w:val="footer"/>
    <w:basedOn w:val="Normal"/>
    <w:unhideWhenUsed/>
    <w:link w:val="FooterChar"/>
    <w:rsid w:val="4C8D4EE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C8D4EE2"/>
    <w:rPr>
      <w:noProof w:val="0"/>
      <w:lang w:val="en-GB"/>
    </w:rPr>
  </w:style>
  <w:style w:type="paragraph" w:styleId="FootnoteText">
    <w:uiPriority w:val="99"/>
    <w:name w:val="footnote text"/>
    <w:basedOn w:val="Normal"/>
    <w:semiHidden/>
    <w:unhideWhenUsed/>
    <w:link w:val="FootnoteTextChar"/>
    <w:rsid w:val="4C8D4EE2"/>
    <w:rPr>
      <w:sz w:val="20"/>
      <w:szCs w:val="20"/>
    </w:rPr>
    <w:pPr>
      <w:spacing w:after="0"/>
    </w:pPr>
  </w:style>
  <w:style w:type="character" w:styleId="FootnoteTextChar" w:customStyle="true">
    <w:uiPriority w:val="99"/>
    <w:name w:val="Footnote Text Char"/>
    <w:basedOn w:val="DefaultParagraphFont"/>
    <w:semiHidden/>
    <w:link w:val="FootnoteText"/>
    <w:rsid w:val="4C8D4EE2"/>
    <w:rPr>
      <w:noProof w:val="0"/>
      <w:sz w:val="20"/>
      <w:szCs w:val="20"/>
      <w:lang w:val="en-GB"/>
    </w:rPr>
  </w:style>
  <w:style w:type="paragraph" w:styleId="Header">
    <w:uiPriority w:val="99"/>
    <w:name w:val="header"/>
    <w:basedOn w:val="Normal"/>
    <w:unhideWhenUsed/>
    <w:link w:val="HeaderChar"/>
    <w:rsid w:val="4C8D4EE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C8D4EE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03c687c872b4db6" /><Relationship Type="http://schemas.openxmlformats.org/officeDocument/2006/relationships/hyperlink" Target="https://digestiblenotes.com/law/criminal_cases/diminished_responsibility.php" TargetMode="External" Id="Rfa6e9e03aa954c3a" /><Relationship Type="http://schemas.openxmlformats.org/officeDocument/2006/relationships/hyperlink" Target="https://journals-sagepub-com.ezproxy.uwtsd.ac.uk/doi/full/10.1177/1462474513504797" TargetMode="External" Id="R26f3c778f5c04d3c" /><Relationship Type="http://schemas.openxmlformats.org/officeDocument/2006/relationships/hyperlink" Target="http://e-lawresources.co.uk/Mens-rea-intention.php" TargetMode="External" Id="Rec4ca07104c6463f" /><Relationship Type="http://schemas.openxmlformats.org/officeDocument/2006/relationships/hyperlink" Target="https://legaldictionary.net/actus-reus/?utm_content=cmp-true" TargetMode="External" Id="R82c4f57ec2334459" /><Relationship Type="http://schemas.openxmlformats.org/officeDocument/2006/relationships/hyperlink" Target="https://www.legislation.gov.uk/ukpga/Eliz2/5-6/11/section/2/1991-02-01" TargetMode="External" Id="Rf1b9a1b0c9664b7e" /><Relationship Type="http://schemas.openxmlformats.org/officeDocument/2006/relationships/hyperlink" Target="https://www.mentalhealthlaw.co.uk/Category:Diminished_responsibility_cases" TargetMode="External" Id="Rbd9bdca3a6cc435c" /><Relationship Type="http://schemas.openxmlformats.org/officeDocument/2006/relationships/hyperlink" Target="https://www.mentalhealthlaw.co.uk/Category:Diminished_responsibility_cases" TargetMode="External" Id="R2a5b379064ed41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2023-03-02T11:47:41.0723708Z</dcterms:created>
  <dcterms:modified xsi:type="dcterms:W3CDTF">2023-03-10T19:00:24.1802111Z</dcterms:modified>
  <dc:creator>Brad Jones (2219978)</dc:creator>
  <lastModifiedBy>Brad Jones (2219978)</lastModifiedBy>
</coreProperties>
</file>