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3438" w:rsidRDefault="00B14766" w:rsidP="00F23438">
      <w:pPr>
        <w:pStyle w:val="NormalWeb"/>
        <w:rPr>
          <w:color w:val="000000"/>
          <w:sz w:val="27"/>
          <w:szCs w:val="27"/>
        </w:rPr>
      </w:pPr>
      <w:r>
        <w:rPr>
          <w:color w:val="000000"/>
          <w:sz w:val="27"/>
          <w:szCs w:val="27"/>
        </w:rPr>
        <w:t xml:space="preserve">MODULE CODE: </w:t>
      </w:r>
      <w:bookmarkStart w:id="0" w:name="_GoBack"/>
      <w:bookmarkEnd w:id="0"/>
    </w:p>
    <w:p w:rsidR="00F23438" w:rsidRDefault="00F23438" w:rsidP="00F23438">
      <w:pPr>
        <w:pStyle w:val="NormalWeb"/>
        <w:rPr>
          <w:color w:val="000000"/>
          <w:sz w:val="27"/>
          <w:szCs w:val="27"/>
        </w:rPr>
      </w:pPr>
      <w:r>
        <w:rPr>
          <w:color w:val="000000"/>
          <w:sz w:val="27"/>
          <w:szCs w:val="27"/>
        </w:rPr>
        <w:t>DEVELOPING AND SUPPORTING EARLY CHILDHOOD PHYSICAL DEVELOPMENT</w:t>
      </w:r>
    </w:p>
    <w:p w:rsidR="00F23438" w:rsidRPr="00F23438" w:rsidRDefault="00F23438" w:rsidP="00F23438">
      <w:pPr>
        <w:pStyle w:val="NormalWeb"/>
        <w:rPr>
          <w:sz w:val="27"/>
          <w:szCs w:val="27"/>
        </w:rPr>
      </w:pPr>
      <w:r w:rsidRPr="00F23438">
        <w:rPr>
          <w:rStyle w:val="Strong"/>
          <w:sz w:val="27"/>
          <w:szCs w:val="27"/>
        </w:rPr>
        <w:t>Introduction</w:t>
      </w:r>
      <w:r w:rsidRPr="00F23438">
        <w:rPr>
          <w:sz w:val="27"/>
          <w:szCs w:val="27"/>
        </w:rPr>
        <w:br/>
        <w:t xml:space="preserve">Parkland Primary School is a two-form entry institution located in Swansea, South Wales, and currently educates 615 pupils. According to </w:t>
      </w:r>
      <w:proofErr w:type="spellStart"/>
      <w:r w:rsidRPr="00F23438">
        <w:rPr>
          <w:sz w:val="27"/>
          <w:szCs w:val="27"/>
        </w:rPr>
        <w:t>Estyn</w:t>
      </w:r>
      <w:proofErr w:type="spellEnd"/>
      <w:r w:rsidRPr="00F23438">
        <w:rPr>
          <w:sz w:val="27"/>
          <w:szCs w:val="27"/>
        </w:rPr>
        <w:t xml:space="preserve"> (2023, p.4), it is described as a lively and nurturing environment where learners flourish, with a strong commitment to inclusivity, particularly for those with additional learning needs (ALN), ensuring all pupils feel secure, content, and prepared to engage in learning. I am currently employed within the Year 3 and 4 teaching phase, working with approximately 150 pupils aged between seven and nine. I have been based in this phase for the past four years (</w:t>
      </w:r>
      <w:hyperlink r:id="rId4" w:anchor="0" w:tgtFrame="_new" w:history="1">
        <w:r w:rsidRPr="00F23438">
          <w:rPr>
            <w:rStyle w:val="Hyperlink"/>
            <w:sz w:val="27"/>
            <w:szCs w:val="27"/>
          </w:rPr>
          <w:t>My Local School, 2023</w:t>
        </w:r>
      </w:hyperlink>
      <w:r w:rsidRPr="00F23438">
        <w:rPr>
          <w:sz w:val="27"/>
          <w:szCs w:val="27"/>
        </w:rPr>
        <w:t>).</w:t>
      </w:r>
    </w:p>
    <w:p w:rsidR="00F23438" w:rsidRPr="00F23438" w:rsidRDefault="00F23438" w:rsidP="00F23438">
      <w:pPr>
        <w:pStyle w:val="NormalWeb"/>
        <w:rPr>
          <w:sz w:val="27"/>
          <w:szCs w:val="27"/>
        </w:rPr>
      </w:pPr>
      <w:r w:rsidRPr="00F23438">
        <w:rPr>
          <w:sz w:val="27"/>
          <w:szCs w:val="27"/>
        </w:rPr>
        <w:t>Wainwright et al. (2018) highlight the advantages of adopting a play-based approach in fostering physical literacy and integrating its core principles. However, the structure of the year groups I work with tends to reflect the more conventional Key Stage 2 model, which may hinder the effective development of physical literacy if foundational skills were not emphasised earlier on. Early engagement in such skills is essential, as noted by Whitehead (2019), in cultivating motivation, and is aligned with Clark and Metcalfe’s (2002) concept of the “mountain of motor development,” which underscores the progressive nature of physical skill acquisition.</w:t>
      </w:r>
    </w:p>
    <w:p w:rsidR="00F23438" w:rsidRPr="00F23438" w:rsidRDefault="00F23438" w:rsidP="00F23438">
      <w:pPr>
        <w:pStyle w:val="NormalWeb"/>
        <w:rPr>
          <w:sz w:val="27"/>
          <w:szCs w:val="27"/>
        </w:rPr>
      </w:pPr>
      <w:r w:rsidRPr="00F23438">
        <w:rPr>
          <w:sz w:val="27"/>
          <w:szCs w:val="27"/>
        </w:rPr>
        <w:t>As part of this reflective journal, I will explore the concept of physical literacy, examining how it is implemented within my educational setting and drawing upon relevant academic literature to support my observations. Gardner (2017) defines physical literacy as the ability to move proficiently and confidently across a diverse range of physical activities. Whitehead (2019) raises an important discussion about the term ‘physical literacy,’ questioning whether it accurately represents an individual’s physical capability, as opposed to simply suggesting athletic competence, a distinction also noted in earlier work (Whitehead, 2010, p.5). Physical literacy encompasses more than just the acquisition of fundamental movement skills; it also involves recognising the broader significance of regular physical activity in everyday life (</w:t>
      </w:r>
      <w:proofErr w:type="spellStart"/>
      <w:r w:rsidRPr="00F23438">
        <w:rPr>
          <w:sz w:val="27"/>
          <w:szCs w:val="27"/>
        </w:rPr>
        <w:t>Stodden</w:t>
      </w:r>
      <w:proofErr w:type="spellEnd"/>
      <w:r w:rsidRPr="00F23438">
        <w:rPr>
          <w:sz w:val="27"/>
          <w:szCs w:val="27"/>
        </w:rPr>
        <w:t xml:space="preserve"> et al., 2008). The work of Diamond (2000) and Iverson (2010) further supports this notion by highlighting the critical role of movement during childhood in achieving developmental milestones—emotional, social, and cognitive. This aligns with Whitehead’s (2019) perspective that physical literacy contributes to enhanced interaction across various domains, reinforcing its broader educational value.</w:t>
      </w:r>
    </w:p>
    <w:p w:rsidR="00F23438" w:rsidRDefault="00F23438" w:rsidP="00F23438">
      <w:pPr>
        <w:pStyle w:val="NormalWeb"/>
        <w:rPr>
          <w:sz w:val="27"/>
          <w:szCs w:val="27"/>
        </w:rPr>
      </w:pPr>
      <w:r w:rsidRPr="00F23438">
        <w:rPr>
          <w:sz w:val="27"/>
          <w:szCs w:val="27"/>
        </w:rPr>
        <w:t xml:space="preserve">This aligns with Donaldson’s (2015) vision of fostering "healthy, confident individuals" as one of the four core purposes outlined in the Curriculum for Wales 2022. These values suggest that physical literacy should be seamlessly integrated </w:t>
      </w:r>
      <w:r w:rsidRPr="00F23438">
        <w:rPr>
          <w:sz w:val="27"/>
          <w:szCs w:val="27"/>
        </w:rPr>
        <w:lastRenderedPageBreak/>
        <w:t>into teaching and learning through purposeful, everyday experiences. However, a counterpoint could be made that Donaldson (2015) does not explicitly emphasise the practical application or prioritisation of physical literacy as distinct from traditional physical education (</w:t>
      </w:r>
      <w:proofErr w:type="spellStart"/>
      <w:r w:rsidRPr="00F23438">
        <w:rPr>
          <w:sz w:val="27"/>
          <w:szCs w:val="27"/>
        </w:rPr>
        <w:t>Dauncey</w:t>
      </w:r>
      <w:proofErr w:type="spellEnd"/>
      <w:r w:rsidRPr="00F23438">
        <w:rPr>
          <w:sz w:val="27"/>
          <w:szCs w:val="27"/>
        </w:rPr>
        <w:t xml:space="preserve">, 2015). </w:t>
      </w:r>
      <w:proofErr w:type="spellStart"/>
      <w:r w:rsidRPr="00F23438">
        <w:rPr>
          <w:sz w:val="27"/>
          <w:szCs w:val="27"/>
        </w:rPr>
        <w:t>Dauncey</w:t>
      </w:r>
      <w:proofErr w:type="spellEnd"/>
      <w:r w:rsidRPr="00F23438">
        <w:rPr>
          <w:sz w:val="27"/>
          <w:szCs w:val="27"/>
        </w:rPr>
        <w:t xml:space="preserve"> (2015) further critiques the omission of physical literacy from the list of mandatory cross-curricular responsibilities, arguing that it lacks the equivalent emphasis afforded to other key areas.</w:t>
      </w:r>
    </w:p>
    <w:p w:rsidR="00F23438" w:rsidRPr="00B14766" w:rsidRDefault="00F23438" w:rsidP="00F23438">
      <w:pPr>
        <w:pStyle w:val="NormalWeb"/>
        <w:rPr>
          <w:sz w:val="27"/>
          <w:szCs w:val="27"/>
        </w:rPr>
      </w:pPr>
      <w:r w:rsidRPr="00F23438">
        <w:rPr>
          <w:rStyle w:val="Strong"/>
          <w:sz w:val="27"/>
          <w:szCs w:val="27"/>
        </w:rPr>
        <w:t>Reflective Cycles</w:t>
      </w:r>
      <w:r w:rsidRPr="00F23438">
        <w:rPr>
          <w:sz w:val="27"/>
          <w:szCs w:val="27"/>
        </w:rPr>
        <w:br/>
      </w:r>
      <w:r w:rsidR="00B14766">
        <w:rPr>
          <w:sz w:val="27"/>
          <w:szCs w:val="27"/>
        </w:rPr>
        <w:t xml:space="preserve">Drawing upon relevant </w:t>
      </w:r>
      <w:r w:rsidRPr="00F23438">
        <w:rPr>
          <w:sz w:val="27"/>
          <w:szCs w:val="27"/>
        </w:rPr>
        <w:t xml:space="preserve">research, this journal will critically evaluate the teaching and learning of brief physical literacy sessions, specifically targeting the skills of overarm throwing and catching. </w:t>
      </w:r>
      <w:proofErr w:type="spellStart"/>
      <w:r w:rsidRPr="00F23438">
        <w:rPr>
          <w:sz w:val="27"/>
          <w:szCs w:val="27"/>
        </w:rPr>
        <w:t>Goodway</w:t>
      </w:r>
      <w:proofErr w:type="spellEnd"/>
      <w:r w:rsidRPr="00F23438">
        <w:rPr>
          <w:sz w:val="27"/>
          <w:szCs w:val="27"/>
        </w:rPr>
        <w:t xml:space="preserve"> and </w:t>
      </w:r>
      <w:proofErr w:type="spellStart"/>
      <w:r w:rsidRPr="00F23438">
        <w:rPr>
          <w:sz w:val="27"/>
          <w:szCs w:val="27"/>
        </w:rPr>
        <w:t>Branta</w:t>
      </w:r>
      <w:proofErr w:type="spellEnd"/>
      <w:r w:rsidRPr="00F23438">
        <w:rPr>
          <w:sz w:val="27"/>
          <w:szCs w:val="27"/>
        </w:rPr>
        <w:t xml:space="preserve"> (2003) advocate for structured instruction in fundamental motor skills (FMS), rather than relying solely on their development through unstructured play. In line with Donaldson’s (2015) emphasis on cultivating reflective practitioners, such critical reflection is essential for enhancing and evolving pedagogical practice.</w:t>
      </w:r>
    </w:p>
    <w:p w:rsidR="00F23438" w:rsidRPr="00F23438" w:rsidRDefault="00F23438" w:rsidP="00F23438">
      <w:pPr>
        <w:pStyle w:val="NormalWeb"/>
        <w:rPr>
          <w:sz w:val="27"/>
          <w:szCs w:val="27"/>
        </w:rPr>
      </w:pPr>
      <w:r w:rsidRPr="00F23438">
        <w:rPr>
          <w:rStyle w:val="Strong"/>
          <w:sz w:val="27"/>
          <w:szCs w:val="27"/>
        </w:rPr>
        <w:t>Reflective Cycle 1 – Catching</w:t>
      </w:r>
      <w:r w:rsidRPr="00F23438">
        <w:rPr>
          <w:sz w:val="27"/>
          <w:szCs w:val="27"/>
        </w:rPr>
        <w:br/>
        <w:t xml:space="preserve">The initial session was designed to focus on developing pupils' catching abilities. A total of 12 children, aged 7 and 8, participated in the 15-minute activity, which was delivered in the school hall. The chosen game, 'Me to You', involved pupils working in pairs, standing opposite one another and using a variety of equipment such as soft balls, scarves, and </w:t>
      </w:r>
      <w:proofErr w:type="spellStart"/>
      <w:r w:rsidRPr="00F23438">
        <w:rPr>
          <w:sz w:val="27"/>
          <w:szCs w:val="27"/>
        </w:rPr>
        <w:t>pom</w:t>
      </w:r>
      <w:proofErr w:type="spellEnd"/>
      <w:r w:rsidRPr="00F23438">
        <w:rPr>
          <w:sz w:val="27"/>
          <w:szCs w:val="27"/>
        </w:rPr>
        <w:t xml:space="preserve"> </w:t>
      </w:r>
      <w:proofErr w:type="spellStart"/>
      <w:r w:rsidRPr="00F23438">
        <w:rPr>
          <w:sz w:val="27"/>
          <w:szCs w:val="27"/>
        </w:rPr>
        <w:t>poms</w:t>
      </w:r>
      <w:proofErr w:type="spellEnd"/>
      <w:r w:rsidRPr="00F23438">
        <w:rPr>
          <w:sz w:val="27"/>
          <w:szCs w:val="27"/>
        </w:rPr>
        <w:t>.</w:t>
      </w:r>
    </w:p>
    <w:p w:rsidR="00F23438" w:rsidRPr="00F23438" w:rsidRDefault="00F23438" w:rsidP="00F23438">
      <w:pPr>
        <w:pStyle w:val="NormalWeb"/>
        <w:rPr>
          <w:sz w:val="27"/>
          <w:szCs w:val="27"/>
        </w:rPr>
      </w:pPr>
      <w:r w:rsidRPr="00F23438">
        <w:rPr>
          <w:sz w:val="27"/>
          <w:szCs w:val="27"/>
        </w:rPr>
        <w:t xml:space="preserve">The main goal was to improve the learners' catching skills. To support this, I introduced clear success criteria: placing hands together appropriately, tracking the object, reaching out to meet the ball, and accurately throwing to a target. Presenting these expectations helped reinforce the learning intentions, consistent with the 'Assessment for Learning' principles discussed by Black and </w:t>
      </w:r>
      <w:proofErr w:type="spellStart"/>
      <w:r w:rsidRPr="00F23438">
        <w:rPr>
          <w:sz w:val="27"/>
          <w:szCs w:val="27"/>
        </w:rPr>
        <w:t>Wiliam</w:t>
      </w:r>
      <w:proofErr w:type="spellEnd"/>
      <w:r w:rsidRPr="00F23438">
        <w:rPr>
          <w:sz w:val="27"/>
          <w:szCs w:val="27"/>
        </w:rPr>
        <w:t xml:space="preserve"> (2001), and echoed in Donaldson’s (2015) pedagogical approach.</w:t>
      </w:r>
    </w:p>
    <w:p w:rsidR="00F23438" w:rsidRPr="00F23438" w:rsidRDefault="00F23438" w:rsidP="00F23438">
      <w:pPr>
        <w:pStyle w:val="NormalWeb"/>
        <w:rPr>
          <w:sz w:val="27"/>
          <w:szCs w:val="27"/>
        </w:rPr>
      </w:pPr>
      <w:r w:rsidRPr="00F23438">
        <w:rPr>
          <w:sz w:val="27"/>
          <w:szCs w:val="27"/>
        </w:rPr>
        <w:t>Given the mixed abilities within the group, differentiation was key. Ongoing assessment allowed me to adapt the activity in real-time. For those who required additional support, I recommended moving closer to their partner and using larger or slower-moving equipment, such as scarves. These adaptations reflect Haywood and Getchell’s (2019) emphasis on adjusting conditions to foster skill development.</w:t>
      </w:r>
      <w:r w:rsidR="009B3C87">
        <w:rPr>
          <w:sz w:val="27"/>
          <w:szCs w:val="27"/>
        </w:rPr>
        <w:t xml:space="preserve"> </w:t>
      </w:r>
      <w:r w:rsidR="009B3C87" w:rsidRPr="009B3C87">
        <w:rPr>
          <w:sz w:val="27"/>
          <w:szCs w:val="27"/>
        </w:rPr>
        <w:t xml:space="preserve">Adjusting the conditions of the activity was essential to help children experience a sense of achievement, reflecting Clark and Metcalfe’s (2002) concept of progressing from foundational skills toward mastery. This approach aligns with </w:t>
      </w:r>
      <w:proofErr w:type="spellStart"/>
      <w:r w:rsidR="009B3C87" w:rsidRPr="009B3C87">
        <w:rPr>
          <w:sz w:val="27"/>
          <w:szCs w:val="27"/>
        </w:rPr>
        <w:t>Seefeldt’s</w:t>
      </w:r>
      <w:proofErr w:type="spellEnd"/>
      <w:r w:rsidR="009B3C87" w:rsidRPr="009B3C87">
        <w:rPr>
          <w:sz w:val="27"/>
          <w:szCs w:val="27"/>
        </w:rPr>
        <w:t xml:space="preserve"> (1980) model, which emphasizes that children need to develop competence in basic skills before participating fully in more complex physical activities. Pupils who demonstrated stronger catching abilities were encouraged to increase the distance between partners and use smaller objects such as balls or </w:t>
      </w:r>
      <w:proofErr w:type="spellStart"/>
      <w:r w:rsidR="009B3C87" w:rsidRPr="009B3C87">
        <w:rPr>
          <w:sz w:val="27"/>
          <w:szCs w:val="27"/>
        </w:rPr>
        <w:t>pom</w:t>
      </w:r>
      <w:proofErr w:type="spellEnd"/>
      <w:r w:rsidR="009B3C87" w:rsidRPr="009B3C87">
        <w:rPr>
          <w:sz w:val="27"/>
          <w:szCs w:val="27"/>
        </w:rPr>
        <w:t xml:space="preserve"> </w:t>
      </w:r>
      <w:proofErr w:type="spellStart"/>
      <w:r w:rsidR="009B3C87" w:rsidRPr="009B3C87">
        <w:rPr>
          <w:sz w:val="27"/>
          <w:szCs w:val="27"/>
        </w:rPr>
        <w:t>poms</w:t>
      </w:r>
      <w:proofErr w:type="spellEnd"/>
      <w:r w:rsidR="009B3C87" w:rsidRPr="009B3C87">
        <w:rPr>
          <w:sz w:val="27"/>
          <w:szCs w:val="27"/>
        </w:rPr>
        <w:t xml:space="preserve">. Using the framework from </w:t>
      </w:r>
      <w:proofErr w:type="spellStart"/>
      <w:r w:rsidR="009B3C87" w:rsidRPr="009B3C87">
        <w:rPr>
          <w:sz w:val="27"/>
          <w:szCs w:val="27"/>
        </w:rPr>
        <w:t>Goodway</w:t>
      </w:r>
      <w:proofErr w:type="spellEnd"/>
      <w:r w:rsidR="009B3C87" w:rsidRPr="009B3C87">
        <w:rPr>
          <w:sz w:val="27"/>
          <w:szCs w:val="27"/>
        </w:rPr>
        <w:t xml:space="preserve"> et al. (2019) on the ‘Developmental </w:t>
      </w:r>
      <w:r w:rsidR="009B3C87" w:rsidRPr="009B3C87">
        <w:rPr>
          <w:sz w:val="27"/>
          <w:szCs w:val="27"/>
        </w:rPr>
        <w:lastRenderedPageBreak/>
        <w:t>Stages of Five Object Control Skills,’ these children were evaluated at stages 4 and 5 in their catching proficiency.</w:t>
      </w:r>
    </w:p>
    <w:p w:rsidR="00F23438" w:rsidRDefault="009B3C87" w:rsidP="00F23438">
      <w:pPr>
        <w:pStyle w:val="NormalWeb"/>
        <w:rPr>
          <w:sz w:val="27"/>
          <w:szCs w:val="27"/>
        </w:rPr>
      </w:pPr>
      <w:r w:rsidRPr="009B3C87">
        <w:rPr>
          <w:sz w:val="27"/>
          <w:szCs w:val="27"/>
        </w:rPr>
        <w:t>Looking back, the children grasped the key concept and mostly met the objective, experiencing many small successes along the way. They responded well to the feedback provided during the session. However, in hindsight, incorporating both self-assessment and peer-assessment could have deepened their understanding and reflection on the learning goal (Black and William, 2001). On a positive note, most of the equipment used was suitable, particularly for differentiation and adjusting task constraints to support individual learners. At the start, allowing children to choose their own equipment helped me identify who needed additional support with using either larger or smaller items to succeed. Reflectively, I feel my warm-up lacked sufficient questioning related to movement skills that could have better supported their progress. These might have included transitional movements, such as encouraging them to move beyond their designated ‘x zone.’ Furthermore, inspired by the work of Clark &amp; Metcalfe (2003), Haywood &amp; Getchell (2005), and Ayres (2005), I realize I could have adapted the game’s constraints beforehand to increase fun and engagement. For instance, moving back two steps after 10 successful catches, stepping forward after three drops, or requiring proficient catchers to catch only outside the ‘x zone’ could have added challenge and variety. I believe these modifications would have enhanced engagement and offered a more appropriate level of difficulty for all participants.</w:t>
      </w:r>
    </w:p>
    <w:p w:rsidR="009B3C87" w:rsidRDefault="009B3C87" w:rsidP="00F23438">
      <w:pPr>
        <w:pStyle w:val="NormalWeb"/>
        <w:rPr>
          <w:sz w:val="27"/>
          <w:szCs w:val="27"/>
        </w:rPr>
      </w:pPr>
      <w:r w:rsidRPr="009B3C87">
        <w:rPr>
          <w:rStyle w:val="Strong"/>
          <w:sz w:val="27"/>
          <w:szCs w:val="27"/>
        </w:rPr>
        <w:t>Reflective Cycle 2 – Throwing</w:t>
      </w:r>
      <w:r w:rsidRPr="009B3C87">
        <w:rPr>
          <w:sz w:val="27"/>
          <w:szCs w:val="27"/>
        </w:rPr>
        <w:br/>
        <w:t xml:space="preserve">The focus of the second session was on developing overarm throwing skills, using an activity called “power throw.” To provide context, 10 children aged 7 and 8 participated in a roughly 15-minute session held in the school hall. During the activity, the children aimed to hit variously sized targets placed on the wall using different-sized balls. The variation in targets and balls served as a way to differentiate and adjust task constraints for each learner, applying Newell’s constraints model (Haywood &amp; Getchell, 2005). Communicating the success criteria was essential; these included positioning the body sideways to the target, drawing the arm back in an arch, rotating the body, and following through with the leg. My primary observation was that most children struggled with the leg follow-through, which is key for generating power in the throw. Based on </w:t>
      </w:r>
      <w:proofErr w:type="spellStart"/>
      <w:r w:rsidRPr="009B3C87">
        <w:rPr>
          <w:sz w:val="27"/>
          <w:szCs w:val="27"/>
        </w:rPr>
        <w:t>Goodway</w:t>
      </w:r>
      <w:proofErr w:type="spellEnd"/>
      <w:r w:rsidRPr="009B3C87">
        <w:rPr>
          <w:sz w:val="27"/>
          <w:szCs w:val="27"/>
        </w:rPr>
        <w:t xml:space="preserve"> et al.’s (2019) ‘Developmental Stages of Five Object Control Skills,’ I assessed the group’s proficiency as being at stages 4 and 5.</w:t>
      </w:r>
    </w:p>
    <w:p w:rsidR="009B3C87" w:rsidRDefault="009B3C87" w:rsidP="00F23438">
      <w:pPr>
        <w:pStyle w:val="NormalWeb"/>
        <w:rPr>
          <w:sz w:val="27"/>
          <w:szCs w:val="27"/>
        </w:rPr>
      </w:pPr>
      <w:r w:rsidRPr="009B3C87">
        <w:rPr>
          <w:sz w:val="27"/>
          <w:szCs w:val="27"/>
        </w:rPr>
        <w:t xml:space="preserve">Overall, the children grasped the main idea of the activity well. They adjusted their technique based on the feedback I provided, although I believe incorporating more visual aids, particularly for those struggling with the leg follow-through, would have been beneficial. The equipment used was well-suited to help the children meet the learning objectives, supporting differentiation and allowing them to independently modify the activity’s constraints to fit their abilities. The inclusion of targets of varying sizes and heights on the walls gave the children opportunities </w:t>
      </w:r>
      <w:r w:rsidRPr="009B3C87">
        <w:rPr>
          <w:sz w:val="27"/>
          <w:szCs w:val="27"/>
        </w:rPr>
        <w:lastRenderedPageBreak/>
        <w:t xml:space="preserve">to practice the skill under different conditions, aligning with </w:t>
      </w:r>
      <w:proofErr w:type="spellStart"/>
      <w:r w:rsidRPr="009B3C87">
        <w:rPr>
          <w:sz w:val="27"/>
          <w:szCs w:val="27"/>
        </w:rPr>
        <w:t>Seefeldt’s</w:t>
      </w:r>
      <w:proofErr w:type="spellEnd"/>
      <w:r w:rsidRPr="009B3C87">
        <w:rPr>
          <w:sz w:val="27"/>
          <w:szCs w:val="27"/>
        </w:rPr>
        <w:t xml:space="preserve"> (1980) ‘Motor Development Mountain’ concept, which emphasizes progressing fundamental movement skills through the ‘proficiency barrier.’ Upon reflection, I feel that disorganized positioning caused some chaos during the session, which may have hindered success. I now think that providing a clear structure to the children about when to throw would have improved both teacher-led and self-assessment. Assigning children to different stations could have prevented multiple learners from aiming at the same target simultaneously. Additionally, drawing on Clark and Metcalfe’s (2003) model, I could have challenged the more skilled stage 5 throwers further. Moving forward, this model could help me encourage children to develop context-specific skills as their proficiency grows. Combining this approach with </w:t>
      </w:r>
      <w:proofErr w:type="spellStart"/>
      <w:r w:rsidRPr="009B3C87">
        <w:rPr>
          <w:sz w:val="27"/>
          <w:szCs w:val="27"/>
        </w:rPr>
        <w:t>Stodden</w:t>
      </w:r>
      <w:proofErr w:type="spellEnd"/>
      <w:r w:rsidRPr="009B3C87">
        <w:rPr>
          <w:sz w:val="27"/>
          <w:szCs w:val="27"/>
        </w:rPr>
        <w:t xml:space="preserve"> et al.’s (2008) framework would allow me to design enjoyable and purposeful activities that maintain motivation while enhancing their skill development.</w:t>
      </w:r>
    </w:p>
    <w:p w:rsidR="009A4306" w:rsidRPr="009A4306" w:rsidRDefault="009A4306" w:rsidP="00F23438">
      <w:pPr>
        <w:pStyle w:val="NormalWeb"/>
        <w:rPr>
          <w:sz w:val="27"/>
          <w:szCs w:val="27"/>
        </w:rPr>
      </w:pPr>
      <w:r w:rsidRPr="009A4306">
        <w:rPr>
          <w:rStyle w:val="Strong"/>
          <w:sz w:val="27"/>
          <w:szCs w:val="27"/>
        </w:rPr>
        <w:t>Conclusion</w:t>
      </w:r>
      <w:r w:rsidRPr="009A4306">
        <w:rPr>
          <w:sz w:val="27"/>
          <w:szCs w:val="27"/>
        </w:rPr>
        <w:br/>
        <w:t xml:space="preserve">I have greatly valued my experience with the Skip </w:t>
      </w:r>
      <w:proofErr w:type="spellStart"/>
      <w:r w:rsidRPr="009A4306">
        <w:rPr>
          <w:sz w:val="27"/>
          <w:szCs w:val="27"/>
        </w:rPr>
        <w:t>Cymru</w:t>
      </w:r>
      <w:proofErr w:type="spellEnd"/>
      <w:r w:rsidRPr="009A4306">
        <w:rPr>
          <w:sz w:val="27"/>
          <w:szCs w:val="27"/>
        </w:rPr>
        <w:t xml:space="preserve"> physical literacy course, which has positively influenced my practice and deepened my understanding of the research that underpins my teaching approach. By examining the concepts presented by </w:t>
      </w:r>
      <w:proofErr w:type="spellStart"/>
      <w:r w:rsidRPr="009A4306">
        <w:rPr>
          <w:sz w:val="27"/>
          <w:szCs w:val="27"/>
        </w:rPr>
        <w:t>Goodway</w:t>
      </w:r>
      <w:proofErr w:type="spellEnd"/>
      <w:r w:rsidRPr="009A4306">
        <w:rPr>
          <w:sz w:val="27"/>
          <w:szCs w:val="27"/>
        </w:rPr>
        <w:t xml:space="preserve"> and </w:t>
      </w:r>
      <w:proofErr w:type="spellStart"/>
      <w:r w:rsidRPr="009A4306">
        <w:rPr>
          <w:sz w:val="27"/>
          <w:szCs w:val="27"/>
        </w:rPr>
        <w:t>Branta</w:t>
      </w:r>
      <w:proofErr w:type="spellEnd"/>
      <w:r w:rsidRPr="009A4306">
        <w:rPr>
          <w:sz w:val="27"/>
          <w:szCs w:val="27"/>
        </w:rPr>
        <w:t xml:space="preserve"> (2003), </w:t>
      </w:r>
      <w:proofErr w:type="spellStart"/>
      <w:r w:rsidRPr="009A4306">
        <w:rPr>
          <w:sz w:val="27"/>
          <w:szCs w:val="27"/>
        </w:rPr>
        <w:t>Stodden</w:t>
      </w:r>
      <w:proofErr w:type="spellEnd"/>
      <w:r w:rsidRPr="009A4306">
        <w:rPr>
          <w:sz w:val="27"/>
          <w:szCs w:val="27"/>
        </w:rPr>
        <w:t xml:space="preserve"> et al. (2008), and Whitehead (2010), I have developed a more nuanced appreciation of the complex relationship between physical competence, confidence, motivation, and knowledge. Notably, Wainwright (2018) highlights a strong link between specialist instruction and improved outcomes. This course has offered me the chance to critically reflect on my teaching methods, enhancing my ability to deliver high-quality learning experiences for my students while also enabling me to share insights with colleagues within my team and school. Through this training, I have been able to create engaging and meaningful activities that support learners in continuously developing and enjoying fundamental movement skills. Since integrating physical literacy more thoroughly into our curriculum, </w:t>
      </w:r>
      <w:proofErr w:type="spellStart"/>
      <w:r w:rsidRPr="009A4306">
        <w:rPr>
          <w:sz w:val="27"/>
          <w:szCs w:val="27"/>
        </w:rPr>
        <w:t>Stodden</w:t>
      </w:r>
      <w:proofErr w:type="spellEnd"/>
      <w:r w:rsidRPr="009A4306">
        <w:rPr>
          <w:sz w:val="27"/>
          <w:szCs w:val="27"/>
        </w:rPr>
        <w:t xml:space="preserve"> et al.'s (2008) model has become a key framework in my practice. I have observed increased learner engagement and enthusiasm as a result. Children generally respond more positively to physical literacy sessions compared to traditional sports-focused activities. They appreciate having ample opportunities to practice skills repeatedly and often enjoy competing against their own previous performances rather than comparing themselves to their peers. Additionally, Howard and </w:t>
      </w:r>
      <w:proofErr w:type="spellStart"/>
      <w:r w:rsidRPr="009A4306">
        <w:rPr>
          <w:sz w:val="27"/>
          <w:szCs w:val="27"/>
        </w:rPr>
        <w:t>McInne</w:t>
      </w:r>
      <w:proofErr w:type="spellEnd"/>
      <w:r w:rsidRPr="009A4306">
        <w:rPr>
          <w:sz w:val="27"/>
          <w:szCs w:val="27"/>
        </w:rPr>
        <w:t xml:space="preserve"> (2010) highlight that children tend to view play as distinct from work and formal learning, which influences how they engage in these sessions.</w:t>
      </w:r>
    </w:p>
    <w:p w:rsidR="009A4306" w:rsidRPr="009A4306" w:rsidRDefault="009A4306" w:rsidP="009A4306">
      <w:pPr>
        <w:pStyle w:val="NormalWeb"/>
        <w:rPr>
          <w:sz w:val="27"/>
          <w:szCs w:val="27"/>
        </w:rPr>
      </w:pPr>
      <w:r w:rsidRPr="009A4306">
        <w:rPr>
          <w:sz w:val="27"/>
          <w:szCs w:val="27"/>
        </w:rPr>
        <w:t>In today’s increasingly inactive lifestyle, the importance of physical literacy stands out clearly. It equips individuals to pursue healthier living and builds confidence that reaches beyond just physical capabilities. According to Gardner (2017), physical literacy involves not only the development of physical skills but also includes cognitive and emotional aspects.</w:t>
      </w:r>
    </w:p>
    <w:p w:rsidR="009A4306" w:rsidRPr="009A4306" w:rsidRDefault="009A4306" w:rsidP="009A4306">
      <w:pPr>
        <w:pStyle w:val="NormalWeb"/>
        <w:rPr>
          <w:sz w:val="27"/>
          <w:szCs w:val="27"/>
        </w:rPr>
      </w:pPr>
      <w:r w:rsidRPr="009A4306">
        <w:rPr>
          <w:sz w:val="27"/>
          <w:szCs w:val="27"/>
        </w:rPr>
        <w:lastRenderedPageBreak/>
        <w:t>Reflecting on my exploration of physical literacy, I have come to understand that movement represents more than mere physical effort; it serves as a pathway to improved physical and psychological well-being (</w:t>
      </w:r>
      <w:proofErr w:type="spellStart"/>
      <w:r w:rsidRPr="009A4306">
        <w:rPr>
          <w:sz w:val="27"/>
          <w:szCs w:val="27"/>
        </w:rPr>
        <w:t>Goodway</w:t>
      </w:r>
      <w:proofErr w:type="spellEnd"/>
      <w:r w:rsidRPr="009A4306">
        <w:rPr>
          <w:sz w:val="27"/>
          <w:szCs w:val="27"/>
        </w:rPr>
        <w:t xml:space="preserve"> et al., 2019). It is about finding joy in movement, engaging in activities that personally connect with us, and evolving alongside our growth and changes (</w:t>
      </w:r>
      <w:proofErr w:type="spellStart"/>
      <w:r w:rsidRPr="009A4306">
        <w:rPr>
          <w:sz w:val="27"/>
          <w:szCs w:val="27"/>
        </w:rPr>
        <w:t>Stodden</w:t>
      </w:r>
      <w:proofErr w:type="spellEnd"/>
      <w:r w:rsidRPr="009A4306">
        <w:rPr>
          <w:sz w:val="27"/>
          <w:szCs w:val="27"/>
        </w:rPr>
        <w:t xml:space="preserve"> et al., 2008). Fostering physical literacy helps unlock our ability to lead healthier and more rewarding lives.</w:t>
      </w:r>
    </w:p>
    <w:p w:rsidR="009A4306" w:rsidRPr="009B3C87" w:rsidRDefault="009A4306" w:rsidP="00F23438">
      <w:pPr>
        <w:pStyle w:val="NormalWeb"/>
        <w:rPr>
          <w:color w:val="000000"/>
          <w:sz w:val="27"/>
          <w:szCs w:val="27"/>
        </w:rPr>
      </w:pPr>
    </w:p>
    <w:p w:rsidR="00F23438" w:rsidRDefault="00F23438" w:rsidP="00F23438">
      <w:pPr>
        <w:pStyle w:val="NormalWeb"/>
        <w:rPr>
          <w:color w:val="000000"/>
          <w:sz w:val="27"/>
          <w:szCs w:val="27"/>
        </w:rPr>
      </w:pPr>
      <w:r>
        <w:rPr>
          <w:color w:val="000000"/>
          <w:sz w:val="27"/>
          <w:szCs w:val="27"/>
        </w:rPr>
        <w:t>Reference List</w:t>
      </w:r>
    </w:p>
    <w:p w:rsidR="00F23438" w:rsidRDefault="00F23438" w:rsidP="00F23438">
      <w:pPr>
        <w:pStyle w:val="NormalWeb"/>
        <w:rPr>
          <w:color w:val="000000"/>
          <w:sz w:val="27"/>
          <w:szCs w:val="27"/>
        </w:rPr>
      </w:pPr>
      <w:r>
        <w:rPr>
          <w:color w:val="000000"/>
          <w:sz w:val="27"/>
          <w:szCs w:val="27"/>
        </w:rPr>
        <w:t>Black, P and William, D. (2001) Inside the Black Box: Raising Standards Through Classroom Assessment. King’s College London School of Education. Available at: https://weaeducation.typepad.co.uk/files/blackbox-1.pdf (Accessed: 9th August 2023).</w:t>
      </w:r>
    </w:p>
    <w:p w:rsidR="00F23438" w:rsidRDefault="00F23438" w:rsidP="00F23438">
      <w:pPr>
        <w:pStyle w:val="NormalWeb"/>
        <w:rPr>
          <w:color w:val="000000"/>
          <w:sz w:val="27"/>
          <w:szCs w:val="27"/>
        </w:rPr>
      </w:pPr>
      <w:r>
        <w:rPr>
          <w:color w:val="000000"/>
          <w:sz w:val="27"/>
          <w:szCs w:val="27"/>
        </w:rPr>
        <w:t>Clark, J. E., &amp; Metcalfe, J. S. (2002). The mountain of motor development: A metaphor. Motor development: Research and reviews, 2(163-190), 183-202.</w:t>
      </w:r>
    </w:p>
    <w:p w:rsidR="00F23438" w:rsidRDefault="00F23438" w:rsidP="00F23438">
      <w:pPr>
        <w:pStyle w:val="NormalWeb"/>
        <w:rPr>
          <w:color w:val="000000"/>
          <w:sz w:val="27"/>
          <w:szCs w:val="27"/>
        </w:rPr>
      </w:pPr>
      <w:proofErr w:type="spellStart"/>
      <w:r>
        <w:rPr>
          <w:color w:val="000000"/>
          <w:sz w:val="27"/>
          <w:szCs w:val="27"/>
        </w:rPr>
        <w:t>Dauncey</w:t>
      </w:r>
      <w:proofErr w:type="spellEnd"/>
      <w:r>
        <w:rPr>
          <w:color w:val="000000"/>
          <w:sz w:val="27"/>
          <w:szCs w:val="27"/>
        </w:rPr>
        <w:t xml:space="preserve">, M (2015). ‘What is physical literacy and what is its place in the curriculum?’. </w:t>
      </w:r>
      <w:proofErr w:type="spellStart"/>
      <w:r>
        <w:rPr>
          <w:color w:val="000000"/>
          <w:sz w:val="27"/>
          <w:szCs w:val="27"/>
        </w:rPr>
        <w:t>Senedd</w:t>
      </w:r>
      <w:proofErr w:type="spellEnd"/>
      <w:r>
        <w:rPr>
          <w:color w:val="000000"/>
          <w:sz w:val="27"/>
          <w:szCs w:val="27"/>
        </w:rPr>
        <w:t xml:space="preserve"> Research. Available at: https://research.senedd.wales/research-articles/what-is-physical-literacy-and-what-is-its-place-in-the-curriculum/ (Accessed: 8th August 2023).</w:t>
      </w:r>
    </w:p>
    <w:p w:rsidR="00F23438" w:rsidRDefault="00F23438" w:rsidP="00F23438">
      <w:pPr>
        <w:pStyle w:val="NormalWeb"/>
        <w:rPr>
          <w:color w:val="000000"/>
          <w:sz w:val="27"/>
          <w:szCs w:val="27"/>
        </w:rPr>
      </w:pPr>
      <w:r>
        <w:rPr>
          <w:color w:val="000000"/>
          <w:sz w:val="27"/>
          <w:szCs w:val="27"/>
        </w:rPr>
        <w:t>Diamond, A. (2000). Close Interrelation of Motor Development and Cognitive Development and of the Cerebellum and Prefrontal Cortex. Child Development, 71, 44-56.</w:t>
      </w:r>
    </w:p>
    <w:p w:rsidR="00F23438" w:rsidRDefault="00F23438" w:rsidP="00F23438">
      <w:pPr>
        <w:pStyle w:val="NormalWeb"/>
        <w:rPr>
          <w:color w:val="000000"/>
          <w:sz w:val="27"/>
          <w:szCs w:val="27"/>
        </w:rPr>
      </w:pPr>
      <w:r>
        <w:rPr>
          <w:color w:val="000000"/>
          <w:sz w:val="27"/>
          <w:szCs w:val="27"/>
        </w:rPr>
        <w:t>Donaldson, G. (2015) Successful Futures: Independent Review of Curriculum and Assessment Arrangements in Wales. WG: Cardiff. Available at: https://www.gov.wales/sites/default/files/publications/2018-03/successful-futures.pdf (Accessed: 8th August 2023).</w:t>
      </w:r>
    </w:p>
    <w:p w:rsidR="00F23438" w:rsidRDefault="00F23438" w:rsidP="00F23438">
      <w:pPr>
        <w:pStyle w:val="NormalWeb"/>
        <w:rPr>
          <w:color w:val="000000"/>
          <w:sz w:val="27"/>
          <w:szCs w:val="27"/>
        </w:rPr>
      </w:pPr>
      <w:proofErr w:type="spellStart"/>
      <w:r>
        <w:rPr>
          <w:color w:val="000000"/>
          <w:sz w:val="27"/>
          <w:szCs w:val="27"/>
        </w:rPr>
        <w:t>Estyn</w:t>
      </w:r>
      <w:proofErr w:type="spellEnd"/>
      <w:r>
        <w:rPr>
          <w:color w:val="000000"/>
          <w:sz w:val="27"/>
          <w:szCs w:val="27"/>
        </w:rPr>
        <w:t xml:space="preserve">, (2023). Inspection Report for Parklands Primary School. </w:t>
      </w:r>
      <w:proofErr w:type="spellStart"/>
      <w:r>
        <w:rPr>
          <w:color w:val="000000"/>
          <w:sz w:val="27"/>
          <w:szCs w:val="27"/>
        </w:rPr>
        <w:t>Estyn</w:t>
      </w:r>
      <w:proofErr w:type="spellEnd"/>
      <w:r>
        <w:rPr>
          <w:color w:val="000000"/>
          <w:sz w:val="27"/>
          <w:szCs w:val="27"/>
        </w:rPr>
        <w:t>. Available at: https://www.estyn.gov.wales/system/files/2023-06/Inspection%20report%20Parkland%20Primary%20School%202023_0.pdf (Accessed: 8th August 2023)</w:t>
      </w:r>
    </w:p>
    <w:p w:rsidR="00F23438" w:rsidRDefault="00F23438" w:rsidP="00F23438">
      <w:pPr>
        <w:pStyle w:val="NormalWeb"/>
        <w:rPr>
          <w:color w:val="000000"/>
          <w:sz w:val="27"/>
          <w:szCs w:val="27"/>
        </w:rPr>
      </w:pPr>
      <w:r>
        <w:rPr>
          <w:color w:val="000000"/>
          <w:sz w:val="27"/>
          <w:szCs w:val="27"/>
        </w:rPr>
        <w:t xml:space="preserve">Gardner, H. (2017) Physical Literacy on the Move: Games for Developing Confidence and Competence in Physical Activity. Human </w:t>
      </w:r>
      <w:proofErr w:type="spellStart"/>
      <w:r>
        <w:rPr>
          <w:color w:val="000000"/>
          <w:sz w:val="27"/>
          <w:szCs w:val="27"/>
        </w:rPr>
        <w:t>Kinestics</w:t>
      </w:r>
      <w:proofErr w:type="spellEnd"/>
      <w:r>
        <w:rPr>
          <w:color w:val="000000"/>
          <w:sz w:val="27"/>
          <w:szCs w:val="27"/>
        </w:rPr>
        <w:t>: Champaign.</w:t>
      </w:r>
    </w:p>
    <w:p w:rsidR="00F23438" w:rsidRDefault="00F23438" w:rsidP="00F23438">
      <w:pPr>
        <w:pStyle w:val="NormalWeb"/>
        <w:rPr>
          <w:color w:val="000000"/>
          <w:sz w:val="27"/>
          <w:szCs w:val="27"/>
        </w:rPr>
      </w:pPr>
      <w:proofErr w:type="spellStart"/>
      <w:r>
        <w:rPr>
          <w:color w:val="000000"/>
          <w:sz w:val="27"/>
          <w:szCs w:val="27"/>
        </w:rPr>
        <w:t>Goodway</w:t>
      </w:r>
      <w:proofErr w:type="spellEnd"/>
      <w:r>
        <w:rPr>
          <w:color w:val="000000"/>
          <w:sz w:val="27"/>
          <w:szCs w:val="27"/>
        </w:rPr>
        <w:t xml:space="preserve">, J.D. and </w:t>
      </w:r>
      <w:proofErr w:type="spellStart"/>
      <w:r>
        <w:rPr>
          <w:color w:val="000000"/>
          <w:sz w:val="27"/>
          <w:szCs w:val="27"/>
        </w:rPr>
        <w:t>Branta</w:t>
      </w:r>
      <w:proofErr w:type="spellEnd"/>
      <w:r>
        <w:rPr>
          <w:color w:val="000000"/>
          <w:sz w:val="27"/>
          <w:szCs w:val="27"/>
        </w:rPr>
        <w:t>, C.F. (2003) ‘Influence of a motor skill intervention on fundamental motor skill development of disadvantaged preschool children’, Research Quarterly for Exercise and Sport, 74(1), pp. 36-46</w:t>
      </w:r>
    </w:p>
    <w:p w:rsidR="00F23438" w:rsidRDefault="00F23438" w:rsidP="00F23438">
      <w:pPr>
        <w:pStyle w:val="NormalWeb"/>
        <w:rPr>
          <w:color w:val="000000"/>
          <w:sz w:val="27"/>
          <w:szCs w:val="27"/>
        </w:rPr>
      </w:pPr>
      <w:proofErr w:type="spellStart"/>
      <w:r>
        <w:rPr>
          <w:color w:val="000000"/>
          <w:sz w:val="27"/>
          <w:szCs w:val="27"/>
        </w:rPr>
        <w:lastRenderedPageBreak/>
        <w:t>Goodway</w:t>
      </w:r>
      <w:proofErr w:type="spellEnd"/>
      <w:r>
        <w:rPr>
          <w:color w:val="000000"/>
          <w:sz w:val="27"/>
          <w:szCs w:val="27"/>
        </w:rPr>
        <w:t xml:space="preserve">, J. D., </w:t>
      </w:r>
      <w:proofErr w:type="spellStart"/>
      <w:r>
        <w:rPr>
          <w:color w:val="000000"/>
          <w:sz w:val="27"/>
          <w:szCs w:val="27"/>
        </w:rPr>
        <w:t>Ozmun</w:t>
      </w:r>
      <w:proofErr w:type="spellEnd"/>
      <w:r>
        <w:rPr>
          <w:color w:val="000000"/>
          <w:sz w:val="27"/>
          <w:szCs w:val="27"/>
        </w:rPr>
        <w:t xml:space="preserve">, J. C., &amp; </w:t>
      </w:r>
      <w:proofErr w:type="spellStart"/>
      <w:r>
        <w:rPr>
          <w:color w:val="000000"/>
          <w:sz w:val="27"/>
          <w:szCs w:val="27"/>
        </w:rPr>
        <w:t>Gallahue</w:t>
      </w:r>
      <w:proofErr w:type="spellEnd"/>
      <w:r>
        <w:rPr>
          <w:color w:val="000000"/>
          <w:sz w:val="27"/>
          <w:szCs w:val="27"/>
        </w:rPr>
        <w:t>, D. L. (2019). Understanding motor development: Infants, children, adolescents, adults. Jones &amp; Bartlett Learning.</w:t>
      </w:r>
    </w:p>
    <w:p w:rsidR="00F23438" w:rsidRDefault="00F23438" w:rsidP="00F23438">
      <w:pPr>
        <w:pStyle w:val="NormalWeb"/>
        <w:rPr>
          <w:color w:val="000000"/>
          <w:sz w:val="27"/>
          <w:szCs w:val="27"/>
        </w:rPr>
      </w:pPr>
      <w:r>
        <w:rPr>
          <w:color w:val="000000"/>
          <w:sz w:val="27"/>
          <w:szCs w:val="27"/>
        </w:rPr>
        <w:t xml:space="preserve">Howard, J. and </w:t>
      </w:r>
      <w:proofErr w:type="spellStart"/>
      <w:r>
        <w:rPr>
          <w:color w:val="000000"/>
          <w:sz w:val="27"/>
          <w:szCs w:val="27"/>
        </w:rPr>
        <w:t>McInnes</w:t>
      </w:r>
      <w:proofErr w:type="spellEnd"/>
      <w:r>
        <w:rPr>
          <w:color w:val="000000"/>
          <w:sz w:val="27"/>
          <w:szCs w:val="27"/>
        </w:rPr>
        <w:t xml:space="preserve">, K. (2010) ‘Thinking Through the Challenge of a </w:t>
      </w:r>
      <w:proofErr w:type="spellStart"/>
      <w:r>
        <w:rPr>
          <w:color w:val="000000"/>
          <w:sz w:val="27"/>
          <w:szCs w:val="27"/>
        </w:rPr>
        <w:t>playbased</w:t>
      </w:r>
      <w:proofErr w:type="spellEnd"/>
      <w:r>
        <w:rPr>
          <w:color w:val="000000"/>
          <w:sz w:val="27"/>
          <w:szCs w:val="27"/>
        </w:rPr>
        <w:t xml:space="preserve"> curriculum, increasing playfulness via co-construction’, in </w:t>
      </w:r>
      <w:proofErr w:type="spellStart"/>
      <w:r>
        <w:rPr>
          <w:color w:val="000000"/>
          <w:sz w:val="27"/>
          <w:szCs w:val="27"/>
        </w:rPr>
        <w:t>Moyles</w:t>
      </w:r>
      <w:proofErr w:type="spellEnd"/>
      <w:r>
        <w:rPr>
          <w:color w:val="000000"/>
          <w:sz w:val="27"/>
          <w:szCs w:val="27"/>
        </w:rPr>
        <w:t>, J.R. (ed.) Thinking about play, Berkshire: Open University Press</w:t>
      </w:r>
    </w:p>
    <w:p w:rsidR="00F23438" w:rsidRDefault="00F23438" w:rsidP="00F23438">
      <w:pPr>
        <w:pStyle w:val="NormalWeb"/>
        <w:rPr>
          <w:color w:val="000000"/>
          <w:sz w:val="27"/>
          <w:szCs w:val="27"/>
        </w:rPr>
      </w:pPr>
      <w:r>
        <w:rPr>
          <w:color w:val="000000"/>
          <w:sz w:val="27"/>
          <w:szCs w:val="27"/>
        </w:rPr>
        <w:t>Haywood, K. M., &amp; Getchell, N. (2019). Life span motor development. Human kinetics.</w:t>
      </w:r>
    </w:p>
    <w:p w:rsidR="00F23438" w:rsidRDefault="00F23438" w:rsidP="00F23438">
      <w:pPr>
        <w:pStyle w:val="NormalWeb"/>
        <w:rPr>
          <w:color w:val="000000"/>
          <w:sz w:val="27"/>
          <w:szCs w:val="27"/>
        </w:rPr>
      </w:pPr>
      <w:r>
        <w:rPr>
          <w:color w:val="000000"/>
          <w:sz w:val="27"/>
          <w:szCs w:val="27"/>
        </w:rPr>
        <w:t>Iverson, J. (2010) Developing language in a developing body: the relationship between motor development and language development. Available at: https://www.ncbi.nlm.nih.gov/pmc/articles/PMC2833284/ (Accessed: 8th August 2023).</w:t>
      </w:r>
    </w:p>
    <w:p w:rsidR="00F23438" w:rsidRDefault="00F23438" w:rsidP="00F23438">
      <w:pPr>
        <w:pStyle w:val="NormalWeb"/>
        <w:rPr>
          <w:color w:val="000000"/>
          <w:sz w:val="27"/>
          <w:szCs w:val="27"/>
        </w:rPr>
      </w:pPr>
      <w:proofErr w:type="spellStart"/>
      <w:r>
        <w:rPr>
          <w:color w:val="000000"/>
          <w:sz w:val="27"/>
          <w:szCs w:val="27"/>
        </w:rPr>
        <w:t>Seefeldt</w:t>
      </w:r>
      <w:proofErr w:type="spellEnd"/>
      <w:r>
        <w:rPr>
          <w:color w:val="000000"/>
          <w:sz w:val="27"/>
          <w:szCs w:val="27"/>
        </w:rPr>
        <w:t xml:space="preserve">, V. (1980). Developmental motor patterns: Implications for elementary school physical education. Psychology of motor </w:t>
      </w:r>
      <w:proofErr w:type="spellStart"/>
      <w:r>
        <w:rPr>
          <w:color w:val="000000"/>
          <w:sz w:val="27"/>
          <w:szCs w:val="27"/>
        </w:rPr>
        <w:t>behavior</w:t>
      </w:r>
      <w:proofErr w:type="spellEnd"/>
      <w:r>
        <w:rPr>
          <w:color w:val="000000"/>
          <w:sz w:val="27"/>
          <w:szCs w:val="27"/>
        </w:rPr>
        <w:t xml:space="preserve"> and sport, 36(6), 314-323.</w:t>
      </w:r>
    </w:p>
    <w:p w:rsidR="00F23438" w:rsidRDefault="00F23438" w:rsidP="00F23438">
      <w:pPr>
        <w:pStyle w:val="NormalWeb"/>
        <w:rPr>
          <w:color w:val="000000"/>
          <w:sz w:val="27"/>
          <w:szCs w:val="27"/>
        </w:rPr>
      </w:pPr>
      <w:proofErr w:type="spellStart"/>
      <w:r>
        <w:rPr>
          <w:color w:val="000000"/>
          <w:sz w:val="27"/>
          <w:szCs w:val="27"/>
        </w:rPr>
        <w:t>Stodden</w:t>
      </w:r>
      <w:proofErr w:type="spellEnd"/>
      <w:r>
        <w:rPr>
          <w:color w:val="000000"/>
          <w:sz w:val="27"/>
          <w:szCs w:val="27"/>
        </w:rPr>
        <w:t xml:space="preserve">, D., </w:t>
      </w:r>
      <w:proofErr w:type="spellStart"/>
      <w:r>
        <w:rPr>
          <w:color w:val="000000"/>
          <w:sz w:val="27"/>
          <w:szCs w:val="27"/>
        </w:rPr>
        <w:t>Goodway</w:t>
      </w:r>
      <w:proofErr w:type="spellEnd"/>
      <w:r>
        <w:rPr>
          <w:color w:val="000000"/>
          <w:sz w:val="27"/>
          <w:szCs w:val="27"/>
        </w:rPr>
        <w:t xml:space="preserve">, J., </w:t>
      </w:r>
      <w:proofErr w:type="spellStart"/>
      <w:r>
        <w:rPr>
          <w:color w:val="000000"/>
          <w:sz w:val="27"/>
          <w:szCs w:val="27"/>
        </w:rPr>
        <w:t>Langendorfer</w:t>
      </w:r>
      <w:proofErr w:type="spellEnd"/>
      <w:r>
        <w:rPr>
          <w:color w:val="000000"/>
          <w:sz w:val="27"/>
          <w:szCs w:val="27"/>
        </w:rPr>
        <w:t xml:space="preserve">, S., </w:t>
      </w:r>
      <w:proofErr w:type="spellStart"/>
      <w:r>
        <w:rPr>
          <w:color w:val="000000"/>
          <w:sz w:val="27"/>
          <w:szCs w:val="27"/>
        </w:rPr>
        <w:t>Roberton</w:t>
      </w:r>
      <w:proofErr w:type="spellEnd"/>
      <w:r>
        <w:rPr>
          <w:color w:val="000000"/>
          <w:sz w:val="27"/>
          <w:szCs w:val="27"/>
        </w:rPr>
        <w:t xml:space="preserve">, M., </w:t>
      </w:r>
      <w:proofErr w:type="spellStart"/>
      <w:r>
        <w:rPr>
          <w:color w:val="000000"/>
          <w:sz w:val="27"/>
          <w:szCs w:val="27"/>
        </w:rPr>
        <w:t>Rudisill</w:t>
      </w:r>
      <w:proofErr w:type="spellEnd"/>
      <w:r>
        <w:rPr>
          <w:color w:val="000000"/>
          <w:sz w:val="27"/>
          <w:szCs w:val="27"/>
        </w:rPr>
        <w:t>, M., Garcia, C., and Garcia, L. (2008) A Developmental Perspective on the Role of Motor Skill Competence in Physical Activity: An Emergent Relationship. Quest.</w:t>
      </w:r>
    </w:p>
    <w:p w:rsidR="00F23438" w:rsidRDefault="00F23438" w:rsidP="00F23438">
      <w:pPr>
        <w:pStyle w:val="NormalWeb"/>
        <w:rPr>
          <w:color w:val="000000"/>
          <w:sz w:val="27"/>
          <w:szCs w:val="27"/>
        </w:rPr>
      </w:pPr>
      <w:r>
        <w:rPr>
          <w:color w:val="000000"/>
          <w:sz w:val="27"/>
          <w:szCs w:val="27"/>
        </w:rPr>
        <w:t xml:space="preserve">Wainwright, N., </w:t>
      </w:r>
      <w:proofErr w:type="spellStart"/>
      <w:r>
        <w:rPr>
          <w:color w:val="000000"/>
          <w:sz w:val="27"/>
          <w:szCs w:val="27"/>
        </w:rPr>
        <w:t>Goodway</w:t>
      </w:r>
      <w:proofErr w:type="spellEnd"/>
      <w:r>
        <w:rPr>
          <w:color w:val="000000"/>
          <w:sz w:val="27"/>
          <w:szCs w:val="27"/>
        </w:rPr>
        <w:t>, J., Whitehead, M., Williams, A., and Kirk, D. (2018) Laying the foundations for physical literacy in Wales: The contribution of the Foundation Phase to the development of Physical Literacy. Available at: https://repository.uwtsd.ac.uk/id/eprint/1592/1/PESP%20Foundation%20Phase%20and%20PL%20anonomised%20revised%20%281%29.docx.pdf (Accessed: 8th August 2023).</w:t>
      </w:r>
    </w:p>
    <w:p w:rsidR="00F23438" w:rsidRDefault="00F23438" w:rsidP="00F23438">
      <w:pPr>
        <w:pStyle w:val="NormalWeb"/>
        <w:rPr>
          <w:color w:val="000000"/>
          <w:sz w:val="27"/>
          <w:szCs w:val="27"/>
        </w:rPr>
      </w:pPr>
      <w:r>
        <w:rPr>
          <w:color w:val="000000"/>
          <w:sz w:val="27"/>
          <w:szCs w:val="27"/>
        </w:rPr>
        <w:t xml:space="preserve">Whitehead, M. (2010) Physical Literacy: Throughout the </w:t>
      </w:r>
      <w:proofErr w:type="spellStart"/>
      <w:r>
        <w:rPr>
          <w:color w:val="000000"/>
          <w:sz w:val="27"/>
          <w:szCs w:val="27"/>
        </w:rPr>
        <w:t>lifecourse</w:t>
      </w:r>
      <w:proofErr w:type="spellEnd"/>
      <w:r>
        <w:rPr>
          <w:color w:val="000000"/>
          <w:sz w:val="27"/>
          <w:szCs w:val="27"/>
        </w:rPr>
        <w:t>. Routledge: Oxon.</w:t>
      </w:r>
    </w:p>
    <w:p w:rsidR="00F23438" w:rsidRDefault="00F23438" w:rsidP="00F23438">
      <w:pPr>
        <w:pStyle w:val="NormalWeb"/>
        <w:rPr>
          <w:color w:val="000000"/>
          <w:sz w:val="27"/>
          <w:szCs w:val="27"/>
        </w:rPr>
      </w:pPr>
      <w:r>
        <w:rPr>
          <w:color w:val="000000"/>
          <w:sz w:val="27"/>
          <w:szCs w:val="27"/>
        </w:rPr>
        <w:t>Whitehead, M. (2019) Physical Literacy Across the World. Routledge: Oxon.</w:t>
      </w:r>
    </w:p>
    <w:p w:rsidR="00E27982" w:rsidRDefault="00B14766"/>
    <w:sectPr w:rsidR="00E2798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3438"/>
    <w:rsid w:val="00985076"/>
    <w:rsid w:val="009A4306"/>
    <w:rsid w:val="009B3C87"/>
    <w:rsid w:val="00A70C20"/>
    <w:rsid w:val="00B14766"/>
    <w:rsid w:val="00F234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C1C2C"/>
  <w15:chartTrackingRefBased/>
  <w15:docId w15:val="{1E509043-91E3-434A-9EDE-BCC202A39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2343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F23438"/>
    <w:rPr>
      <w:b/>
      <w:bCs/>
    </w:rPr>
  </w:style>
  <w:style w:type="character" w:styleId="Hyperlink">
    <w:name w:val="Hyperlink"/>
    <w:basedOn w:val="DefaultParagraphFont"/>
    <w:uiPriority w:val="99"/>
    <w:semiHidden/>
    <w:unhideWhenUsed/>
    <w:rsid w:val="00F2343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0981289">
      <w:bodyDiv w:val="1"/>
      <w:marLeft w:val="0"/>
      <w:marRight w:val="0"/>
      <w:marTop w:val="0"/>
      <w:marBottom w:val="0"/>
      <w:divBdr>
        <w:top w:val="none" w:sz="0" w:space="0" w:color="auto"/>
        <w:left w:val="none" w:sz="0" w:space="0" w:color="auto"/>
        <w:bottom w:val="none" w:sz="0" w:space="0" w:color="auto"/>
        <w:right w:val="none" w:sz="0" w:space="0" w:color="auto"/>
      </w:divBdr>
    </w:div>
    <w:div w:id="1289509319">
      <w:bodyDiv w:val="1"/>
      <w:marLeft w:val="0"/>
      <w:marRight w:val="0"/>
      <w:marTop w:val="0"/>
      <w:marBottom w:val="0"/>
      <w:divBdr>
        <w:top w:val="none" w:sz="0" w:space="0" w:color="auto"/>
        <w:left w:val="none" w:sz="0" w:space="0" w:color="auto"/>
        <w:bottom w:val="none" w:sz="0" w:space="0" w:color="auto"/>
        <w:right w:val="none" w:sz="0" w:space="0" w:color="auto"/>
      </w:divBdr>
    </w:div>
    <w:div w:id="1429542903">
      <w:bodyDiv w:val="1"/>
      <w:marLeft w:val="0"/>
      <w:marRight w:val="0"/>
      <w:marTop w:val="0"/>
      <w:marBottom w:val="0"/>
      <w:divBdr>
        <w:top w:val="none" w:sz="0" w:space="0" w:color="auto"/>
        <w:left w:val="none" w:sz="0" w:space="0" w:color="auto"/>
        <w:bottom w:val="none" w:sz="0" w:space="0" w:color="auto"/>
        <w:right w:val="none" w:sz="0" w:space="0" w:color="auto"/>
      </w:divBdr>
    </w:div>
    <w:div w:id="2048991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mylocalschool.gov.wales/School/6702086?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2392</Words>
  <Characters>13641</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POPHAM (Parkland Primary School)</dc:creator>
  <cp:keywords/>
  <dc:description/>
  <cp:lastModifiedBy>L Davies (Parkland Primary School)</cp:lastModifiedBy>
  <cp:revision>2</cp:revision>
  <dcterms:created xsi:type="dcterms:W3CDTF">2025-07-16T09:13:00Z</dcterms:created>
  <dcterms:modified xsi:type="dcterms:W3CDTF">2025-07-16T09:13:00Z</dcterms:modified>
</cp:coreProperties>
</file>