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1DA9" w:rsidRDefault="00412ACA" w14:paraId="428AC15E" w14:textId="4E0C1A8B">
      <w:pPr>
        <w:rPr>
          <w:rFonts w:ascii="Abadi" w:hAnsi="Abadi"/>
          <w:sz w:val="24"/>
          <w:szCs w:val="24"/>
        </w:rPr>
      </w:pPr>
      <w:r>
        <w:rPr>
          <w:rFonts w:ascii="Abadi" w:hAnsi="Abadi"/>
          <w:b/>
          <w:bCs/>
          <w:sz w:val="24"/>
          <w:szCs w:val="24"/>
        </w:rPr>
        <w:t xml:space="preserve">Student name: </w:t>
      </w:r>
      <w:r>
        <w:rPr>
          <w:rFonts w:ascii="Abadi" w:hAnsi="Abadi"/>
          <w:sz w:val="24"/>
          <w:szCs w:val="24"/>
        </w:rPr>
        <w:t xml:space="preserve">Vasile – </w:t>
      </w:r>
      <w:proofErr w:type="spellStart"/>
      <w:r>
        <w:rPr>
          <w:rFonts w:ascii="Abadi" w:hAnsi="Abadi"/>
          <w:sz w:val="24"/>
          <w:szCs w:val="24"/>
        </w:rPr>
        <w:t>Aurel</w:t>
      </w:r>
      <w:proofErr w:type="spellEnd"/>
      <w:r>
        <w:rPr>
          <w:rFonts w:ascii="Abadi" w:hAnsi="Abadi"/>
          <w:sz w:val="24"/>
          <w:szCs w:val="24"/>
        </w:rPr>
        <w:t xml:space="preserve"> Cristescu</w:t>
      </w:r>
    </w:p>
    <w:p w:rsidR="00412ACA" w:rsidRDefault="00412ACA" w14:paraId="41631B64" w14:textId="30D9C08C">
      <w:pPr>
        <w:rPr>
          <w:rFonts w:ascii="Abadi" w:hAnsi="Abadi"/>
          <w:sz w:val="24"/>
          <w:szCs w:val="24"/>
        </w:rPr>
      </w:pPr>
      <w:r>
        <w:rPr>
          <w:rFonts w:ascii="Abadi" w:hAnsi="Abadi"/>
          <w:b/>
          <w:bCs/>
          <w:sz w:val="24"/>
          <w:szCs w:val="24"/>
        </w:rPr>
        <w:t xml:space="preserve">Student ID number: </w:t>
      </w:r>
      <w:r>
        <w:rPr>
          <w:rFonts w:ascii="Abadi" w:hAnsi="Abadi"/>
          <w:sz w:val="24"/>
          <w:szCs w:val="24"/>
        </w:rPr>
        <w:t>2228672</w:t>
      </w:r>
    </w:p>
    <w:p w:rsidR="00412ACA" w:rsidRDefault="00412ACA" w14:paraId="2CBC9680" w14:textId="5DC92B2B">
      <w:pPr>
        <w:rPr>
          <w:rFonts w:ascii="Abadi" w:hAnsi="Abadi"/>
          <w:sz w:val="24"/>
          <w:szCs w:val="24"/>
        </w:rPr>
      </w:pPr>
      <w:r>
        <w:rPr>
          <w:rFonts w:ascii="Abadi" w:hAnsi="Abadi"/>
          <w:b/>
          <w:bCs/>
          <w:sz w:val="24"/>
          <w:szCs w:val="24"/>
        </w:rPr>
        <w:t>Module:</w:t>
      </w:r>
      <w:r>
        <w:rPr>
          <w:rFonts w:ascii="Abadi" w:hAnsi="Abadi"/>
          <w:sz w:val="24"/>
          <w:szCs w:val="24"/>
        </w:rPr>
        <w:t xml:space="preserve"> Legal Process</w:t>
      </w:r>
    </w:p>
    <w:p w:rsidR="00412ACA" w:rsidRDefault="00412ACA" w14:paraId="098A0750" w14:textId="01771343">
      <w:pPr>
        <w:rPr>
          <w:rFonts w:ascii="Abadi" w:hAnsi="Abadi"/>
          <w:sz w:val="24"/>
          <w:szCs w:val="24"/>
        </w:rPr>
      </w:pPr>
      <w:r>
        <w:rPr>
          <w:rFonts w:ascii="Abadi" w:hAnsi="Abadi"/>
          <w:b/>
          <w:bCs/>
          <w:sz w:val="24"/>
          <w:szCs w:val="24"/>
        </w:rPr>
        <w:t xml:space="preserve">Module code: </w:t>
      </w:r>
      <w:r>
        <w:rPr>
          <w:rFonts w:ascii="Abadi" w:hAnsi="Abadi"/>
          <w:sz w:val="24"/>
          <w:szCs w:val="24"/>
        </w:rPr>
        <w:t>BMPL 4005, BMLW 4006</w:t>
      </w:r>
    </w:p>
    <w:p w:rsidR="00412ACA" w:rsidRDefault="00412ACA" w14:paraId="502AADF5" w14:textId="1D87595B">
      <w:pPr>
        <w:rPr>
          <w:rFonts w:ascii="Abadi" w:hAnsi="Abadi"/>
          <w:sz w:val="24"/>
          <w:szCs w:val="24"/>
        </w:rPr>
      </w:pPr>
      <w:r>
        <w:rPr>
          <w:rFonts w:ascii="Abadi" w:hAnsi="Abadi"/>
          <w:b/>
          <w:bCs/>
          <w:sz w:val="24"/>
          <w:szCs w:val="24"/>
        </w:rPr>
        <w:t xml:space="preserve">Lecturer: </w:t>
      </w:r>
      <w:r>
        <w:rPr>
          <w:rFonts w:ascii="Abadi" w:hAnsi="Abadi"/>
          <w:sz w:val="24"/>
          <w:szCs w:val="24"/>
        </w:rPr>
        <w:t>Louis Hughes</w:t>
      </w:r>
    </w:p>
    <w:p w:rsidR="00412ACA" w:rsidRDefault="00412ACA" w14:paraId="1B1FB9C9" w14:textId="77777777">
      <w:pPr>
        <w:rPr>
          <w:rFonts w:ascii="Abadi" w:hAnsi="Abadi"/>
          <w:sz w:val="24"/>
          <w:szCs w:val="24"/>
        </w:rPr>
      </w:pPr>
      <w:r>
        <w:rPr>
          <w:rFonts w:ascii="Abadi" w:hAnsi="Abadi"/>
          <w:b/>
          <w:bCs/>
          <w:sz w:val="24"/>
          <w:szCs w:val="24"/>
        </w:rPr>
        <w:t xml:space="preserve">Assignment Title: </w:t>
      </w:r>
      <w:r>
        <w:rPr>
          <w:rFonts w:ascii="Abadi" w:hAnsi="Abadi"/>
          <w:sz w:val="24"/>
          <w:szCs w:val="24"/>
        </w:rPr>
        <w:t xml:space="preserve">Common Law </w:t>
      </w:r>
    </w:p>
    <w:p w:rsidR="00412ACA" w:rsidRDefault="00412ACA" w14:paraId="5E5BD958" w14:textId="77777777">
      <w:pPr>
        <w:rPr>
          <w:rFonts w:ascii="Abadi" w:hAnsi="Abadi"/>
          <w:sz w:val="24"/>
          <w:szCs w:val="24"/>
        </w:rPr>
      </w:pPr>
      <w:r>
        <w:rPr>
          <w:rFonts w:ascii="Abadi" w:hAnsi="Abadi"/>
          <w:b/>
          <w:bCs/>
          <w:sz w:val="24"/>
          <w:szCs w:val="24"/>
        </w:rPr>
        <w:t xml:space="preserve">Submission deadline: </w:t>
      </w:r>
      <w:r>
        <w:rPr>
          <w:rFonts w:ascii="Abadi" w:hAnsi="Abadi"/>
          <w:sz w:val="24"/>
          <w:szCs w:val="24"/>
        </w:rPr>
        <w:t>10</w:t>
      </w:r>
      <w:r w:rsidRPr="00412ACA">
        <w:rPr>
          <w:rFonts w:ascii="Abadi" w:hAnsi="Abadi"/>
          <w:sz w:val="24"/>
          <w:szCs w:val="24"/>
          <w:vertAlign w:val="superscript"/>
        </w:rPr>
        <w:t>th</w:t>
      </w:r>
      <w:r>
        <w:rPr>
          <w:rFonts w:ascii="Abadi" w:hAnsi="Abadi"/>
          <w:sz w:val="24"/>
          <w:szCs w:val="24"/>
        </w:rPr>
        <w:t xml:space="preserve"> march</w:t>
      </w:r>
    </w:p>
    <w:p w:rsidR="00412ACA" w:rsidRDefault="00412ACA" w14:paraId="1F7723C9" w14:textId="77777777">
      <w:pPr>
        <w:rPr>
          <w:rFonts w:ascii="Abadi" w:hAnsi="Abadi"/>
          <w:sz w:val="24"/>
          <w:szCs w:val="24"/>
        </w:rPr>
      </w:pPr>
    </w:p>
    <w:p w:rsidR="00412ACA" w:rsidRDefault="00412ACA" w14:paraId="1C1614FB" w14:textId="77777777">
      <w:pPr>
        <w:rPr>
          <w:rFonts w:ascii="Abadi" w:hAnsi="Abadi"/>
          <w:sz w:val="24"/>
          <w:szCs w:val="24"/>
        </w:rPr>
      </w:pPr>
    </w:p>
    <w:p w:rsidR="00412ACA" w:rsidRDefault="00412ACA" w14:paraId="4AFC4EAE" w14:textId="5823288F">
      <w:pPr>
        <w:rPr>
          <w:rFonts w:ascii="Abadi" w:hAnsi="Abadi"/>
          <w:b w:val="1"/>
          <w:bCs w:val="1"/>
          <w:sz w:val="24"/>
          <w:szCs w:val="24"/>
        </w:rPr>
      </w:pPr>
      <w:r w:rsidRPr="2844F1AF" w:rsidR="3C871B3E">
        <w:rPr>
          <w:rFonts w:ascii="Abadi" w:hAnsi="Abadi"/>
          <w:b w:val="1"/>
          <w:bCs w:val="1"/>
          <w:sz w:val="24"/>
          <w:szCs w:val="24"/>
        </w:rPr>
        <w:t>Inception</w:t>
      </w:r>
      <w:r w:rsidRPr="2844F1AF" w:rsidR="00412ACA">
        <w:rPr>
          <w:rFonts w:ascii="Abadi" w:hAnsi="Abadi"/>
          <w:b w:val="1"/>
          <w:bCs w:val="1"/>
          <w:sz w:val="24"/>
          <w:szCs w:val="24"/>
        </w:rPr>
        <w:t xml:space="preserve">: </w:t>
      </w:r>
    </w:p>
    <w:p w:rsidRPr="00412ACA" w:rsidR="00412ACA" w:rsidP="2844F1AF" w:rsidRDefault="00412ACA" w14:paraId="6C7BACA8" w14:textId="51B62C98">
      <w:pPr>
        <w:rPr>
          <w:rFonts w:ascii="Abadi" w:hAnsi="Abadi"/>
          <w:b w:val="0"/>
          <w:bCs w:val="0"/>
          <w:sz w:val="24"/>
          <w:szCs w:val="24"/>
        </w:rPr>
      </w:pPr>
      <w:r w:rsidRPr="2844F1AF" w:rsidR="05E20C1A">
        <w:rPr>
          <w:rFonts w:ascii="Abadi" w:hAnsi="Abadi"/>
          <w:b w:val="0"/>
          <w:bCs w:val="0"/>
          <w:sz w:val="24"/>
          <w:szCs w:val="24"/>
        </w:rPr>
        <w:t xml:space="preserve">The legal system in use in both Great Britain and the United States is known as common law (except the state of Louisiana). </w:t>
      </w:r>
      <w:r w:rsidRPr="2844F1AF" w:rsidR="05E20C1A">
        <w:rPr>
          <w:rFonts w:ascii="Abadi" w:hAnsi="Abadi"/>
          <w:b w:val="0"/>
          <w:bCs w:val="0"/>
          <w:sz w:val="24"/>
          <w:szCs w:val="24"/>
        </w:rPr>
        <w:t>In accordance with</w:t>
      </w:r>
      <w:r w:rsidRPr="2844F1AF" w:rsidR="05E20C1A">
        <w:rPr>
          <w:rFonts w:ascii="Abadi" w:hAnsi="Abadi"/>
          <w:b w:val="0"/>
          <w:bCs w:val="0"/>
          <w:sz w:val="24"/>
          <w:szCs w:val="24"/>
        </w:rPr>
        <w:t xml:space="preserve"> common law, judges must </w:t>
      </w:r>
      <w:r w:rsidRPr="2844F1AF" w:rsidR="05E20C1A">
        <w:rPr>
          <w:rFonts w:ascii="Abadi" w:hAnsi="Abadi"/>
          <w:b w:val="0"/>
          <w:bCs w:val="0"/>
          <w:sz w:val="24"/>
          <w:szCs w:val="24"/>
        </w:rPr>
        <w:t>take into account</w:t>
      </w:r>
      <w:r w:rsidRPr="2844F1AF" w:rsidR="05E20C1A">
        <w:rPr>
          <w:rFonts w:ascii="Abadi" w:hAnsi="Abadi"/>
          <w:b w:val="0"/>
          <w:bCs w:val="0"/>
          <w:sz w:val="24"/>
          <w:szCs w:val="24"/>
        </w:rPr>
        <w:t xml:space="preserve"> precedents—judgements made by preceding courts in like circumstances—when formulating their own decisions. Common law is also referred to as "customary law" since judges </w:t>
      </w:r>
      <w:r w:rsidRPr="2844F1AF" w:rsidR="05E20C1A">
        <w:rPr>
          <w:rFonts w:ascii="Abadi" w:hAnsi="Abadi"/>
          <w:b w:val="0"/>
          <w:bCs w:val="0"/>
          <w:sz w:val="24"/>
          <w:szCs w:val="24"/>
        </w:rPr>
        <w:t>take into account</w:t>
      </w:r>
      <w:r w:rsidRPr="2844F1AF" w:rsidR="05E20C1A">
        <w:rPr>
          <w:rFonts w:ascii="Abadi" w:hAnsi="Abadi"/>
          <w:b w:val="0"/>
          <w:bCs w:val="0"/>
          <w:sz w:val="24"/>
          <w:szCs w:val="24"/>
        </w:rPr>
        <w:t xml:space="preserve"> national conventions (common practises) while </w:t>
      </w:r>
      <w:r w:rsidRPr="2844F1AF" w:rsidR="05E20C1A">
        <w:rPr>
          <w:rFonts w:ascii="Abadi" w:hAnsi="Abadi"/>
          <w:b w:val="0"/>
          <w:bCs w:val="0"/>
          <w:sz w:val="24"/>
          <w:szCs w:val="24"/>
        </w:rPr>
        <w:t>rendering</w:t>
      </w:r>
      <w:r w:rsidRPr="2844F1AF" w:rsidR="05E20C1A">
        <w:rPr>
          <w:rFonts w:ascii="Abadi" w:hAnsi="Abadi"/>
          <w:b w:val="0"/>
          <w:bCs w:val="0"/>
          <w:sz w:val="24"/>
          <w:szCs w:val="24"/>
        </w:rPr>
        <w:t xml:space="preserve"> rulings. The legal system in many nations includes parts of common law, which originated in England, with civil law (private cases), which was transmitted from Roman law.</w:t>
      </w:r>
      <w:r w:rsidRPr="2844F1AF" w:rsidR="00412ACA">
        <w:rPr>
          <w:rFonts w:ascii="Abadi" w:hAnsi="Abadi"/>
          <w:b w:val="0"/>
          <w:bCs w:val="0"/>
          <w:sz w:val="24"/>
          <w:szCs w:val="24"/>
        </w:rPr>
        <w:t xml:space="preserve"> </w:t>
      </w:r>
    </w:p>
    <w:p w:rsidR="00412ACA" w:rsidRDefault="00412ACA" w14:paraId="57C5BA25" w14:textId="6E0D501B">
      <w:pPr>
        <w:rPr>
          <w:rFonts w:ascii="Abadi" w:hAnsi="Abadi"/>
          <w:sz w:val="24"/>
          <w:szCs w:val="24"/>
        </w:rPr>
      </w:pPr>
    </w:p>
    <w:p w:rsidR="00412ACA" w:rsidRDefault="00412ACA" w14:paraId="6324987E" w14:textId="5B91A455">
      <w:pPr>
        <w:rPr>
          <w:rFonts w:ascii="Abadi" w:hAnsi="Abadi"/>
          <w:sz w:val="24"/>
          <w:szCs w:val="24"/>
        </w:rPr>
      </w:pPr>
      <w:r>
        <w:rPr>
          <w:rFonts w:ascii="Abadi" w:hAnsi="Abadi"/>
          <w:sz w:val="24"/>
          <w:szCs w:val="24"/>
        </w:rPr>
        <w:t>Work Description………………………</w:t>
      </w:r>
      <w:r w:rsidR="001C7CDC">
        <w:rPr>
          <w:rFonts w:ascii="Abadi" w:hAnsi="Abadi"/>
          <w:sz w:val="24"/>
          <w:szCs w:val="24"/>
        </w:rPr>
        <w:t>………………….…</w:t>
      </w:r>
      <w:r>
        <w:rPr>
          <w:rFonts w:ascii="Abadi" w:hAnsi="Abadi"/>
          <w:sz w:val="24"/>
          <w:szCs w:val="24"/>
        </w:rPr>
        <w:t>1</w:t>
      </w:r>
    </w:p>
    <w:p w:rsidR="00412ACA" w:rsidRDefault="00412ACA" w14:paraId="4F4DC96D" w14:textId="4A1C3424">
      <w:pPr>
        <w:rPr>
          <w:rFonts w:ascii="Abadi" w:hAnsi="Abadi"/>
          <w:sz w:val="24"/>
          <w:szCs w:val="24"/>
        </w:rPr>
      </w:pPr>
      <w:r w:rsidRPr="2844F1AF" w:rsidR="045CC4AA">
        <w:rPr>
          <w:rFonts w:ascii="Abadi" w:hAnsi="Abadi"/>
          <w:sz w:val="24"/>
          <w:szCs w:val="24"/>
        </w:rPr>
        <w:t>Inception</w:t>
      </w:r>
      <w:r w:rsidRPr="2844F1AF" w:rsidR="00412ACA">
        <w:rPr>
          <w:rFonts w:ascii="Abadi" w:hAnsi="Abadi"/>
          <w:sz w:val="24"/>
          <w:szCs w:val="24"/>
        </w:rPr>
        <w:t>…………………………………</w:t>
      </w:r>
      <w:r w:rsidRPr="2844F1AF" w:rsidR="001C7CDC">
        <w:rPr>
          <w:rFonts w:ascii="Abadi" w:hAnsi="Abadi"/>
          <w:sz w:val="24"/>
          <w:szCs w:val="24"/>
        </w:rPr>
        <w:t>…………………...</w:t>
      </w:r>
      <w:r w:rsidRPr="2844F1AF" w:rsidR="00412ACA">
        <w:rPr>
          <w:rFonts w:ascii="Abadi" w:hAnsi="Abadi"/>
          <w:sz w:val="24"/>
          <w:szCs w:val="24"/>
        </w:rPr>
        <w:t>2</w:t>
      </w:r>
    </w:p>
    <w:p w:rsidR="001C7CDC" w:rsidRDefault="001C7CDC" w14:paraId="2D365A87" w14:textId="60F54F1A">
      <w:pPr>
        <w:rPr>
          <w:rFonts w:ascii="Abadi" w:hAnsi="Abadi"/>
          <w:sz w:val="24"/>
          <w:szCs w:val="24"/>
        </w:rPr>
      </w:pPr>
      <w:r>
        <w:rPr>
          <w:rFonts w:ascii="Abadi" w:hAnsi="Abadi"/>
          <w:sz w:val="24"/>
          <w:szCs w:val="24"/>
        </w:rPr>
        <w:t>Common Law………………………………………………....</w:t>
      </w:r>
      <w:r w:rsidR="00B22CBC">
        <w:rPr>
          <w:rFonts w:ascii="Abadi" w:hAnsi="Abadi"/>
          <w:sz w:val="24"/>
          <w:szCs w:val="24"/>
        </w:rPr>
        <w:t>3</w:t>
      </w:r>
    </w:p>
    <w:p w:rsidR="001C7CDC" w:rsidRDefault="001C7CDC" w14:paraId="732BE78D" w14:textId="1A21A46F">
      <w:pPr>
        <w:rPr>
          <w:rFonts w:ascii="Abadi" w:hAnsi="Abadi"/>
          <w:sz w:val="24"/>
          <w:szCs w:val="24"/>
        </w:rPr>
      </w:pPr>
      <w:r>
        <w:rPr>
          <w:rFonts w:ascii="Abadi" w:hAnsi="Abadi"/>
          <w:sz w:val="24"/>
          <w:szCs w:val="24"/>
        </w:rPr>
        <w:t>Civil Law………………………………………………………</w:t>
      </w:r>
      <w:r w:rsidR="00B22CBC">
        <w:rPr>
          <w:rFonts w:ascii="Abadi" w:hAnsi="Abadi"/>
          <w:sz w:val="24"/>
          <w:szCs w:val="24"/>
        </w:rPr>
        <w:t>4</w:t>
      </w:r>
    </w:p>
    <w:p w:rsidR="001C7CDC" w:rsidRDefault="001C7CDC" w14:paraId="2B3A4795" w14:textId="10110CFA">
      <w:pPr>
        <w:rPr>
          <w:rFonts w:ascii="Abadi" w:hAnsi="Abadi"/>
          <w:sz w:val="24"/>
          <w:szCs w:val="24"/>
        </w:rPr>
      </w:pPr>
      <w:r>
        <w:rPr>
          <w:rFonts w:ascii="Abadi" w:hAnsi="Abadi"/>
          <w:sz w:val="24"/>
          <w:szCs w:val="24"/>
        </w:rPr>
        <w:t>Contrast the two systems……………………………………</w:t>
      </w:r>
      <w:proofErr w:type="gramStart"/>
      <w:r w:rsidR="00B22CBC">
        <w:rPr>
          <w:rFonts w:ascii="Abadi" w:hAnsi="Abadi"/>
          <w:sz w:val="24"/>
          <w:szCs w:val="24"/>
        </w:rPr>
        <w:t>5</w:t>
      </w:r>
      <w:proofErr w:type="gramEnd"/>
    </w:p>
    <w:p w:rsidR="001C7CDC" w:rsidRDefault="001C7CDC" w14:paraId="2970EDCC" w14:textId="43700FBD">
      <w:pPr>
        <w:rPr>
          <w:rFonts w:ascii="Abadi" w:hAnsi="Abadi"/>
          <w:sz w:val="24"/>
          <w:szCs w:val="24"/>
        </w:rPr>
      </w:pPr>
      <w:r w:rsidRPr="719EE360" w:rsidR="001C7CDC">
        <w:rPr>
          <w:rFonts w:ascii="Abadi" w:hAnsi="Abadi"/>
          <w:sz w:val="24"/>
          <w:szCs w:val="24"/>
        </w:rPr>
        <w:t>Common law</w:t>
      </w:r>
      <w:r w:rsidRPr="719EE360" w:rsidR="5DDFC1DB">
        <w:rPr>
          <w:rFonts w:ascii="Abadi" w:hAnsi="Abadi"/>
          <w:sz w:val="24"/>
          <w:szCs w:val="24"/>
        </w:rPr>
        <w:t xml:space="preserve"> History...........</w:t>
      </w:r>
      <w:r w:rsidRPr="719EE360" w:rsidR="001C7CDC">
        <w:rPr>
          <w:rFonts w:ascii="Abadi" w:hAnsi="Abadi"/>
          <w:sz w:val="24"/>
          <w:szCs w:val="24"/>
        </w:rPr>
        <w:t>………………</w:t>
      </w:r>
      <w:r w:rsidRPr="719EE360" w:rsidR="001C7CDC">
        <w:rPr>
          <w:rFonts w:ascii="Abadi" w:hAnsi="Abadi"/>
          <w:sz w:val="24"/>
          <w:szCs w:val="24"/>
        </w:rPr>
        <w:t>………</w:t>
      </w:r>
      <w:r w:rsidRPr="719EE360" w:rsidR="001C7CDC">
        <w:rPr>
          <w:rFonts w:ascii="Abadi" w:hAnsi="Abadi"/>
          <w:sz w:val="24"/>
          <w:szCs w:val="24"/>
        </w:rPr>
        <w:t>………</w:t>
      </w:r>
      <w:r w:rsidRPr="719EE360" w:rsidR="001C7CDC">
        <w:rPr>
          <w:rFonts w:ascii="Abadi" w:hAnsi="Abadi"/>
          <w:sz w:val="24"/>
          <w:szCs w:val="24"/>
        </w:rPr>
        <w:t>…..</w:t>
      </w:r>
      <w:r w:rsidRPr="719EE360" w:rsidR="00B22CBC">
        <w:rPr>
          <w:rFonts w:ascii="Abadi" w:hAnsi="Abadi"/>
          <w:sz w:val="24"/>
          <w:szCs w:val="24"/>
        </w:rPr>
        <w:t>6</w:t>
      </w:r>
    </w:p>
    <w:p w:rsidR="001C7CDC" w:rsidRDefault="001C7CDC" w14:paraId="06282D90" w14:textId="34E066D9">
      <w:pPr>
        <w:rPr>
          <w:rFonts w:ascii="Abadi" w:hAnsi="Abadi"/>
          <w:sz w:val="24"/>
          <w:szCs w:val="24"/>
        </w:rPr>
      </w:pPr>
      <w:r>
        <w:rPr>
          <w:rFonts w:ascii="Abadi" w:hAnsi="Abadi"/>
          <w:sz w:val="24"/>
          <w:szCs w:val="24"/>
        </w:rPr>
        <w:t>Examples of the Common law working in practice…………</w:t>
      </w:r>
      <w:r w:rsidR="00B22CBC">
        <w:rPr>
          <w:rFonts w:ascii="Abadi" w:hAnsi="Abadi"/>
          <w:sz w:val="24"/>
          <w:szCs w:val="24"/>
        </w:rPr>
        <w:t>7</w:t>
      </w:r>
    </w:p>
    <w:p w:rsidR="001C7CDC" w:rsidRDefault="001C7CDC" w14:paraId="08699392" w14:textId="4BB19026">
      <w:pPr>
        <w:rPr>
          <w:rFonts w:ascii="Abadi" w:hAnsi="Abadi"/>
          <w:sz w:val="24"/>
          <w:szCs w:val="24"/>
        </w:rPr>
      </w:pPr>
      <w:r>
        <w:rPr>
          <w:rFonts w:ascii="Abadi" w:hAnsi="Abadi"/>
          <w:sz w:val="24"/>
          <w:szCs w:val="24"/>
        </w:rPr>
        <w:t>Conclusion…………………………………………………</w:t>
      </w:r>
      <w:proofErr w:type="gramStart"/>
      <w:r>
        <w:rPr>
          <w:rFonts w:ascii="Abadi" w:hAnsi="Abadi"/>
          <w:sz w:val="24"/>
          <w:szCs w:val="24"/>
        </w:rPr>
        <w:t>…..</w:t>
      </w:r>
      <w:proofErr w:type="gramEnd"/>
      <w:r w:rsidR="00B22CBC">
        <w:rPr>
          <w:rFonts w:ascii="Abadi" w:hAnsi="Abadi"/>
          <w:sz w:val="24"/>
          <w:szCs w:val="24"/>
        </w:rPr>
        <w:t>8</w:t>
      </w:r>
    </w:p>
    <w:p w:rsidR="00710648" w:rsidRDefault="00710648" w14:paraId="75F3DCD7" w14:textId="616973E5">
      <w:pPr>
        <w:rPr>
          <w:rFonts w:ascii="Abadi" w:hAnsi="Abadi"/>
          <w:sz w:val="24"/>
          <w:szCs w:val="24"/>
        </w:rPr>
      </w:pPr>
      <w:r>
        <w:rPr>
          <w:rFonts w:ascii="Abadi" w:hAnsi="Abadi"/>
          <w:sz w:val="24"/>
          <w:szCs w:val="24"/>
        </w:rPr>
        <w:t>Reference list………………………………………………</w:t>
      </w:r>
      <w:proofErr w:type="gramStart"/>
      <w:r>
        <w:rPr>
          <w:rFonts w:ascii="Abadi" w:hAnsi="Abadi"/>
          <w:sz w:val="24"/>
          <w:szCs w:val="24"/>
        </w:rPr>
        <w:t>…..</w:t>
      </w:r>
      <w:proofErr w:type="gramEnd"/>
      <w:r>
        <w:rPr>
          <w:rFonts w:ascii="Abadi" w:hAnsi="Abadi"/>
          <w:sz w:val="24"/>
          <w:szCs w:val="24"/>
        </w:rPr>
        <w:t>9</w:t>
      </w:r>
    </w:p>
    <w:p w:rsidR="001C7CDC" w:rsidRDefault="001C7CDC" w14:paraId="09DA675A" w14:textId="1ABB9F12">
      <w:pPr>
        <w:rPr>
          <w:rFonts w:ascii="Abadi" w:hAnsi="Abadi"/>
          <w:sz w:val="24"/>
          <w:szCs w:val="24"/>
        </w:rPr>
      </w:pPr>
    </w:p>
    <w:p w:rsidR="00B22CBC" w:rsidP="2844F1AF" w:rsidRDefault="00B22CBC" w14:paraId="321BAEA9" w14:textId="655A0796">
      <w:pPr>
        <w:rPr>
          <w:rFonts w:ascii="Abadi" w:hAnsi="Abadi"/>
          <w:b w:val="0"/>
          <w:bCs w:val="0"/>
          <w:sz w:val="24"/>
          <w:szCs w:val="24"/>
        </w:rPr>
      </w:pPr>
      <w:r w:rsidRPr="2844F1AF" w:rsidR="00B22CBC">
        <w:rPr>
          <w:rFonts w:ascii="Abadi" w:hAnsi="Abadi"/>
          <w:b w:val="1"/>
          <w:bCs w:val="1"/>
          <w:sz w:val="24"/>
          <w:szCs w:val="24"/>
        </w:rPr>
        <w:t>Common Law,</w:t>
      </w:r>
    </w:p>
    <w:p w:rsidR="3209F2B8" w:rsidP="2844F1AF" w:rsidRDefault="3209F2B8" w14:paraId="601A3884" w14:textId="1C1539EE">
      <w:pPr>
        <w:rPr>
          <w:rFonts w:ascii="Abadi" w:hAnsi="Abadi"/>
          <w:b w:val="0"/>
          <w:bCs w:val="0"/>
          <w:sz w:val="24"/>
          <w:szCs w:val="24"/>
        </w:rPr>
      </w:pPr>
      <w:r w:rsidRPr="2844F1AF" w:rsidR="3209F2B8">
        <w:rPr>
          <w:rFonts w:ascii="Abadi" w:hAnsi="Abadi"/>
          <w:b w:val="0"/>
          <w:bCs w:val="0"/>
          <w:sz w:val="24"/>
          <w:szCs w:val="24"/>
        </w:rPr>
        <w:t xml:space="preserve">The creation of common law by judges in a courtroom effectively </w:t>
      </w:r>
      <w:r w:rsidRPr="2844F1AF" w:rsidR="3209F2B8">
        <w:rPr>
          <w:rFonts w:ascii="Abadi" w:hAnsi="Abadi"/>
          <w:b w:val="0"/>
          <w:bCs w:val="0"/>
          <w:sz w:val="24"/>
          <w:szCs w:val="24"/>
        </w:rPr>
        <w:t>establishes</w:t>
      </w:r>
      <w:r w:rsidRPr="2844F1AF" w:rsidR="3209F2B8">
        <w:rPr>
          <w:rFonts w:ascii="Abadi" w:hAnsi="Abadi"/>
          <w:b w:val="0"/>
          <w:bCs w:val="0"/>
          <w:sz w:val="24"/>
          <w:szCs w:val="24"/>
        </w:rPr>
        <w:t xml:space="preserve"> legal precedent. The common law is always evolving, in contrast to statutory provisions, which are laws that are enacted by Parliament and codified as Acts of Parliament.</w:t>
      </w:r>
    </w:p>
    <w:p w:rsidR="3209F2B8" w:rsidP="2844F1AF" w:rsidRDefault="3209F2B8" w14:paraId="230593DA" w14:textId="739A715C">
      <w:pPr>
        <w:pStyle w:val="Normal"/>
        <w:rPr>
          <w:rFonts w:ascii="Abadi" w:hAnsi="Abadi"/>
          <w:b w:val="0"/>
          <w:bCs w:val="0"/>
          <w:sz w:val="24"/>
          <w:szCs w:val="24"/>
        </w:rPr>
      </w:pPr>
      <w:r w:rsidRPr="2844F1AF" w:rsidR="3209F2B8">
        <w:rPr>
          <w:rFonts w:ascii="Abadi" w:hAnsi="Abadi"/>
          <w:b w:val="0"/>
          <w:bCs w:val="0"/>
          <w:sz w:val="24"/>
          <w:szCs w:val="24"/>
        </w:rPr>
        <w:t xml:space="preserve"> </w:t>
      </w:r>
    </w:p>
    <w:p w:rsidR="3209F2B8" w:rsidP="2844F1AF" w:rsidRDefault="3209F2B8" w14:paraId="5C96B41F" w14:textId="6809906C">
      <w:pPr>
        <w:pStyle w:val="Normal"/>
        <w:rPr>
          <w:rFonts w:ascii="Abadi" w:hAnsi="Abadi"/>
          <w:b w:val="0"/>
          <w:bCs w:val="0"/>
          <w:sz w:val="24"/>
          <w:szCs w:val="24"/>
        </w:rPr>
      </w:pPr>
      <w:r w:rsidRPr="2844F1AF" w:rsidR="3209F2B8">
        <w:rPr>
          <w:rFonts w:ascii="Abadi" w:hAnsi="Abadi"/>
          <w:b w:val="0"/>
          <w:bCs w:val="0"/>
          <w:sz w:val="24"/>
          <w:szCs w:val="24"/>
        </w:rPr>
        <w:t xml:space="preserve"> </w:t>
      </w:r>
    </w:p>
    <w:p w:rsidR="3209F2B8" w:rsidP="2844F1AF" w:rsidRDefault="3209F2B8" w14:paraId="2325E30B" w14:textId="4A6B80C5">
      <w:pPr>
        <w:pStyle w:val="Normal"/>
        <w:rPr>
          <w:rFonts w:ascii="Abadi" w:hAnsi="Abadi"/>
          <w:b w:val="0"/>
          <w:bCs w:val="0"/>
          <w:sz w:val="24"/>
          <w:szCs w:val="24"/>
        </w:rPr>
      </w:pPr>
      <w:r w:rsidRPr="2844F1AF" w:rsidR="3209F2B8">
        <w:rPr>
          <w:rFonts w:ascii="Abadi" w:hAnsi="Abadi"/>
          <w:b w:val="0"/>
          <w:bCs w:val="0"/>
          <w:sz w:val="24"/>
          <w:szCs w:val="24"/>
        </w:rPr>
        <w:t xml:space="preserve">This is due to the flexible way judges interpret the law by employing their understanding of former legal decisions, their common sense, and by relating the facts of the case they are hearing to those earlier decisions. A civil law system, which is based on statutes and specific texts, is not how English law </w:t>
      </w:r>
      <w:r w:rsidRPr="2844F1AF" w:rsidR="3209F2B8">
        <w:rPr>
          <w:rFonts w:ascii="Abadi" w:hAnsi="Abadi"/>
          <w:b w:val="0"/>
          <w:bCs w:val="0"/>
          <w:sz w:val="24"/>
          <w:szCs w:val="24"/>
        </w:rPr>
        <w:t>operates</w:t>
      </w:r>
      <w:r w:rsidRPr="2844F1AF" w:rsidR="3209F2B8">
        <w:rPr>
          <w:rFonts w:ascii="Abadi" w:hAnsi="Abadi"/>
          <w:b w:val="0"/>
          <w:bCs w:val="0"/>
          <w:sz w:val="24"/>
          <w:szCs w:val="24"/>
        </w:rPr>
        <w:t>; instead, it uses the common law system.</w:t>
      </w:r>
    </w:p>
    <w:p w:rsidR="00A518EB" w:rsidP="00A518EB" w:rsidRDefault="00B22CBC" w14:paraId="2D0AA26E" w14:noSpellErr="1" w14:textId="5BCFB9DB">
      <w:pPr>
        <w:pStyle w:val="NormalWeb"/>
        <w:rPr>
          <w:rFonts w:ascii="Abadi" w:hAnsi="Abadi" w:cs="Arial"/>
          <w:color w:val="636363"/>
        </w:rPr>
      </w:pPr>
    </w:p>
    <w:p w:rsidR="00A518EB" w:rsidP="2844F1AF" w:rsidRDefault="00A518EB" w14:paraId="60486DBC" w14:textId="7E0F9012">
      <w:pPr>
        <w:pStyle w:val="NormalWeb"/>
        <w:rPr>
          <w:rFonts w:ascii="Abadi" w:hAnsi="Abadi" w:cs="Arial"/>
          <w:b w:val="1"/>
          <w:bCs w:val="1"/>
          <w:color w:val="000000" w:themeColor="text1" w:themeTint="FF" w:themeShade="FF"/>
        </w:rPr>
      </w:pPr>
      <w:r w:rsidRPr="2844F1AF" w:rsidR="3473611C">
        <w:rPr>
          <w:rFonts w:ascii="Abadi" w:hAnsi="Abadi" w:cs="Arial"/>
          <w:color w:val="000000" w:themeColor="text1" w:themeTint="FF" w:themeShade="FF"/>
        </w:rPr>
        <w:t xml:space="preserve">By keeping the law "Common" across the nation, the common law ensures that it will always apply. However, because the House of Lords and the Court of Appeal (Criminal Division) in England and Wales </w:t>
      </w:r>
      <w:r w:rsidRPr="2844F1AF" w:rsidR="3473611C">
        <w:rPr>
          <w:rFonts w:ascii="Abadi" w:hAnsi="Abadi" w:cs="Arial"/>
          <w:color w:val="000000" w:themeColor="text1" w:themeTint="FF" w:themeShade="FF"/>
        </w:rPr>
        <w:t>establish</w:t>
      </w:r>
      <w:r w:rsidRPr="2844F1AF" w:rsidR="3473611C">
        <w:rPr>
          <w:rFonts w:ascii="Abadi" w:hAnsi="Abadi" w:cs="Arial"/>
          <w:color w:val="000000" w:themeColor="text1" w:themeTint="FF" w:themeShade="FF"/>
        </w:rPr>
        <w:t xml:space="preserve"> the legal precedent for criminal cases, their rulings are binding on the subordinate courts.</w:t>
      </w:r>
      <w:r w:rsidRPr="2844F1AF" w:rsidR="72193141">
        <w:rPr>
          <w:rFonts w:ascii="Abadi" w:hAnsi="Abadi" w:cs="Arial"/>
          <w:color w:val="000000" w:themeColor="text1" w:themeTint="FF" w:themeShade="FF"/>
        </w:rPr>
        <w:t xml:space="preserve"> Because some circumstances are </w:t>
      </w:r>
      <w:r w:rsidRPr="2844F1AF" w:rsidR="72193141">
        <w:rPr>
          <w:rFonts w:ascii="Abadi" w:hAnsi="Abadi" w:cs="Arial"/>
          <w:color w:val="000000" w:themeColor="text1" w:themeTint="FF" w:themeShade="FF"/>
        </w:rPr>
        <w:t>wholly uncharted</w:t>
      </w:r>
      <w:r w:rsidRPr="2844F1AF" w:rsidR="72193141">
        <w:rPr>
          <w:rFonts w:ascii="Abadi" w:hAnsi="Abadi" w:cs="Arial"/>
          <w:color w:val="000000" w:themeColor="text1" w:themeTint="FF" w:themeShade="FF"/>
        </w:rPr>
        <w:t xml:space="preserve"> territory in terms of common law, the English courts periodically consult the decisions of other commonwealth courts to gain guidance or counsel. Without any English court precedent, an English court would be asked to consider, for example, a decision made in Canada or Australia. As a result of judges consulting one another for guidance, the common law system may also be able to be </w:t>
      </w:r>
      <w:r w:rsidRPr="2844F1AF" w:rsidR="72193141">
        <w:rPr>
          <w:rFonts w:ascii="Abadi" w:hAnsi="Abadi" w:cs="Arial"/>
          <w:color w:val="000000" w:themeColor="text1" w:themeTint="FF" w:themeShade="FF"/>
        </w:rPr>
        <w:t>somewhat flexible</w:t>
      </w:r>
      <w:r w:rsidRPr="2844F1AF" w:rsidR="72193141">
        <w:rPr>
          <w:rFonts w:ascii="Abadi" w:hAnsi="Abadi" w:cs="Arial"/>
          <w:color w:val="000000" w:themeColor="text1" w:themeTint="FF" w:themeShade="FF"/>
        </w:rPr>
        <w:t xml:space="preserve"> and stable.</w:t>
      </w:r>
      <w:r w:rsidRPr="2844F1AF" w:rsidR="72193141">
        <w:rPr>
          <w:rFonts w:ascii="Abadi" w:hAnsi="Abadi" w:cs="Arial"/>
          <w:color w:val="000000" w:themeColor="text1"/>
          <w:shd w:val="clear" w:color="auto" w:fill="FFFFFF"/>
        </w:rPr>
        <w:t xml:space="preserve"> </w:t>
      </w:r>
    </w:p>
    <w:p w:rsidR="00A518EB" w:rsidP="00A518EB" w:rsidRDefault="00A518EB" w14:paraId="3F4DE5A7" w14:textId="177C29D9">
      <w:pPr>
        <w:pStyle w:val="NormalWeb"/>
        <w:rPr>
          <w:rFonts w:ascii="Abadi" w:hAnsi="Abadi" w:cs="Arial"/>
          <w:b w:val="1"/>
          <w:bCs w:val="1"/>
          <w:color w:val="000000" w:themeColor="text1"/>
          <w:shd w:val="clear" w:color="auto" w:fill="FFFFFF"/>
        </w:rPr>
      </w:pPr>
      <w:r w:rsidRPr="2844F1AF" w:rsidR="00A518EB">
        <w:rPr>
          <w:rFonts w:ascii="Abadi" w:hAnsi="Abadi" w:cs="Arial"/>
          <w:b w:val="1"/>
          <w:bCs w:val="1"/>
          <w:color w:val="000000" w:themeColor="text1" w:themeTint="FF" w:themeShade="FF"/>
        </w:rPr>
        <w:t>Civil law,</w:t>
      </w:r>
    </w:p>
    <w:p w:rsidR="00634DC6" w:rsidP="00A518EB" w:rsidRDefault="00442164" w14:paraId="188BBC3A" w14:textId="63144246">
      <w:pPr>
        <w:pStyle w:val="NormalWeb"/>
        <w:rPr>
          <w:rFonts w:ascii="Abadi" w:hAnsi="Abadi"/>
          <w:color w:val="000000" w:themeColor="text1"/>
          <w:shd w:val="clear" w:color="auto" w:fill="FFFFFF"/>
        </w:rPr>
      </w:pPr>
      <w:r w:rsidRPr="2844F1AF" w:rsidR="431F1781">
        <w:rPr>
          <w:rFonts w:ascii="Abadi" w:hAnsi="Abadi"/>
          <w:color w:val="000000" w:themeColor="text1" w:themeTint="FF" w:themeShade="FF"/>
        </w:rPr>
        <w:t>Conflicts between private parties are governed by civil law, typically referred to as Romano-Germanic law (companies). Cases involving disputes between private parties and the administration, as well as those involving public and criminal law, are different from this. Contracts, property, inheritance, and family law are only a few of the aspects discussed by civil law.</w:t>
      </w:r>
    </w:p>
    <w:p w:rsidR="00634DC6" w:rsidP="00A518EB" w:rsidRDefault="00634DC6" w14:paraId="6272E6FF" w14:textId="44FE13E3">
      <w:pPr>
        <w:pStyle w:val="NormalWeb"/>
        <w:rPr>
          <w:rFonts w:ascii="Abadi" w:hAnsi="Abadi"/>
          <w:color w:val="000000" w:themeColor="text1"/>
          <w:shd w:val="clear" w:color="auto" w:fill="FFFFFF"/>
        </w:rPr>
      </w:pPr>
      <w:r w:rsidRPr="2844F1AF" w:rsidR="1BABF14C">
        <w:rPr>
          <w:rFonts w:ascii="Abadi" w:hAnsi="Abadi"/>
          <w:color w:val="000000" w:themeColor="text1" w:themeTint="FF" w:themeShade="FF"/>
        </w:rPr>
        <w:t>For instance, in ancient Rome, the phrase "jus civile," or "civil law," was used to distinguish between the law that only applied in the city of Rome and the jus, or law of all nations, that governed the whole empire. Moreover, it has been used to distinguish between public law and criminal law and private law, which governs relationships between persons. The positive law of the state, as contrasted with natural law, is alluded to as civil law in the legal theory.</w:t>
      </w:r>
    </w:p>
    <w:p w:rsidR="2844F1AF" w:rsidP="2844F1AF" w:rsidRDefault="2844F1AF" w14:paraId="7ED47A6E" w14:textId="44C4CC3F">
      <w:pPr>
        <w:pStyle w:val="NormalWeb"/>
        <w:rPr>
          <w:rFonts w:ascii="Abadi" w:hAnsi="Abadi"/>
          <w:color w:val="000000" w:themeColor="text1" w:themeTint="FF" w:themeShade="FF"/>
        </w:rPr>
      </w:pPr>
    </w:p>
    <w:p w:rsidR="00634DC6" w:rsidP="00A518EB" w:rsidRDefault="00634DC6" w14:paraId="4483AD26" w14:textId="2F2605E0">
      <w:pPr>
        <w:pStyle w:val="NormalWeb"/>
        <w:rPr>
          <w:rFonts w:ascii="Abadi" w:hAnsi="Abadi"/>
          <w:b/>
          <w:bCs/>
          <w:color w:val="000000" w:themeColor="text1"/>
          <w:shd w:val="clear" w:color="auto" w:fill="FFFFFF"/>
        </w:rPr>
      </w:pPr>
      <w:r w:rsidR="00634DC6">
        <w:rPr>
          <w:rFonts w:ascii="Abadi" w:hAnsi="Abadi"/>
          <w:b w:val="1"/>
          <w:bCs w:val="1"/>
          <w:color w:val="000000" w:themeColor="text1"/>
          <w:shd w:val="clear" w:color="auto" w:fill="FFFFFF"/>
        </w:rPr>
        <w:t>Contrast the two systems,</w:t>
      </w:r>
    </w:p>
    <w:p w:rsidRPr="00710648" w:rsidR="00710648" w:rsidP="2844F1AF" w:rsidRDefault="00710648" w14:paraId="519B2CA3" w14:textId="47B2FB19">
      <w:pPr>
        <w:pStyle w:val="NormalWeb"/>
        <w:shd w:val="clear" w:color="auto" w:fill="FFFFFF" w:themeFill="background1"/>
        <w:spacing w:before="0" w:after="0"/>
        <w:rPr>
          <w:rFonts w:ascii="Abadi" w:hAnsi="Abadi"/>
          <w:color w:val="000000" w:themeColor="text1" w:themeTint="FF" w:themeShade="FF"/>
        </w:rPr>
      </w:pPr>
      <w:r w:rsidRPr="2844F1AF" w:rsidR="3F02348C">
        <w:rPr>
          <w:rFonts w:ascii="Abadi" w:hAnsi="Abadi"/>
          <w:color w:val="000000" w:themeColor="text1" w:themeTint="FF" w:themeShade="FF"/>
        </w:rPr>
        <w:t>The common law system and the civil law system are the two main sorts of legal systems encountered in nations around the world. There are approximately 80 countries with common law, compared to about 150 with regimes that can be defined as just being largely civil law.</w:t>
      </w:r>
    </w:p>
    <w:p w:rsidRPr="00710648" w:rsidR="00710648" w:rsidP="2844F1AF" w:rsidRDefault="00710648" w14:paraId="61EB5517" w14:textId="761672B5">
      <w:pPr>
        <w:pStyle w:val="NormalWeb"/>
        <w:spacing w:before="0" w:after="0"/>
      </w:pPr>
      <w:r w:rsidRPr="2844F1AF" w:rsidR="3F02348C">
        <w:rPr>
          <w:rFonts w:ascii="Abadi" w:hAnsi="Abadi"/>
          <w:color w:val="000000" w:themeColor="text1" w:themeTint="FF" w:themeShade="FF"/>
        </w:rPr>
        <w:t xml:space="preserve"> </w:t>
      </w:r>
    </w:p>
    <w:p w:rsidRPr="00710648" w:rsidR="00710648" w:rsidP="2844F1AF" w:rsidRDefault="00710648" w14:paraId="7C900A43" w14:textId="35104347">
      <w:pPr>
        <w:pStyle w:val="NormalWeb"/>
        <w:spacing w:before="0" w:after="0"/>
        <w:rPr>
          <w:rFonts w:ascii="Abadi" w:hAnsi="Abadi"/>
          <w:color w:val="000000" w:themeColor="text1" w:themeTint="FF" w:themeShade="FF"/>
        </w:rPr>
      </w:pPr>
      <w:r w:rsidRPr="2844F1AF" w:rsidR="3F02348C">
        <w:rPr>
          <w:rFonts w:ascii="Abadi" w:hAnsi="Abadi"/>
          <w:color w:val="000000" w:themeColor="text1" w:themeTint="FF" w:themeShade="FF"/>
        </w:rPr>
        <w:t xml:space="preserve">The key difference among the two legal systems is that case law, which takes the form of recorded judicial decisions in common law nations, is more significant than codified statutes in civil law systems. These boundaries, however, are not as well delineated as they would appear. Indeed, the legal systems of many nations include elements of common law and civil law. The historical origins of these systems must first be grasped </w:t>
      </w:r>
      <w:r w:rsidRPr="2844F1AF" w:rsidR="3F02348C">
        <w:rPr>
          <w:rFonts w:ascii="Abadi" w:hAnsi="Abadi"/>
          <w:color w:val="000000" w:themeColor="text1" w:themeTint="FF" w:themeShade="FF"/>
        </w:rPr>
        <w:t>in order to</w:t>
      </w:r>
      <w:r w:rsidRPr="2844F1AF" w:rsidR="3F02348C">
        <w:rPr>
          <w:rFonts w:ascii="Abadi" w:hAnsi="Abadi"/>
          <w:color w:val="000000" w:themeColor="text1" w:themeTint="FF" w:themeShade="FF"/>
        </w:rPr>
        <w:t xml:space="preserve"> </w:t>
      </w:r>
      <w:r w:rsidRPr="2844F1AF" w:rsidR="3F02348C">
        <w:rPr>
          <w:rFonts w:ascii="Abadi" w:hAnsi="Abadi"/>
          <w:color w:val="000000" w:themeColor="text1" w:themeTint="FF" w:themeShade="FF"/>
        </w:rPr>
        <w:t>comprehend</w:t>
      </w:r>
      <w:r w:rsidRPr="2844F1AF" w:rsidR="3F02348C">
        <w:rPr>
          <w:rFonts w:ascii="Abadi" w:hAnsi="Abadi"/>
          <w:color w:val="000000" w:themeColor="text1" w:themeTint="FF" w:themeShade="FF"/>
        </w:rPr>
        <w:t xml:space="preserve"> the contrasts between them.</w:t>
      </w:r>
      <w:r w:rsidRPr="00710648" w:rsidR="3F02348C">
        <w:rPr>
          <w:rFonts w:ascii="Abadi" w:hAnsi="Abadi"/>
          <w:color w:val="000000" w:themeColor="text1"/>
          <w:spacing w:val="4"/>
        </w:rPr>
        <w:t xml:space="preserve"> </w:t>
      </w:r>
      <w:r w:rsidRPr="2844F1AF" w:rsidR="6069963B">
        <w:rPr>
          <w:rFonts w:ascii="Abadi" w:hAnsi="Abadi"/>
          <w:color w:val="000000" w:themeColor="text1" w:themeTint="FF" w:themeShade="FF"/>
        </w:rPr>
        <w:t>As was already established, the judge, not the attorneys, conducts the majority of the case's investigation in civil law. Basically, the judge's job is to establish the facts of the case and apply the pertinent code.</w:t>
      </w:r>
    </w:p>
    <w:p w:rsidRPr="00710648" w:rsidR="00710648" w:rsidP="2844F1AF" w:rsidRDefault="00710648" w14:paraId="76639D6E" w14:textId="7D549DAE">
      <w:pPr>
        <w:pStyle w:val="NormalWeb"/>
        <w:spacing w:before="0" w:after="0"/>
      </w:pPr>
      <w:r w:rsidRPr="2844F1AF" w:rsidR="6069963B">
        <w:rPr>
          <w:rFonts w:ascii="Abadi" w:hAnsi="Abadi"/>
          <w:color w:val="000000" w:themeColor="text1" w:themeTint="FF" w:themeShade="FF"/>
        </w:rPr>
        <w:t xml:space="preserve"> </w:t>
      </w:r>
    </w:p>
    <w:p w:rsidRPr="00710648" w:rsidR="00710648" w:rsidP="2844F1AF" w:rsidRDefault="00710648" w14:paraId="227131C2" w14:textId="17A9A82B">
      <w:pPr>
        <w:pStyle w:val="NormalWeb"/>
        <w:spacing w:before="0" w:after="0"/>
      </w:pPr>
      <w:r w:rsidRPr="2844F1AF" w:rsidR="6069963B">
        <w:rPr>
          <w:rFonts w:ascii="Abadi" w:hAnsi="Abadi"/>
          <w:color w:val="000000" w:themeColor="text1" w:themeTint="FF" w:themeShade="FF"/>
        </w:rPr>
        <w:t xml:space="preserve"> </w:t>
      </w:r>
    </w:p>
    <w:p w:rsidRPr="00710648" w:rsidR="00710648" w:rsidP="2844F1AF" w:rsidRDefault="00710648" w14:paraId="0F953741" w14:textId="4B31B46C">
      <w:pPr>
        <w:pStyle w:val="NormalWeb"/>
        <w:spacing w:before="0" w:after="0"/>
        <w:rPr>
          <w:rFonts w:ascii="Abadi" w:hAnsi="Abadi"/>
          <w:color w:val="000000" w:themeColor="text1" w:themeTint="FF" w:themeShade="FF"/>
        </w:rPr>
      </w:pPr>
      <w:r w:rsidRPr="2844F1AF" w:rsidR="6069963B">
        <w:rPr>
          <w:rFonts w:ascii="Abadi" w:hAnsi="Abadi"/>
          <w:color w:val="000000" w:themeColor="text1" w:themeTint="FF" w:themeShade="FF"/>
        </w:rPr>
        <w:t xml:space="preserve">In statutory law, the judge </w:t>
      </w:r>
      <w:r w:rsidRPr="2844F1AF" w:rsidR="6069963B">
        <w:rPr>
          <w:rFonts w:ascii="Abadi" w:hAnsi="Abadi"/>
          <w:color w:val="000000" w:themeColor="text1" w:themeTint="FF" w:themeShade="FF"/>
        </w:rPr>
        <w:t>renders</w:t>
      </w:r>
      <w:r w:rsidRPr="2844F1AF" w:rsidR="6069963B">
        <w:rPr>
          <w:rFonts w:ascii="Abadi" w:hAnsi="Abadi"/>
          <w:color w:val="000000" w:themeColor="text1" w:themeTint="FF" w:themeShade="FF"/>
        </w:rPr>
        <w:t xml:space="preserve"> decisions based on the justifications put forward by each party. As opposed to acting as the lead investigator, they look at the evidence of each case more as an </w:t>
      </w:r>
      <w:r w:rsidRPr="2844F1AF" w:rsidR="6069963B">
        <w:rPr>
          <w:rFonts w:ascii="Abadi" w:hAnsi="Abadi"/>
          <w:color w:val="000000" w:themeColor="text1" w:themeTint="FF" w:themeShade="FF"/>
        </w:rPr>
        <w:t>objective</w:t>
      </w:r>
      <w:r w:rsidRPr="2844F1AF" w:rsidR="6069963B">
        <w:rPr>
          <w:rFonts w:ascii="Abadi" w:hAnsi="Abadi"/>
          <w:color w:val="000000" w:themeColor="text1" w:themeTint="FF" w:themeShade="FF"/>
        </w:rPr>
        <w:t xml:space="preserve"> third party. In common law </w:t>
      </w:r>
      <w:r w:rsidRPr="2844F1AF" w:rsidR="6069963B">
        <w:rPr>
          <w:rFonts w:ascii="Abadi" w:hAnsi="Abadi"/>
          <w:color w:val="000000" w:themeColor="text1" w:themeTint="FF" w:themeShade="FF"/>
        </w:rPr>
        <w:t>jurisdictions</w:t>
      </w:r>
      <w:r w:rsidRPr="2844F1AF" w:rsidR="6069963B">
        <w:rPr>
          <w:rFonts w:ascii="Abadi" w:hAnsi="Abadi"/>
          <w:color w:val="000000" w:themeColor="text1" w:themeTint="FF" w:themeShade="FF"/>
        </w:rPr>
        <w:t>, attorneys have a lot greater influence over the direction of a client's case than a court would.</w:t>
      </w:r>
      <w:r w:rsidRPr="00710648" w:rsidR="6069963B">
        <w:rPr>
          <w:rFonts w:ascii="Abadi" w:hAnsi="Abadi"/>
          <w:color w:val="000000" w:themeColor="text1"/>
          <w:spacing w:val="4"/>
        </w:rPr>
        <w:t xml:space="preserve"> </w:t>
      </w:r>
      <w:proofErr w:type="gramStart"/>
      <w:r w:rsidRPr="2844F1AF" w:rsidR="132CC2FC">
        <w:rPr>
          <w:rFonts w:ascii="Abadi" w:hAnsi="Abadi"/>
          <w:color w:val="000000" w:themeColor="text1" w:themeTint="FF" w:themeShade="FF"/>
        </w:rPr>
        <w:t xml:space="preserve">Of fact, there are considerable distinctions between common law and civil law states </w:t>
      </w:r>
      <w:r w:rsidRPr="2844F1AF" w:rsidR="132CC2FC">
        <w:rPr>
          <w:rFonts w:ascii="Abadi" w:hAnsi="Abadi"/>
          <w:color w:val="000000" w:themeColor="text1" w:themeTint="FF" w:themeShade="FF"/>
        </w:rPr>
        <w:t>regarding</w:t>
      </w:r>
      <w:r w:rsidRPr="2844F1AF" w:rsidR="132CC2FC">
        <w:rPr>
          <w:rFonts w:ascii="Abadi" w:hAnsi="Abadi"/>
          <w:color w:val="000000" w:themeColor="text1" w:themeTint="FF" w:themeShade="FF"/>
        </w:rPr>
        <w:t xml:space="preserve"> the presentation of evidence in court cases. This could relate to the admissibility of </w:t>
      </w:r>
      <w:r w:rsidRPr="2844F1AF" w:rsidR="132CC2FC">
        <w:rPr>
          <w:rFonts w:ascii="Abadi" w:hAnsi="Abadi"/>
          <w:color w:val="000000" w:themeColor="text1" w:themeTint="FF" w:themeShade="FF"/>
        </w:rPr>
        <w:t>affidavits</w:t>
      </w:r>
      <w:r w:rsidRPr="2844F1AF" w:rsidR="132CC2FC">
        <w:rPr>
          <w:rFonts w:ascii="Abadi" w:hAnsi="Abadi"/>
          <w:color w:val="000000" w:themeColor="text1" w:themeTint="FF" w:themeShade="FF"/>
        </w:rPr>
        <w:t xml:space="preserve"> in civil cases or the operation of the discovery procedure.</w:t>
      </w:r>
      <w:proofErr w:type="gramEnd"/>
      <w:r w:rsidRPr="00710648" w:rsidR="132CC2FC">
        <w:rPr>
          <w:rFonts w:ascii="Abadi" w:hAnsi="Abadi"/>
          <w:color w:val="000000" w:themeColor="text1"/>
          <w:spacing w:val="4"/>
        </w:rPr>
        <w:t xml:space="preserve"> </w:t>
      </w:r>
      <w:r w:rsidRPr="2844F1AF" w:rsidR="1B2D33ED">
        <w:rPr>
          <w:rFonts w:ascii="Abadi" w:hAnsi="Abadi"/>
          <w:color w:val="000000" w:themeColor="text1" w:themeTint="FF" w:themeShade="FF"/>
        </w:rPr>
        <w:t>A crucial difference in civil law is that, while the judge functions as the chief prosecutor, court-ordered expert research can form a substantial chunk of the trial. Under common law, parties may choose to name an expert witness instead, who is then subjected to cross-examination by the parties' attorneys.</w:t>
      </w:r>
    </w:p>
    <w:p w:rsidRPr="00710648" w:rsidR="00710648" w:rsidP="2844F1AF" w:rsidRDefault="00710648" w14:paraId="6CC7BE95" w14:textId="01D444A2">
      <w:pPr>
        <w:pStyle w:val="NormalWeb"/>
        <w:spacing w:before="0" w:after="0"/>
      </w:pPr>
      <w:r w:rsidRPr="2844F1AF" w:rsidR="1B2D33ED">
        <w:rPr>
          <w:rFonts w:ascii="Abadi" w:hAnsi="Abadi"/>
          <w:color w:val="000000" w:themeColor="text1" w:themeTint="FF" w:themeShade="FF"/>
        </w:rPr>
        <w:t xml:space="preserve"> </w:t>
      </w:r>
    </w:p>
    <w:p w:rsidRPr="00710648" w:rsidR="00710648" w:rsidP="2844F1AF" w:rsidRDefault="00710648" w14:paraId="3DF3FEF5" w14:textId="70382865">
      <w:pPr>
        <w:pStyle w:val="NormalWeb"/>
        <w:spacing w:before="0" w:after="0"/>
      </w:pPr>
      <w:r w:rsidRPr="2844F1AF" w:rsidR="1B2D33ED">
        <w:rPr>
          <w:rFonts w:ascii="Abadi" w:hAnsi="Abadi"/>
          <w:color w:val="000000" w:themeColor="text1" w:themeTint="FF" w:themeShade="FF"/>
        </w:rPr>
        <w:t>Different cultural</w:t>
      </w:r>
      <w:r w:rsidRPr="2844F1AF" w:rsidR="1B2D33ED">
        <w:rPr>
          <w:rFonts w:ascii="Abadi" w:hAnsi="Abadi"/>
          <w:color w:val="000000" w:themeColor="text1" w:themeTint="FF" w:themeShade="FF"/>
        </w:rPr>
        <w:t xml:space="preserve"> interpretations of the same piece of evidence, not to mention variations across civil and common law countries, might cause concern for commercial parties in disagreements with a cross-border </w:t>
      </w:r>
      <w:r w:rsidRPr="2844F1AF" w:rsidR="1B2D33ED">
        <w:rPr>
          <w:rFonts w:ascii="Abadi" w:hAnsi="Abadi"/>
          <w:color w:val="000000" w:themeColor="text1" w:themeTint="FF" w:themeShade="FF"/>
        </w:rPr>
        <w:t>component</w:t>
      </w:r>
      <w:r w:rsidRPr="2844F1AF" w:rsidR="1B2D33ED">
        <w:rPr>
          <w:rFonts w:ascii="Abadi" w:hAnsi="Abadi"/>
          <w:color w:val="000000" w:themeColor="text1" w:themeTint="FF" w:themeShade="FF"/>
        </w:rPr>
        <w:t>.</w:t>
      </w:r>
    </w:p>
    <w:p w:rsidR="2844F1AF" w:rsidP="2844F1AF" w:rsidRDefault="2844F1AF" w14:paraId="13F146AF" w14:textId="1F7811E1">
      <w:pPr>
        <w:pStyle w:val="NormalWeb"/>
        <w:spacing w:before="0" w:after="0"/>
        <w:rPr>
          <w:rFonts w:ascii="Abadi" w:hAnsi="Abadi"/>
          <w:color w:val="000000" w:themeColor="text1" w:themeTint="FF" w:themeShade="FF"/>
        </w:rPr>
      </w:pPr>
    </w:p>
    <w:p w:rsidR="0034445F" w:rsidP="0034445F" w:rsidRDefault="00A43ED6" w14:paraId="1BA00626" w14:textId="4D4F7724">
      <w:pPr>
        <w:pStyle w:val="NormalWeb"/>
        <w:rPr>
          <w:rFonts w:ascii="Source Sans Pro" w:hAnsi="Source Sans Pro"/>
          <w:b/>
          <w:bCs/>
          <w:color w:val="000000" w:themeColor="text1"/>
          <w:shd w:val="clear" w:color="auto" w:fill="F9F9F9"/>
        </w:rPr>
      </w:pPr>
      <w:r w:rsidR="00A43ED6">
        <w:rPr>
          <w:rFonts w:ascii="Source Sans Pro" w:hAnsi="Source Sans Pro"/>
          <w:b w:val="1"/>
          <w:bCs w:val="1"/>
          <w:color w:val="000000" w:themeColor="text1"/>
          <w:shd w:val="clear" w:color="auto" w:fill="F9F9F9"/>
        </w:rPr>
        <w:t xml:space="preserve">History of the common law, </w:t>
      </w:r>
    </w:p>
    <w:p w:rsidR="2844F1AF" w:rsidP="2844F1AF" w:rsidRDefault="2844F1AF" w14:paraId="1F96AE4A" w14:textId="79EED267">
      <w:pPr>
        <w:pStyle w:val="NormalWeb"/>
        <w:rPr>
          <w:rFonts w:ascii="Source Sans Pro" w:hAnsi="Source Sans Pro"/>
          <w:b w:val="1"/>
          <w:bCs w:val="1"/>
          <w:color w:val="000000" w:themeColor="text1" w:themeTint="FF" w:themeShade="FF"/>
        </w:rPr>
      </w:pPr>
    </w:p>
    <w:p w:rsidRPr="0034445F" w:rsidR="0034445F" w:rsidP="2844F1AF" w:rsidRDefault="0034445F" w14:paraId="5242BA32" w14:textId="258FB947">
      <w:pPr>
        <w:spacing w:before="100" w:beforeAutospacing="on" w:after="100" w:afterAutospacing="on" w:line="240" w:lineRule="auto"/>
        <w:rPr>
          <w:rFonts w:ascii="Arial" w:hAnsi="Arial" w:eastAsia="Times New Roman" w:cs="Arial"/>
          <w:color w:val="636363"/>
          <w:sz w:val="24"/>
          <w:szCs w:val="24"/>
          <w:lang w:eastAsia="en-GB"/>
        </w:rPr>
      </w:pPr>
      <w:r w:rsidRPr="2844F1AF" w:rsidR="0FD84380">
        <w:rPr>
          <w:rFonts w:ascii="Abadi" w:hAnsi="Abadi" w:eastAsia="Times New Roman" w:cs="Arial"/>
          <w:color w:val="000000" w:themeColor="text1" w:themeTint="FF" w:themeShade="FF"/>
          <w:sz w:val="24"/>
          <w:szCs w:val="24"/>
          <w:lang w:eastAsia="en-GB"/>
        </w:rPr>
        <w:t>In order to ensure that there were laws that superseded the rulings of the lower courts, as is still the case today, the English courts Kings Bench, Court of Common Pleas, and Exchequer invented common law.</w:t>
      </w:r>
    </w:p>
    <w:p w:rsidRPr="0034445F" w:rsidR="0034445F" w:rsidP="2844F1AF" w:rsidRDefault="0034445F" w14:paraId="2B48A2C4" w14:textId="7CE6F1CD">
      <w:pPr>
        <w:pStyle w:val="Normal"/>
        <w:spacing w:before="100" w:beforeAutospacing="on" w:after="100" w:afterAutospacing="on" w:line="240" w:lineRule="auto"/>
      </w:pPr>
      <w:r w:rsidRPr="2844F1AF" w:rsidR="0FD84380">
        <w:rPr>
          <w:rFonts w:ascii="Abadi" w:hAnsi="Abadi" w:eastAsia="Times New Roman" w:cs="Arial"/>
          <w:color w:val="000000" w:themeColor="text1" w:themeTint="FF" w:themeShade="FF"/>
          <w:sz w:val="24"/>
          <w:szCs w:val="24"/>
          <w:lang w:eastAsia="en-GB"/>
        </w:rPr>
        <w:t xml:space="preserve"> </w:t>
      </w:r>
    </w:p>
    <w:p w:rsidRPr="0034445F" w:rsidR="0034445F" w:rsidP="2844F1AF" w:rsidRDefault="0034445F" w14:paraId="60596FE7" w14:textId="3A27CE8B">
      <w:pPr>
        <w:pStyle w:val="Normal"/>
        <w:spacing w:before="100" w:beforeAutospacing="on" w:after="100" w:afterAutospacing="on" w:line="240" w:lineRule="auto"/>
        <w:rPr>
          <w:rFonts w:ascii="Arial" w:hAnsi="Arial" w:eastAsia="Times New Roman" w:cs="Arial"/>
          <w:color w:val="636363"/>
          <w:sz w:val="24"/>
          <w:szCs w:val="24"/>
          <w:lang w:eastAsia="en-GB"/>
        </w:rPr>
      </w:pPr>
      <w:r w:rsidRPr="2844F1AF" w:rsidR="0FD84380">
        <w:rPr>
          <w:rFonts w:ascii="Abadi" w:hAnsi="Abadi" w:eastAsia="Times New Roman" w:cs="Arial"/>
          <w:color w:val="000000" w:themeColor="text1" w:themeTint="FF" w:themeShade="FF"/>
          <w:sz w:val="24"/>
          <w:szCs w:val="24"/>
          <w:lang w:eastAsia="en-GB"/>
        </w:rPr>
        <w:t xml:space="preserve">By issuing written rulings on the cases they hear, judges </w:t>
      </w:r>
      <w:r w:rsidRPr="2844F1AF" w:rsidR="0FD84380">
        <w:rPr>
          <w:rFonts w:ascii="Abadi" w:hAnsi="Abadi" w:eastAsia="Times New Roman" w:cs="Arial"/>
          <w:color w:val="000000" w:themeColor="text1" w:themeTint="FF" w:themeShade="FF"/>
          <w:sz w:val="24"/>
          <w:szCs w:val="24"/>
          <w:lang w:eastAsia="en-GB"/>
        </w:rPr>
        <w:t>establish</w:t>
      </w:r>
      <w:r w:rsidRPr="2844F1AF" w:rsidR="0FD84380">
        <w:rPr>
          <w:rFonts w:ascii="Abadi" w:hAnsi="Abadi" w:eastAsia="Times New Roman" w:cs="Arial"/>
          <w:color w:val="000000" w:themeColor="text1" w:themeTint="FF" w:themeShade="FF"/>
          <w:sz w:val="24"/>
          <w:szCs w:val="24"/>
          <w:lang w:eastAsia="en-GB"/>
        </w:rPr>
        <w:t xml:space="preserve"> the common law. If Magistrates' Courts in England and Wales, for instance, were </w:t>
      </w:r>
      <w:r w:rsidRPr="2844F1AF" w:rsidR="0FD84380">
        <w:rPr>
          <w:rFonts w:ascii="Abadi" w:hAnsi="Abadi" w:eastAsia="Times New Roman" w:cs="Arial"/>
          <w:color w:val="000000" w:themeColor="text1" w:themeTint="FF" w:themeShade="FF"/>
          <w:sz w:val="24"/>
          <w:szCs w:val="24"/>
          <w:lang w:eastAsia="en-GB"/>
        </w:rPr>
        <w:t>permitted</w:t>
      </w:r>
      <w:r w:rsidRPr="2844F1AF" w:rsidR="0FD84380">
        <w:rPr>
          <w:rFonts w:ascii="Abadi" w:hAnsi="Abadi" w:eastAsia="Times New Roman" w:cs="Arial"/>
          <w:color w:val="000000" w:themeColor="text1" w:themeTint="FF" w:themeShade="FF"/>
          <w:sz w:val="24"/>
          <w:szCs w:val="24"/>
          <w:lang w:eastAsia="en-GB"/>
        </w:rPr>
        <w:t xml:space="preserve"> to </w:t>
      </w:r>
      <w:r w:rsidRPr="2844F1AF" w:rsidR="0FD84380">
        <w:rPr>
          <w:rFonts w:ascii="Abadi" w:hAnsi="Abadi" w:eastAsia="Times New Roman" w:cs="Arial"/>
          <w:color w:val="000000" w:themeColor="text1" w:themeTint="FF" w:themeShade="FF"/>
          <w:sz w:val="24"/>
          <w:szCs w:val="24"/>
          <w:lang w:eastAsia="en-GB"/>
        </w:rPr>
        <w:t>establish</w:t>
      </w:r>
      <w:r w:rsidRPr="2844F1AF" w:rsidR="0FD84380">
        <w:rPr>
          <w:rFonts w:ascii="Abadi" w:hAnsi="Abadi" w:eastAsia="Times New Roman" w:cs="Arial"/>
          <w:color w:val="000000" w:themeColor="text1" w:themeTint="FF" w:themeShade="FF"/>
          <w:sz w:val="24"/>
          <w:szCs w:val="24"/>
          <w:lang w:eastAsia="en-GB"/>
        </w:rPr>
        <w:t xml:space="preserve"> and uphold their own precedents, this would lead to a significant difference in local and regional norms that may make local regimes hardly distinguishable from one another. </w:t>
      </w:r>
      <w:r w:rsidRPr="2844F1AF" w:rsidR="62E1BB72">
        <w:rPr>
          <w:rFonts w:ascii="Abadi" w:hAnsi="Abadi" w:eastAsia="Times New Roman" w:cs="Arial"/>
          <w:color w:val="000000" w:themeColor="text1" w:themeTint="FF" w:themeShade="FF"/>
          <w:sz w:val="24"/>
          <w:szCs w:val="24"/>
          <w:lang w:eastAsia="en-GB"/>
        </w:rPr>
        <w:t xml:space="preserve">Under the common law, the rule of law is preserved as "common" across the nation. </w:t>
      </w:r>
      <w:r w:rsidRPr="2844F1AF" w:rsidR="62E1BB72">
        <w:rPr>
          <w:rFonts w:ascii="Abadi" w:hAnsi="Abadi" w:eastAsia="Times New Roman" w:cs="Arial"/>
          <w:color w:val="000000" w:themeColor="text1" w:themeTint="FF" w:themeShade="FF"/>
          <w:sz w:val="24"/>
          <w:szCs w:val="24"/>
          <w:lang w:eastAsia="en-GB"/>
        </w:rPr>
        <w:t>However,</w:t>
      </w:r>
      <w:r w:rsidRPr="2844F1AF" w:rsidR="62E1BB72">
        <w:rPr>
          <w:rFonts w:ascii="Abadi" w:hAnsi="Abadi" w:eastAsia="Times New Roman" w:cs="Arial"/>
          <w:color w:val="000000" w:themeColor="text1" w:themeTint="FF" w:themeShade="FF"/>
          <w:sz w:val="24"/>
          <w:szCs w:val="24"/>
          <w:lang w:eastAsia="en-GB"/>
        </w:rPr>
        <w:t xml:space="preserve"> because the House of Lords and the Court of Appeal (Criminal Division) in England and Wales </w:t>
      </w:r>
      <w:r w:rsidRPr="2844F1AF" w:rsidR="62E1BB72">
        <w:rPr>
          <w:rFonts w:ascii="Abadi" w:hAnsi="Abadi" w:eastAsia="Times New Roman" w:cs="Arial"/>
          <w:color w:val="000000" w:themeColor="text1" w:themeTint="FF" w:themeShade="FF"/>
          <w:sz w:val="24"/>
          <w:szCs w:val="24"/>
          <w:lang w:eastAsia="en-GB"/>
        </w:rPr>
        <w:t>establish</w:t>
      </w:r>
      <w:r w:rsidRPr="2844F1AF" w:rsidR="62E1BB72">
        <w:rPr>
          <w:rFonts w:ascii="Abadi" w:hAnsi="Abadi" w:eastAsia="Times New Roman" w:cs="Arial"/>
          <w:color w:val="000000" w:themeColor="text1" w:themeTint="FF" w:themeShade="FF"/>
          <w:sz w:val="24"/>
          <w:szCs w:val="24"/>
          <w:lang w:eastAsia="en-GB"/>
        </w:rPr>
        <w:t xml:space="preserve"> the legal precedent for criminal cases, their rulings are binding on the subordinate courts.</w:t>
      </w:r>
    </w:p>
    <w:p w:rsidRPr="0034445F" w:rsidR="0034445F" w:rsidP="2844F1AF" w:rsidRDefault="0034445F" w14:paraId="376C6DA7" w14:textId="3BC452C4">
      <w:pPr>
        <w:pStyle w:val="Normal"/>
        <w:spacing w:before="100" w:beforeAutospacing="on" w:after="100" w:afterAutospacing="on" w:line="240" w:lineRule="auto"/>
        <w:rPr>
          <w:rFonts w:ascii="Arial" w:hAnsi="Arial" w:eastAsia="Times New Roman" w:cs="Arial"/>
          <w:color w:val="636363"/>
          <w:sz w:val="24"/>
          <w:szCs w:val="24"/>
          <w:lang w:eastAsia="en-GB"/>
        </w:rPr>
      </w:pPr>
      <w:r w:rsidRPr="2844F1AF" w:rsidR="0034445F">
        <w:rPr>
          <w:rFonts w:ascii="Arial" w:hAnsi="Arial" w:eastAsia="Times New Roman" w:cs="Arial"/>
          <w:color w:val="636363"/>
          <w:sz w:val="24"/>
          <w:szCs w:val="24"/>
          <w:lang w:eastAsia="en-GB"/>
        </w:rPr>
        <w:t xml:space="preserve"> </w:t>
      </w:r>
    </w:p>
    <w:p w:rsidR="00A43ED6" w:rsidP="00A518EB" w:rsidRDefault="0034445F" w14:paraId="499D9DA1" w14:textId="2900E1EC">
      <w:pPr>
        <w:pStyle w:val="NormalWeb"/>
        <w:rPr>
          <w:rFonts w:ascii="Abadi" w:hAnsi="Abadi"/>
          <w:b/>
          <w:bCs/>
        </w:rPr>
      </w:pPr>
      <w:r w:rsidRPr="2844F1AF" w:rsidR="0034445F">
        <w:rPr>
          <w:rFonts w:ascii="Abadi" w:hAnsi="Abadi"/>
          <w:b w:val="1"/>
          <w:bCs w:val="1"/>
        </w:rPr>
        <w:t>Examples of the Common law working in practice</w:t>
      </w:r>
      <w:r w:rsidRPr="2844F1AF" w:rsidR="0034445F">
        <w:rPr>
          <w:rFonts w:ascii="Abadi" w:hAnsi="Abadi"/>
          <w:b w:val="1"/>
          <w:bCs w:val="1"/>
        </w:rPr>
        <w:t>,</w:t>
      </w:r>
    </w:p>
    <w:p w:rsidR="2844F1AF" w:rsidP="2844F1AF" w:rsidRDefault="2844F1AF" w14:paraId="498EA56E" w14:textId="66157634">
      <w:pPr>
        <w:pStyle w:val="NormalWeb"/>
        <w:rPr>
          <w:rFonts w:ascii="Abadi" w:hAnsi="Abadi"/>
          <w:b w:val="1"/>
          <w:bCs w:val="1"/>
        </w:rPr>
      </w:pPr>
    </w:p>
    <w:p w:rsidR="00F61033" w:rsidP="00A518EB" w:rsidRDefault="0034445F" w14:paraId="6364C92C" w14:textId="342E58D3">
      <w:pPr>
        <w:pStyle w:val="NormalWeb"/>
        <w:rPr>
          <w:rFonts w:ascii="Abadi" w:hAnsi="Abadi" w:cs="Arial"/>
          <w:color w:val="000000" w:themeColor="text1"/>
          <w:shd w:val="clear" w:color="auto" w:fill="FFFFFF"/>
        </w:rPr>
      </w:pPr>
      <w:r w:rsidRPr="2844F1AF" w:rsidR="401C424D">
        <w:rPr>
          <w:rFonts w:ascii="Abadi" w:hAnsi="Abadi" w:cs="Arial"/>
          <w:color w:val="000000" w:themeColor="text1" w:themeTint="FF" w:themeShade="FF"/>
        </w:rPr>
        <w:t>You may frequently be expected to conduct legal research as a lawyer or legal student to determine the most recent legal position with regard to a certain statute or factual situation. This implies that you will need to examine any applicable statutes that are related to the topic you are contemplating, and then you will need to look at recent (and sometimes not so recent) case law decisions of the higher courts to see if there is any more guidance therein. Following their identification, it is crucial to confirm that any relevant statutes are still in effect.</w:t>
      </w:r>
    </w:p>
    <w:p w:rsidR="0034445F" w:rsidP="2844F1AF" w:rsidRDefault="00F61033" w14:paraId="451CB96F" w14:textId="56EA76FD">
      <w:pPr>
        <w:pStyle w:val="NormalWeb"/>
        <w:rPr>
          <w:rFonts w:ascii="Abadi" w:hAnsi="Abadi" w:cs="Arial"/>
          <w:b w:val="1"/>
          <w:bCs w:val="1"/>
          <w:color w:val="000000" w:themeColor="text1" w:themeTint="FF" w:themeShade="FF"/>
        </w:rPr>
      </w:pPr>
      <w:r w:rsidRPr="00F61033" w:rsidR="00F61033">
        <w:rPr>
          <w:rFonts w:ascii="Abadi" w:hAnsi="Abadi" w:cs="Arial"/>
          <w:color w:val="000000" w:themeColor="text1"/>
          <w:shd w:val="clear" w:color="auto" w:fill="FFFFFF"/>
        </w:rPr>
        <w:t xml:space="preserve"> </w:t>
      </w:r>
      <w:r w:rsidRPr="2844F1AF" w:rsidR="2E1778A1">
        <w:rPr>
          <w:rFonts w:ascii="Abadi" w:hAnsi="Abadi" w:cs="Arial"/>
          <w:color w:val="000000" w:themeColor="text1" w:themeTint="FF" w:themeShade="FF"/>
        </w:rPr>
        <w:t xml:space="preserve">Any situations in which the court rules based on stare decisis—the principle that judges base their rulings on prior cases—are considered common law examples. This is a typical occurrence in nations with common law-based legal systems, such as the United States of America and Australia. Another real-world example of common law is marriage. Even if a common-law marriage is not legally recognised as a civil or religious union, its participants are still given the same legal protections as married people. In other words, common-law marriages enable cohabiting partners to experience the advantages of marriage without really </w:t>
      </w:r>
      <w:r w:rsidRPr="2844F1AF" w:rsidR="2E1778A1">
        <w:rPr>
          <w:rFonts w:ascii="Abadi" w:hAnsi="Abadi" w:cs="Arial"/>
          <w:color w:val="000000" w:themeColor="text1" w:themeTint="FF" w:themeShade="FF"/>
        </w:rPr>
        <w:t>getting hitched</w:t>
      </w:r>
      <w:r w:rsidRPr="2844F1AF" w:rsidR="2E1778A1">
        <w:rPr>
          <w:rFonts w:ascii="Abadi" w:hAnsi="Abadi" w:cs="Arial"/>
          <w:color w:val="000000" w:themeColor="text1" w:themeTint="FF" w:themeShade="FF"/>
        </w:rPr>
        <w:t>. As a result, neither the official registries nor the religious institutions record these marriages.</w:t>
      </w:r>
      <w:r w:rsidRPr="2844F1AF" w:rsidR="2E1778A1">
        <w:rPr>
          <w:rFonts w:ascii="Abadi" w:hAnsi="Abadi" w:cs="Arial"/>
          <w:color w:val="000000" w:themeColor="text1"/>
          <w:shd w:val="clear" w:color="auto" w:fill="FFFFFF"/>
        </w:rPr>
        <w:t xml:space="preserve"> </w:t>
      </w:r>
    </w:p>
    <w:p w:rsidR="0034445F" w:rsidP="2844F1AF" w:rsidRDefault="00F61033" w14:paraId="75326407" w14:textId="31EFFBC9">
      <w:pPr>
        <w:pStyle w:val="NormalWeb"/>
        <w:rPr>
          <w:rFonts w:ascii="Abadi" w:hAnsi="Abadi" w:cs="Arial"/>
          <w:color w:val="000000" w:themeColor="text1" w:themeTint="FF" w:themeShade="FF"/>
        </w:rPr>
      </w:pPr>
    </w:p>
    <w:p w:rsidR="0034445F" w:rsidP="00A518EB" w:rsidRDefault="00F61033" w14:paraId="4F777960" w14:textId="6D96EF7F">
      <w:pPr>
        <w:pStyle w:val="NormalWeb"/>
        <w:rPr>
          <w:rFonts w:ascii="Abadi" w:hAnsi="Abadi" w:cs="Arial"/>
          <w:b w:val="1"/>
          <w:bCs w:val="1"/>
          <w:color w:val="000000" w:themeColor="text1"/>
          <w:shd w:val="clear" w:color="auto" w:fill="FFFFFF"/>
        </w:rPr>
      </w:pPr>
      <w:r w:rsidR="00F61033">
        <w:rPr>
          <w:rFonts w:ascii="Abadi" w:hAnsi="Abadi" w:cs="Arial"/>
          <w:b w:val="1"/>
          <w:bCs w:val="1"/>
          <w:color w:val="000000" w:themeColor="text1"/>
          <w:shd w:val="clear" w:color="auto" w:fill="FFFFFF"/>
        </w:rPr>
        <w:t>Conclusion</w:t>
      </w:r>
      <w:r w:rsidRPr="2844F1AF" w:rsidR="00F61033">
        <w:rPr>
          <w:rFonts w:ascii="Abadi" w:hAnsi="Abadi" w:cs="Arial"/>
          <w:b w:val="1"/>
          <w:bCs w:val="1"/>
          <w:color w:val="000000" w:themeColor="text1" w:themeTint="FF" w:themeShade="FF"/>
        </w:rPr>
        <w:t>,</w:t>
      </w:r>
    </w:p>
    <w:p w:rsidR="2844F1AF" w:rsidP="2844F1AF" w:rsidRDefault="2844F1AF" w14:paraId="6601D627" w14:textId="6548C55E">
      <w:pPr>
        <w:pStyle w:val="NormalWeb"/>
        <w:rPr>
          <w:rFonts w:ascii="Abadi" w:hAnsi="Abadi" w:cs="Arial"/>
          <w:b w:val="1"/>
          <w:bCs w:val="1"/>
          <w:color w:val="000000" w:themeColor="text1" w:themeTint="FF" w:themeShade="FF"/>
        </w:rPr>
      </w:pPr>
    </w:p>
    <w:p w:rsidR="00710648" w:rsidP="2844F1AF" w:rsidRDefault="00125837" w14:paraId="3F87878D" w14:textId="0E1C1745">
      <w:pPr>
        <w:pStyle w:val="NormalWeb"/>
        <w:rPr>
          <w:rFonts w:ascii="Abadi" w:hAnsi="Abadi"/>
          <w:b w:val="0"/>
          <w:bCs w:val="0"/>
          <w:color w:val="000000" w:themeColor="text1" w:themeTint="FF" w:themeShade="FF"/>
        </w:rPr>
      </w:pPr>
      <w:r w:rsidRPr="2844F1AF" w:rsidR="45B3FE30">
        <w:rPr>
          <w:rFonts w:ascii="Abadi" w:hAnsi="Abadi"/>
          <w:b w:val="0"/>
          <w:bCs w:val="0"/>
          <w:color w:val="000000" w:themeColor="text1" w:themeTint="FF" w:themeShade="FF"/>
        </w:rPr>
        <w:t xml:space="preserve">The representation of court judgements as the law of the land is what makes common law distinctive. In contrast to the civil law system, which is founded on statutes and specified texts, judges resolve cases that are discovered in precedents </w:t>
      </w:r>
      <w:r w:rsidRPr="2844F1AF" w:rsidR="45B3FE30">
        <w:rPr>
          <w:rFonts w:ascii="Abadi" w:hAnsi="Abadi"/>
          <w:b w:val="0"/>
          <w:bCs w:val="0"/>
          <w:color w:val="000000" w:themeColor="text1" w:themeTint="FF" w:themeShade="FF"/>
        </w:rPr>
        <w:t>established</w:t>
      </w:r>
      <w:r w:rsidRPr="2844F1AF" w:rsidR="45B3FE30">
        <w:rPr>
          <w:rFonts w:ascii="Abadi" w:hAnsi="Abadi"/>
          <w:b w:val="0"/>
          <w:bCs w:val="0"/>
          <w:color w:val="000000" w:themeColor="text1" w:themeTint="FF" w:themeShade="FF"/>
        </w:rPr>
        <w:t xml:space="preserve"> by prior rulings. Trial by jury and the idea of the supremacy of the law are two further features of common law in complement to the system of judicial precedents. The phrase "supremacy of the law" originally meant that no one, not even the king, was above the law. Today, it refers to the fact that governmental actions are now evaluated in regular court procedures.</w:t>
      </w:r>
      <w:r w:rsidRPr="2844F1AF" w:rsidR="45B3FE30">
        <w:rPr>
          <w:rFonts w:ascii="Abadi" w:hAnsi="Abadi"/>
          <w:b w:val="0"/>
          <w:bCs w:val="0"/>
          <w:color w:val="000000" w:themeColor="text1"/>
          <w:shd w:val="clear" w:color="auto" w:fill="F9F9F9"/>
        </w:rPr>
        <w:t xml:space="preserve"> </w:t>
      </w:r>
    </w:p>
    <w:p w:rsidR="00710648" w:rsidP="2844F1AF" w:rsidRDefault="00125837" w14:paraId="147E772C" w14:textId="74CCA14B">
      <w:pPr>
        <w:pStyle w:val="NormalWeb"/>
        <w:rPr>
          <w:rFonts w:ascii="Abadi" w:hAnsi="Abadi"/>
          <w:b w:val="0"/>
          <w:bCs w:val="0"/>
          <w:color w:val="000000" w:themeColor="text1" w:themeTint="FF" w:themeShade="FF"/>
        </w:rPr>
      </w:pPr>
    </w:p>
    <w:p w:rsidR="00710648" w:rsidP="00A518EB" w:rsidRDefault="00125837" w14:paraId="22050363" w14:textId="13C26FCE">
      <w:pPr>
        <w:pStyle w:val="NormalWeb"/>
        <w:rPr>
          <w:rFonts w:ascii="Abadi" w:hAnsi="Abadi"/>
          <w:b w:val="1"/>
          <w:bCs w:val="1"/>
          <w:color w:val="000000" w:themeColor="text1"/>
          <w:shd w:val="clear" w:color="auto" w:fill="F9F9F9"/>
        </w:rPr>
      </w:pPr>
      <w:r w:rsidRPr="2844F1AF" w:rsidR="00125837">
        <w:rPr>
          <w:rFonts w:ascii="Abadi" w:hAnsi="Abadi"/>
          <w:b w:val="1"/>
          <w:bCs w:val="1"/>
          <w:color w:val="000000" w:themeColor="text1" w:themeTint="FF" w:themeShade="FF"/>
        </w:rPr>
        <w:t>Reference list,</w:t>
      </w:r>
    </w:p>
    <w:p w:rsidR="00FB5D44" w:rsidP="00A518EB" w:rsidRDefault="00FB5D44" w14:paraId="05E3A634" w14:textId="6A7841B1">
      <w:pPr>
        <w:pStyle w:val="NormalWeb"/>
        <w:rPr>
          <w:rFonts w:ascii="Abadi" w:hAnsi="Abadi" w:cs="Calibri"/>
          <w:color w:val="2C3E50"/>
          <w:shd w:val="clear" w:color="auto" w:fill="FEF1C4"/>
        </w:rPr>
      </w:pPr>
      <w:r w:rsidRPr="00FB5D44">
        <w:rPr>
          <w:rFonts w:ascii="Abadi" w:hAnsi="Abadi" w:cs="Calibri"/>
          <w:color w:val="2C3E50"/>
          <w:shd w:val="clear" w:color="auto" w:fill="FEF1C4"/>
        </w:rPr>
        <w:t>Courts and Tribunals Judiciary. (n.d.). </w:t>
      </w:r>
      <w:r w:rsidRPr="00FB5D44">
        <w:rPr>
          <w:rFonts w:ascii="Abadi" w:hAnsi="Abadi" w:cs="Calibri"/>
          <w:i/>
          <w:iCs/>
          <w:color w:val="2C3E50"/>
          <w:shd w:val="clear" w:color="auto" w:fill="FEF1C4"/>
        </w:rPr>
        <w:t>Civil</w:t>
      </w:r>
      <w:r w:rsidRPr="00FB5D44">
        <w:rPr>
          <w:rFonts w:ascii="Abadi" w:hAnsi="Abadi" w:cs="Calibri"/>
          <w:color w:val="2C3E50"/>
          <w:shd w:val="clear" w:color="auto" w:fill="FEF1C4"/>
        </w:rPr>
        <w:t xml:space="preserve">. [online] Available at: </w:t>
      </w:r>
      <w:hyperlink w:history="1" r:id="rId10">
        <w:r w:rsidRPr="00A31197" w:rsidR="00117CED">
          <w:rPr>
            <w:rStyle w:val="Hyperlink"/>
            <w:rFonts w:ascii="Abadi" w:hAnsi="Abadi" w:cs="Calibri"/>
            <w:shd w:val="clear" w:color="auto" w:fill="FEF1C4"/>
          </w:rPr>
          <w:t>https://www.judiciary.uk/about-the-judiciary/our-justice-system/jurisdictions/civil-jurisdiction/</w:t>
        </w:r>
      </w:hyperlink>
      <w:r w:rsidRPr="00FB5D44">
        <w:rPr>
          <w:rFonts w:ascii="Abadi" w:hAnsi="Abadi" w:cs="Calibri"/>
          <w:color w:val="2C3E50"/>
          <w:shd w:val="clear" w:color="auto" w:fill="FEF1C4"/>
        </w:rPr>
        <w:t>.</w:t>
      </w:r>
    </w:p>
    <w:p w:rsidR="003D500A" w:rsidP="00A518EB" w:rsidRDefault="003D500A" w14:paraId="2BF079C9" w14:textId="522CB444">
      <w:pPr>
        <w:pStyle w:val="NormalWeb"/>
        <w:rPr>
          <w:rFonts w:ascii="Abadi" w:hAnsi="Abadi" w:cs="Calibri"/>
          <w:color w:val="000000" w:themeColor="text1"/>
          <w:shd w:val="clear" w:color="auto" w:fill="FEF1C4"/>
        </w:rPr>
      </w:pPr>
      <w:r w:rsidRPr="003D500A">
        <w:rPr>
          <w:rFonts w:ascii="Abadi" w:hAnsi="Abadi" w:cs="Calibri"/>
          <w:color w:val="000000" w:themeColor="text1"/>
          <w:shd w:val="clear" w:color="auto" w:fill="FEF1C4"/>
        </w:rPr>
        <w:t>Encyclopaedia</w:t>
      </w:r>
      <w:r w:rsidRPr="003D500A">
        <w:rPr>
          <w:rFonts w:ascii="Abadi" w:hAnsi="Abadi" w:cs="Calibri"/>
          <w:color w:val="000000" w:themeColor="text1"/>
          <w:shd w:val="clear" w:color="auto" w:fill="FEF1C4"/>
        </w:rPr>
        <w:t xml:space="preserve"> Britannica. (n.d.). </w:t>
      </w:r>
      <w:r w:rsidRPr="003D500A">
        <w:rPr>
          <w:rFonts w:ascii="Abadi" w:hAnsi="Abadi" w:cs="Calibri"/>
          <w:i/>
          <w:iCs/>
          <w:color w:val="000000" w:themeColor="text1"/>
          <w:shd w:val="clear" w:color="auto" w:fill="FEF1C4"/>
        </w:rPr>
        <w:t>Civil law - The French system</w:t>
      </w:r>
      <w:r w:rsidRPr="003D500A">
        <w:rPr>
          <w:rFonts w:ascii="Abadi" w:hAnsi="Abadi" w:cs="Calibri"/>
          <w:color w:val="000000" w:themeColor="text1"/>
          <w:shd w:val="clear" w:color="auto" w:fill="FEF1C4"/>
        </w:rPr>
        <w:t xml:space="preserve">. [online] Available at: </w:t>
      </w:r>
      <w:hyperlink w:history="1" r:id="rId11">
        <w:r w:rsidRPr="00A31197" w:rsidR="00117CED">
          <w:rPr>
            <w:rStyle w:val="Hyperlink"/>
            <w:rFonts w:ascii="Abadi" w:hAnsi="Abadi" w:cs="Calibri"/>
            <w:shd w:val="clear" w:color="auto" w:fill="FEF1C4"/>
          </w:rPr>
          <w:t>https://www.britannica.com/topic/civil-law-Romano-Germanic/The-French-system</w:t>
        </w:r>
      </w:hyperlink>
      <w:r w:rsidRPr="003D500A">
        <w:rPr>
          <w:rFonts w:ascii="Abadi" w:hAnsi="Abadi" w:cs="Calibri"/>
          <w:color w:val="000000" w:themeColor="text1"/>
          <w:shd w:val="clear" w:color="auto" w:fill="FEF1C4"/>
        </w:rPr>
        <w:t>.</w:t>
      </w:r>
    </w:p>
    <w:p w:rsidR="00B678FD" w:rsidP="00A518EB" w:rsidRDefault="00B678FD" w14:paraId="4F49451C" w14:textId="0C53266F">
      <w:pPr>
        <w:pStyle w:val="NormalWeb"/>
        <w:rPr>
          <w:rFonts w:ascii="Abadi" w:hAnsi="Abadi" w:cs="Calibri"/>
          <w:color w:val="000000" w:themeColor="text1"/>
          <w:shd w:val="clear" w:color="auto" w:fill="FEF1C4"/>
        </w:rPr>
      </w:pPr>
      <w:r w:rsidRPr="00B678FD" w:rsidR="00B678FD">
        <w:rPr>
          <w:rFonts w:ascii="Abadi" w:hAnsi="Abadi" w:cs="Calibri"/>
          <w:color w:val="000000" w:themeColor="text1"/>
          <w:shd w:val="clear" w:color="auto" w:fill="FEF1C4"/>
        </w:rPr>
        <w:t>Encyclopaedia</w:t>
      </w:r>
      <w:r w:rsidRPr="00B678FD" w:rsidR="00B678FD">
        <w:rPr>
          <w:rFonts w:ascii="Abadi" w:hAnsi="Abadi" w:cs="Calibri"/>
          <w:color w:val="000000" w:themeColor="text1"/>
          <w:shd w:val="clear" w:color="auto" w:fill="FEF1C4"/>
        </w:rPr>
        <w:t xml:space="preserve"> Britannica. (n.d.). </w:t>
      </w:r>
      <w:r w:rsidRPr="719EE360" w:rsidR="00B678FD">
        <w:rPr>
          <w:rFonts w:ascii="Abadi" w:hAnsi="Abadi" w:cs="Calibri"/>
          <w:i w:val="1"/>
          <w:iCs w:val="1"/>
          <w:color w:val="000000" w:themeColor="text1"/>
          <w:shd w:val="clear" w:color="auto" w:fill="FEF1C4"/>
        </w:rPr>
        <w:t>civil law | History, Systems, &amp; Facts</w:t>
      </w:r>
      <w:r w:rsidRPr="00B678FD" w:rsidR="00B678FD">
        <w:rPr>
          <w:rFonts w:ascii="Abadi" w:hAnsi="Abadi" w:cs="Calibri"/>
          <w:color w:val="000000" w:themeColor="text1"/>
          <w:shd w:val="clear" w:color="auto" w:fill="FEF1C4"/>
        </w:rPr>
        <w:t xml:space="preserve">. [online] Available at: </w:t>
      </w:r>
      <w:hyperlink w:anchor="ref39871" r:id="Re9ed05dc849641ce">
        <w:r w:rsidRPr="719EE360" w:rsidR="00117CED">
          <w:rPr>
            <w:rStyle w:val="Hyperlink"/>
            <w:rFonts w:ascii="Abadi" w:hAnsi="Abadi" w:cs="Calibri"/>
          </w:rPr>
          <w:t>https://www.britannica.com/topic/civil-law-Romano-Germanic#ref39871</w:t>
        </w:r>
      </w:hyperlink>
      <w:r w:rsidRPr="00B678FD" w:rsidR="00B678FD">
        <w:rPr>
          <w:rFonts w:ascii="Abadi" w:hAnsi="Abadi" w:cs="Calibri"/>
          <w:color w:val="000000" w:themeColor="text1"/>
          <w:shd w:val="clear" w:color="auto" w:fill="FEF1C4"/>
        </w:rPr>
        <w:t>.</w:t>
      </w:r>
    </w:p>
    <w:p w:rsidR="719EE360" w:rsidP="719EE360" w:rsidRDefault="719EE360" w14:paraId="14B4BB52" w14:textId="67714678">
      <w:pPr>
        <w:pStyle w:val="NormalWeb"/>
        <w:rPr>
          <w:rFonts w:ascii="Abadi" w:hAnsi="Abadi" w:cs="Calibri"/>
          <w:color w:val="000000" w:themeColor="text1" w:themeTint="FF" w:themeShade="FF"/>
        </w:rPr>
      </w:pPr>
    </w:p>
    <w:p w:rsidRPr="00532DBF" w:rsidR="00532DBF" w:rsidP="719EE360" w:rsidRDefault="00532DBF" w14:textId="117AF5F2" w14:paraId="003E4077">
      <w:pPr>
        <w:pStyle w:val="NormalWeb"/>
        <w:rPr>
          <w:rFonts w:ascii="Abadi" w:hAnsi="Abadi" w:cs="Calibri"/>
          <w:color w:val="000000" w:themeColor="text1" w:themeTint="FF" w:themeShade="FF"/>
        </w:rPr>
      </w:pPr>
      <w:r w:rsidRPr="00532DBF" w:rsidR="00532DBF">
        <w:rPr>
          <w:rFonts w:ascii="Abadi" w:hAnsi="Abadi" w:cs="Calibri"/>
          <w:color w:val="000000" w:themeColor="text1"/>
          <w:shd w:val="clear" w:color="auto" w:fill="FEF1C4"/>
        </w:rPr>
        <w:t>www.lawteacher.net. (n.d.). </w:t>
      </w:r>
      <w:r w:rsidRPr="719EE360" w:rsidR="00532DBF">
        <w:rPr>
          <w:rFonts w:ascii="Abadi" w:hAnsi="Abadi" w:cs="Calibri"/>
          <w:i w:val="1"/>
          <w:iCs w:val="1"/>
          <w:color w:val="000000" w:themeColor="text1"/>
          <w:shd w:val="clear" w:color="auto" w:fill="FEF1C4"/>
        </w:rPr>
        <w:t>What is Common Law?</w:t>
      </w:r>
      <w:r w:rsidRPr="00532DBF" w:rsidR="00532DBF">
        <w:rPr>
          <w:rFonts w:ascii="Abadi" w:hAnsi="Abadi" w:cs="Calibri"/>
          <w:color w:val="000000" w:themeColor="text1"/>
          <w:shd w:val="clear" w:color="auto" w:fill="FEF1C4"/>
        </w:rPr>
        <w:t> [online] Available at: https://www.lawteacher.net/free-law-essays/administrative-law/what-is-common-law-administrative-law-essay.php#citethis [Accessed 28 Feb. 2023]</w:t>
      </w:r>
      <w:r w:rsidR="00532DBF">
        <w:rPr>
          <w:rFonts w:ascii="Abadi" w:hAnsi="Abadi" w:cs="Calibri"/>
          <w:color w:val="000000" w:themeColor="text1"/>
          <w:shd w:val="clear" w:color="auto" w:fill="FEF1C4"/>
        </w:rPr>
        <w:t>.</w:t>
      </w:r>
    </w:p>
    <w:p w:rsidR="719EE360" w:rsidP="719EE360" w:rsidRDefault="719EE360" w14:paraId="09009043" w14:textId="4B6B3704">
      <w:pPr>
        <w:pStyle w:val="NormalWeb"/>
        <w:rPr>
          <w:rFonts w:ascii="Abadi" w:hAnsi="Abadi" w:cs="Calibri"/>
          <w:color w:val="000000" w:themeColor="text1" w:themeTint="FF" w:themeShade="FF"/>
        </w:rPr>
      </w:pPr>
    </w:p>
    <w:p w:rsidR="007C6AD9" w:rsidP="00A518EB" w:rsidRDefault="00775B1B" w14:paraId="0E5E16F9" w14:textId="656F519F">
      <w:pPr>
        <w:pStyle w:val="NormalWeb"/>
        <w:rPr>
          <w:rFonts w:ascii="Abadi" w:hAnsi="Abadi" w:cs="Calibri"/>
          <w:color w:val="000000" w:themeColor="text1"/>
          <w:shd w:val="clear" w:color="auto" w:fill="FEF1C4"/>
        </w:rPr>
      </w:pPr>
      <w:r w:rsidRPr="00775B1B" w:rsidR="00775B1B">
        <w:rPr>
          <w:rFonts w:ascii="Abadi" w:hAnsi="Abadi" w:cs="Calibri"/>
          <w:color w:val="000000" w:themeColor="text1"/>
          <w:shd w:val="clear" w:color="auto" w:fill="FEF1C4"/>
        </w:rPr>
        <w:t xml:space="preserve">Law firm in North London &amp; Central London | </w:t>
      </w:r>
      <w:r w:rsidRPr="00775B1B" w:rsidR="008E22E0">
        <w:rPr>
          <w:rFonts w:ascii="Abadi" w:hAnsi="Abadi" w:cs="Calibri"/>
          <w:color w:val="000000" w:themeColor="text1"/>
          <w:shd w:val="clear" w:color="auto" w:fill="FEF1C4"/>
        </w:rPr>
        <w:t>Carlson’s</w:t>
      </w:r>
      <w:r w:rsidRPr="00775B1B" w:rsidR="00775B1B">
        <w:rPr>
          <w:rFonts w:ascii="Abadi" w:hAnsi="Abadi" w:cs="Calibri"/>
          <w:color w:val="000000" w:themeColor="text1"/>
          <w:shd w:val="clear" w:color="auto" w:fill="FEF1C4"/>
        </w:rPr>
        <w:t xml:space="preserve"> Solicitors. (n.d.). </w:t>
      </w:r>
      <w:r w:rsidRPr="719EE360" w:rsidR="00775B1B">
        <w:rPr>
          <w:rFonts w:ascii="Abadi" w:hAnsi="Abadi" w:cs="Calibri"/>
          <w:i w:val="1"/>
          <w:iCs w:val="1"/>
          <w:color w:val="000000" w:themeColor="text1"/>
          <w:shd w:val="clear" w:color="auto" w:fill="FEF1C4"/>
        </w:rPr>
        <w:t xml:space="preserve">Civil vs Common Law Differences in Litigation – </w:t>
      </w:r>
      <w:r w:rsidRPr="719EE360" w:rsidR="008E22E0">
        <w:rPr>
          <w:rFonts w:ascii="Abadi" w:hAnsi="Abadi" w:cs="Calibri"/>
          <w:i w:val="1"/>
          <w:iCs w:val="1"/>
          <w:color w:val="000000" w:themeColor="text1"/>
          <w:shd w:val="clear" w:color="auto" w:fill="FEF1C4"/>
        </w:rPr>
        <w:t>Carlson’s</w:t>
      </w:r>
      <w:r w:rsidRPr="719EE360" w:rsidR="00775B1B">
        <w:rPr>
          <w:rFonts w:ascii="Abadi" w:hAnsi="Abadi" w:cs="Calibri"/>
          <w:i w:val="1"/>
          <w:iCs w:val="1"/>
          <w:color w:val="000000" w:themeColor="text1"/>
          <w:shd w:val="clear" w:color="auto" w:fill="FEF1C4"/>
        </w:rPr>
        <w:t xml:space="preserve"> Solicitors</w:t>
      </w:r>
      <w:r w:rsidRPr="00775B1B" w:rsidR="00775B1B">
        <w:rPr>
          <w:rFonts w:ascii="Abadi" w:hAnsi="Abadi" w:cs="Calibri"/>
          <w:color w:val="000000" w:themeColor="text1"/>
          <w:shd w:val="clear" w:color="auto" w:fill="FEF1C4"/>
        </w:rPr>
        <w:t xml:space="preserve">. [online] Available at: </w:t>
      </w:r>
      <w:r w:rsidRPr="00A31197" w:rsidR="00775B1B">
        <w:rPr>
          <w:rFonts w:ascii="Abadi" w:hAnsi="Abadi" w:cs="Calibri"/>
          <w:shd w:val="clear" w:color="auto" w:fill="FEF1C4"/>
        </w:rPr>
        <w:t>https://www.carlsonssolicitors.com/news/2021/7/12/litigation-under-a-codified-system-civil-law-vs-common-law#:~:text=Civil%20law%20jurisdictions%20rely%20on</w:t>
      </w:r>
    </w:p>
    <w:p w:rsidRPr="00390963" w:rsidR="00775B1B" w:rsidP="00A518EB" w:rsidRDefault="00D462AE" w14:paraId="0E72AD38" w14:textId="5A54F70B">
      <w:pPr>
        <w:pStyle w:val="NormalWeb"/>
        <w:rPr>
          <w:rFonts w:ascii="Abadi" w:hAnsi="Abadi" w:cs="Calibri"/>
          <w:color w:val="000000" w:themeColor="text1"/>
          <w:shd w:val="clear" w:color="auto" w:fill="FEF1C4"/>
        </w:rPr>
      </w:pPr>
      <w:r w:rsidRPr="00390963">
        <w:rPr>
          <w:rFonts w:ascii="Abadi" w:hAnsi="Abadi" w:cs="Calibri"/>
          <w:color w:val="000000" w:themeColor="text1"/>
          <w:shd w:val="clear" w:color="auto" w:fill="FEF1C4"/>
        </w:rPr>
        <w:t xml:space="preserve">Planck, M. (2019). The scope of judicial law-making in the common law tradition. [online] Available at: </w:t>
      </w:r>
      <w:hyperlink w:history="1" r:id="rId15">
        <w:r w:rsidRPr="00390963">
          <w:rPr>
            <w:rStyle w:val="Hyperlink"/>
            <w:rFonts w:ascii="Abadi" w:hAnsi="Abadi" w:cs="Calibri"/>
            <w:shd w:val="clear" w:color="auto" w:fill="FEF1C4"/>
          </w:rPr>
          <w:t>https://www.supremecourt.uk/docs/speech-191028.pdf</w:t>
        </w:r>
      </w:hyperlink>
      <w:r w:rsidRPr="00390963">
        <w:rPr>
          <w:rFonts w:ascii="Abadi" w:hAnsi="Abadi" w:cs="Calibri"/>
          <w:color w:val="000000" w:themeColor="text1"/>
          <w:shd w:val="clear" w:color="auto" w:fill="FEF1C4"/>
        </w:rPr>
        <w:t>.</w:t>
      </w:r>
    </w:p>
    <w:p w:rsidR="00390963" w:rsidP="00A518EB" w:rsidRDefault="000E661E" w14:paraId="7C9EB167" w14:textId="1E69D678">
      <w:pPr>
        <w:pStyle w:val="NormalWeb"/>
        <w:rPr>
          <w:rFonts w:ascii="Abadi" w:hAnsi="Abadi" w:cs="Calibri"/>
          <w:color w:val="000000" w:themeColor="text1"/>
          <w:shd w:val="clear" w:color="auto" w:fill="FEF1C4"/>
        </w:rPr>
      </w:pPr>
      <w:proofErr w:type="spellStart"/>
      <w:r w:rsidRPr="00390963">
        <w:rPr>
          <w:rFonts w:ascii="Abadi" w:hAnsi="Abadi" w:cs="Calibri"/>
          <w:color w:val="000000" w:themeColor="text1"/>
          <w:shd w:val="clear" w:color="auto" w:fill="FEF1C4"/>
        </w:rPr>
        <w:t>Rab</w:t>
      </w:r>
      <w:proofErr w:type="spellEnd"/>
      <w:r w:rsidRPr="00390963">
        <w:rPr>
          <w:rFonts w:ascii="Abadi" w:hAnsi="Abadi" w:cs="Calibri"/>
          <w:color w:val="000000" w:themeColor="text1"/>
          <w:shd w:val="clear" w:color="auto" w:fill="FEF1C4"/>
        </w:rPr>
        <w:t xml:space="preserve">, S. (2021). Practical Law UK </w:t>
      </w:r>
      <w:r w:rsidRPr="00390963" w:rsidR="00390963">
        <w:rPr>
          <w:rFonts w:ascii="Abadi" w:hAnsi="Abadi" w:cs="Calibri"/>
          <w:color w:val="000000" w:themeColor="text1"/>
          <w:shd w:val="clear" w:color="auto" w:fill="FEF1C4"/>
        </w:rPr>
        <w:t>Sign on</w:t>
      </w:r>
      <w:r w:rsidRPr="00390963">
        <w:rPr>
          <w:rFonts w:ascii="Abadi" w:hAnsi="Abadi" w:cs="Calibri"/>
          <w:color w:val="000000" w:themeColor="text1"/>
          <w:shd w:val="clear" w:color="auto" w:fill="FEF1C4"/>
        </w:rPr>
        <w:t xml:space="preserve">. [online] signon.thomsonreuters.com. Available at: </w:t>
      </w:r>
      <w:hyperlink w:history="1" r:id="rId16">
        <w:r w:rsidRPr="00390963">
          <w:rPr>
            <w:rStyle w:val="Hyperlink"/>
            <w:rFonts w:ascii="Abadi" w:hAnsi="Abadi" w:cs="Calibri"/>
            <w:color w:val="000000" w:themeColor="text1"/>
            <w:shd w:val="clear" w:color="auto" w:fill="FEF1C4"/>
          </w:rPr>
          <w:t>https://uk.practicallaw.thomsonreuters.com/5-636-2498?transitionType=Default&amp;contextData=(sc.Default)&amp;</w:t>
        </w:r>
        <w:r w:rsidRPr="00B308E8">
          <w:rPr>
            <w:rStyle w:val="Hyperlink"/>
            <w:rFonts w:ascii="Abadi" w:hAnsi="Abadi" w:cs="Calibri"/>
            <w:color w:val="000000" w:themeColor="text1"/>
            <w:u w:val="none"/>
            <w:shd w:val="clear" w:color="auto" w:fill="FEF1C4"/>
          </w:rPr>
          <w:t>firstPage</w:t>
        </w:r>
        <w:r w:rsidRPr="00390963">
          <w:rPr>
            <w:rStyle w:val="Hyperlink"/>
            <w:rFonts w:ascii="Abadi" w:hAnsi="Abadi" w:cs="Calibri"/>
            <w:color w:val="000000" w:themeColor="text1"/>
            <w:shd w:val="clear" w:color="auto" w:fill="FEF1C4"/>
          </w:rPr>
          <w:t>=true</w:t>
        </w:r>
      </w:hyperlink>
      <w:r w:rsidR="008E22E0">
        <w:rPr>
          <w:rFonts w:ascii="Abadi" w:hAnsi="Abadi" w:cs="Calibri"/>
          <w:color w:val="000000" w:themeColor="text1"/>
          <w:shd w:val="clear" w:color="auto" w:fill="FEF1C4"/>
        </w:rPr>
        <w:t>.</w:t>
      </w:r>
    </w:p>
    <w:p w:rsidRPr="00B308E8" w:rsidR="008E22E0" w:rsidP="00A518EB" w:rsidRDefault="00325C5E" w14:paraId="5D556E44" w14:textId="267F13AD">
      <w:pPr>
        <w:pStyle w:val="NormalWeb"/>
        <w:rPr>
          <w:rFonts w:ascii="Abadi" w:hAnsi="Abadi" w:cs="Calibri"/>
          <w:color w:val="000000" w:themeColor="text1"/>
          <w:shd w:val="clear" w:color="auto" w:fill="FEF1C4"/>
        </w:rPr>
      </w:pPr>
      <w:proofErr w:type="spellStart"/>
      <w:r w:rsidRPr="00B308E8">
        <w:rPr>
          <w:rFonts w:ascii="Abadi" w:hAnsi="Abadi" w:cs="Calibri"/>
          <w:color w:val="000000" w:themeColor="text1"/>
          <w:shd w:val="clear" w:color="auto" w:fill="FEF1C4"/>
        </w:rPr>
        <w:lastRenderedPageBreak/>
        <w:t>Syam</w:t>
      </w:r>
      <w:proofErr w:type="spellEnd"/>
      <w:r w:rsidRPr="00B308E8">
        <w:rPr>
          <w:rFonts w:ascii="Abadi" w:hAnsi="Abadi" w:cs="Calibri"/>
          <w:color w:val="000000" w:themeColor="text1"/>
          <w:shd w:val="clear" w:color="auto" w:fill="FEF1C4"/>
        </w:rPr>
        <w:t xml:space="preserve">, P. (2014). What is the Difference Between Common Law and Civil Law? - Blog | @WashULaw. [online] @WashULaw_online. Available at: </w:t>
      </w:r>
      <w:hyperlink w:history="1" r:id="rId17">
        <w:r w:rsidRPr="00B308E8">
          <w:rPr>
            <w:rStyle w:val="Hyperlink"/>
            <w:rFonts w:ascii="Abadi" w:hAnsi="Abadi" w:cs="Calibri"/>
            <w:shd w:val="clear" w:color="auto" w:fill="FEF1C4"/>
          </w:rPr>
          <w:t>https://onlinelaw.wustl.edu/blog/common-law-vs-civil-law/</w:t>
        </w:r>
      </w:hyperlink>
      <w:r w:rsidRPr="00B308E8">
        <w:rPr>
          <w:rFonts w:ascii="Abadi" w:hAnsi="Abadi" w:cs="Calibri"/>
          <w:color w:val="000000" w:themeColor="text1"/>
          <w:shd w:val="clear" w:color="auto" w:fill="FEF1C4"/>
        </w:rPr>
        <w:t>.</w:t>
      </w:r>
    </w:p>
    <w:p w:rsidR="00325C5E" w:rsidP="00A518EB" w:rsidRDefault="00440A27" w14:paraId="4336B951" w14:textId="60A598BF">
      <w:pPr>
        <w:pStyle w:val="NormalWeb"/>
        <w:rPr>
          <w:rFonts w:ascii="Abadi" w:hAnsi="Abadi" w:cs="Calibri"/>
          <w:color w:val="000000" w:themeColor="text1"/>
          <w:shd w:val="clear" w:color="auto" w:fill="FEF1C4"/>
        </w:rPr>
      </w:pPr>
      <w:r w:rsidRPr="00B308E8">
        <w:rPr>
          <w:rFonts w:ascii="Abadi" w:hAnsi="Abadi" w:cs="Calibri"/>
          <w:color w:val="000000" w:themeColor="text1"/>
          <w:shd w:val="clear" w:color="auto" w:fill="FEF1C4"/>
        </w:rPr>
        <w:t xml:space="preserve">www.mondaq.com. (n.d.). Common Law vs. Civil Law: A Rough Guide </w:t>
      </w:r>
      <w:proofErr w:type="gramStart"/>
      <w:r w:rsidRPr="00B308E8">
        <w:rPr>
          <w:rFonts w:ascii="Abadi" w:hAnsi="Abadi" w:cs="Calibri"/>
          <w:color w:val="000000" w:themeColor="text1"/>
          <w:shd w:val="clear" w:color="auto" w:fill="FEF1C4"/>
        </w:rPr>
        <w:t>For</w:t>
      </w:r>
      <w:proofErr w:type="gramEnd"/>
      <w:r w:rsidRPr="00B308E8">
        <w:rPr>
          <w:rFonts w:ascii="Abadi" w:hAnsi="Abadi" w:cs="Calibri"/>
          <w:color w:val="000000" w:themeColor="text1"/>
          <w:shd w:val="clear" w:color="auto" w:fill="FEF1C4"/>
        </w:rPr>
        <w:t xml:space="preserve"> Your Business - Corporate/Commercial Law - UK. [online] Available at: </w:t>
      </w:r>
      <w:hyperlink w:history="1" r:id="rId18">
        <w:r w:rsidRPr="00B308E8">
          <w:rPr>
            <w:rStyle w:val="Hyperlink"/>
            <w:rFonts w:ascii="Abadi" w:hAnsi="Abadi" w:cs="Calibri"/>
            <w:shd w:val="clear" w:color="auto" w:fill="FEF1C4"/>
          </w:rPr>
          <w:t>https://www.mondaq.com/uk/contracts-and-commercial-law/598694/common-law-vs-civil-law-a-rough-guide-for-your-business</w:t>
        </w:r>
      </w:hyperlink>
      <w:r w:rsidRPr="00440A27">
        <w:rPr>
          <w:rFonts w:ascii="Abadi" w:hAnsi="Abadi" w:cs="Calibri"/>
          <w:color w:val="000000" w:themeColor="text1"/>
          <w:shd w:val="clear" w:color="auto" w:fill="FEF1C4"/>
        </w:rPr>
        <w:t>.</w:t>
      </w:r>
    </w:p>
    <w:p w:rsidRPr="00440A27" w:rsidR="00440A27" w:rsidP="00A518EB" w:rsidRDefault="00440A27" w14:paraId="3A7AD937" w14:textId="77777777">
      <w:pPr>
        <w:pStyle w:val="NormalWeb"/>
        <w:rPr>
          <w:rFonts w:ascii="Abadi" w:hAnsi="Abadi" w:cs="Calibri"/>
          <w:color w:val="000000" w:themeColor="text1"/>
          <w:shd w:val="clear" w:color="auto" w:fill="FEF1C4"/>
        </w:rPr>
      </w:pPr>
    </w:p>
    <w:p w:rsidR="00D462AE" w:rsidP="00A518EB" w:rsidRDefault="00D462AE" w14:paraId="46936BA1" w14:textId="1B9445C8">
      <w:pPr>
        <w:pStyle w:val="NormalWeb"/>
        <w:rPr>
          <w:rFonts w:ascii="Abadi" w:hAnsi="Abadi" w:cs="Calibri"/>
          <w:color w:val="2C3E50"/>
          <w:shd w:val="clear" w:color="auto" w:fill="FEF1C4"/>
        </w:rPr>
      </w:pPr>
    </w:p>
    <w:p w:rsidR="00390963" w:rsidP="00A518EB" w:rsidRDefault="00390963" w14:paraId="3BE00107" w14:textId="77777777">
      <w:pPr>
        <w:pStyle w:val="NormalWeb"/>
        <w:rPr>
          <w:rFonts w:ascii="Abadi" w:hAnsi="Abadi" w:cs="Calibri"/>
          <w:color w:val="2C3E50"/>
          <w:shd w:val="clear" w:color="auto" w:fill="FEF1C4"/>
        </w:rPr>
      </w:pPr>
    </w:p>
    <w:p w:rsidRPr="000E661E" w:rsidR="000E661E" w:rsidP="00A518EB" w:rsidRDefault="000E661E" w14:paraId="4B3F8D81" w14:textId="77777777">
      <w:pPr>
        <w:pStyle w:val="NormalWeb"/>
        <w:rPr>
          <w:rFonts w:ascii="Abadi" w:hAnsi="Abadi"/>
          <w:b/>
          <w:bCs/>
          <w:color w:val="000000" w:themeColor="text1"/>
          <w:shd w:val="clear" w:color="auto" w:fill="F9F9F9"/>
        </w:rPr>
      </w:pPr>
    </w:p>
    <w:sectPr w:rsidRPr="000E661E" w:rsidR="000E661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proxima-nova">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ACA"/>
    <w:rsid w:val="000E661E"/>
    <w:rsid w:val="00117CED"/>
    <w:rsid w:val="00125837"/>
    <w:rsid w:val="001C7CDC"/>
    <w:rsid w:val="00325C5E"/>
    <w:rsid w:val="0034445F"/>
    <w:rsid w:val="00390963"/>
    <w:rsid w:val="003D500A"/>
    <w:rsid w:val="00412ACA"/>
    <w:rsid w:val="00440A27"/>
    <w:rsid w:val="00442164"/>
    <w:rsid w:val="00532DBF"/>
    <w:rsid w:val="00634DC6"/>
    <w:rsid w:val="00710648"/>
    <w:rsid w:val="00775B1B"/>
    <w:rsid w:val="007C6AD9"/>
    <w:rsid w:val="00810F15"/>
    <w:rsid w:val="008E22E0"/>
    <w:rsid w:val="00A43ED6"/>
    <w:rsid w:val="00A518EB"/>
    <w:rsid w:val="00B21DA9"/>
    <w:rsid w:val="00B22CBC"/>
    <w:rsid w:val="00B308E8"/>
    <w:rsid w:val="00B678FD"/>
    <w:rsid w:val="00D462AE"/>
    <w:rsid w:val="00E532EC"/>
    <w:rsid w:val="00F61033"/>
    <w:rsid w:val="00F86DA7"/>
    <w:rsid w:val="00FB5D44"/>
    <w:rsid w:val="045CC4AA"/>
    <w:rsid w:val="05E20C1A"/>
    <w:rsid w:val="0AAB976E"/>
    <w:rsid w:val="0B23E4D3"/>
    <w:rsid w:val="0D8CD399"/>
    <w:rsid w:val="0FD84380"/>
    <w:rsid w:val="132CC2FC"/>
    <w:rsid w:val="1B2D33ED"/>
    <w:rsid w:val="1BABF14C"/>
    <w:rsid w:val="250A5211"/>
    <w:rsid w:val="2844F1AF"/>
    <w:rsid w:val="2E1778A1"/>
    <w:rsid w:val="2F0FBA39"/>
    <w:rsid w:val="3209F2B8"/>
    <w:rsid w:val="3473611C"/>
    <w:rsid w:val="3C871B3E"/>
    <w:rsid w:val="3E22EB9F"/>
    <w:rsid w:val="3F02348C"/>
    <w:rsid w:val="401C424D"/>
    <w:rsid w:val="431F1781"/>
    <w:rsid w:val="45B3FE30"/>
    <w:rsid w:val="496B9293"/>
    <w:rsid w:val="4DBACDB7"/>
    <w:rsid w:val="4F5076FA"/>
    <w:rsid w:val="56633DF8"/>
    <w:rsid w:val="570742BA"/>
    <w:rsid w:val="5B227454"/>
    <w:rsid w:val="5C843A41"/>
    <w:rsid w:val="5DDFC1DB"/>
    <w:rsid w:val="6069963B"/>
    <w:rsid w:val="62E1BB72"/>
    <w:rsid w:val="63B9A9BE"/>
    <w:rsid w:val="6AF0ACD2"/>
    <w:rsid w:val="6C43BD06"/>
    <w:rsid w:val="6DF0E01D"/>
    <w:rsid w:val="719EE360"/>
    <w:rsid w:val="72193141"/>
    <w:rsid w:val="72827438"/>
    <w:rsid w:val="7329EB29"/>
    <w:rsid w:val="75296981"/>
    <w:rsid w:val="7F3CE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D0811"/>
  <w15:chartTrackingRefBased/>
  <w15:docId w15:val="{323401EA-B971-49E9-83CD-BE2D4308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B22CB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634DC6"/>
    <w:rPr>
      <w:i/>
      <w:iCs/>
    </w:rPr>
  </w:style>
  <w:style w:type="character" w:styleId="Hyperlink">
    <w:name w:val="Hyperlink"/>
    <w:basedOn w:val="DefaultParagraphFont"/>
    <w:uiPriority w:val="99"/>
    <w:unhideWhenUsed/>
    <w:rsid w:val="00634DC6"/>
    <w:rPr>
      <w:color w:val="0000FF"/>
      <w:u w:val="single"/>
    </w:rPr>
  </w:style>
  <w:style w:type="character" w:styleId="UnresolvedMention">
    <w:name w:val="Unresolved Mention"/>
    <w:basedOn w:val="DefaultParagraphFont"/>
    <w:uiPriority w:val="99"/>
    <w:semiHidden/>
    <w:unhideWhenUsed/>
    <w:rsid w:val="007C6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544353">
      <w:bodyDiv w:val="1"/>
      <w:marLeft w:val="0"/>
      <w:marRight w:val="0"/>
      <w:marTop w:val="0"/>
      <w:marBottom w:val="0"/>
      <w:divBdr>
        <w:top w:val="none" w:sz="0" w:space="0" w:color="auto"/>
        <w:left w:val="none" w:sz="0" w:space="0" w:color="auto"/>
        <w:bottom w:val="none" w:sz="0" w:space="0" w:color="auto"/>
        <w:right w:val="none" w:sz="0" w:space="0" w:color="auto"/>
      </w:divBdr>
    </w:div>
    <w:div w:id="1412656647">
      <w:bodyDiv w:val="1"/>
      <w:marLeft w:val="0"/>
      <w:marRight w:val="0"/>
      <w:marTop w:val="0"/>
      <w:marBottom w:val="0"/>
      <w:divBdr>
        <w:top w:val="none" w:sz="0" w:space="0" w:color="auto"/>
        <w:left w:val="none" w:sz="0" w:space="0" w:color="auto"/>
        <w:bottom w:val="none" w:sz="0" w:space="0" w:color="auto"/>
        <w:right w:val="none" w:sz="0" w:space="0" w:color="auto"/>
      </w:divBdr>
    </w:div>
    <w:div w:id="1556358614">
      <w:bodyDiv w:val="1"/>
      <w:marLeft w:val="0"/>
      <w:marRight w:val="0"/>
      <w:marTop w:val="0"/>
      <w:marBottom w:val="0"/>
      <w:divBdr>
        <w:top w:val="none" w:sz="0" w:space="0" w:color="auto"/>
        <w:left w:val="none" w:sz="0" w:space="0" w:color="auto"/>
        <w:bottom w:val="none" w:sz="0" w:space="0" w:color="auto"/>
        <w:right w:val="none" w:sz="0" w:space="0" w:color="auto"/>
      </w:divBdr>
    </w:div>
    <w:div w:id="195089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ondaq.com/uk/contracts-and-commercial-law/598694/common-law-vs-civil-law-a-rough-guide-for-your-business" TargetMode="External" Id="rId18" /><Relationship Type="http://schemas.openxmlformats.org/officeDocument/2006/relationships/customXml" Target="../customXml/item3.xml" Id="rId3" /><Relationship Type="http://schemas.openxmlformats.org/officeDocument/2006/relationships/hyperlink" Target="https://onlinelaw.wustl.edu/blog/common-law-vs-civil-law/" TargetMode="External" Id="rId17" /><Relationship Type="http://schemas.openxmlformats.org/officeDocument/2006/relationships/customXml" Target="../customXml/item2.xml" Id="rId2" /><Relationship Type="http://schemas.openxmlformats.org/officeDocument/2006/relationships/hyperlink" Target="https://uk.practicallaw.thomsonreuters.com/5-636-2498?transitionType=Default&amp;contextData=(sc.Default)&amp;firstPage=true"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britannica.com/topic/civil-law-Romano-Germanic/The-French-system" TargetMode="External" Id="rId11" /><Relationship Type="http://schemas.openxmlformats.org/officeDocument/2006/relationships/settings" Target="settings.xml" Id="rId5" /><Relationship Type="http://schemas.openxmlformats.org/officeDocument/2006/relationships/hyperlink" Target="https://www.supremecourt.uk/docs/speech-191028.pdf" TargetMode="External" Id="rId15" /><Relationship Type="http://schemas.openxmlformats.org/officeDocument/2006/relationships/hyperlink" Target="https://www.judiciary.uk/about-the-judiciary/our-justice-system/jurisdictions/civil-jurisdiction/" TargetMode="External" Id="rId10" /><Relationship Type="http://schemas.openxmlformats.org/officeDocument/2006/relationships/fontTable" Target="fontTable.xml" Id="rId19" /><Relationship Type="http://schemas.openxmlformats.org/officeDocument/2006/relationships/styles" Target="styles.xml" Id="rId4" /><Relationship Type="http://schemas.openxmlformats.org/officeDocument/2006/relationships/hyperlink" Target="https://www.britannica.com/topic/civil-law-Romano-Germanic" TargetMode="External" Id="Re9ed05dc849641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5A8180-6723-49CA-9FA2-AA24DD320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CE0D1F-5917-41BA-982B-B3CFC0BB192E}">
  <ds:schemaRefs>
    <ds:schemaRef ds:uri="http://schemas.microsoft.com/sharepoint/v3/contenttype/forms"/>
  </ds:schemaRefs>
</ds:datastoreItem>
</file>

<file path=customXml/itemProps3.xml><?xml version="1.0" encoding="utf-8"?>
<ds:datastoreItem xmlns:ds="http://schemas.openxmlformats.org/officeDocument/2006/customXml" ds:itemID="{865C2552-6187-447B-B3D0-88617B6F3A8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Vasile</dc:creator>
  <keywords/>
  <dc:description/>
  <lastModifiedBy>Vasile Cristescu (2228672)</lastModifiedBy>
  <revision>21</revision>
  <dcterms:created xsi:type="dcterms:W3CDTF">2023-02-28T11:02:00.0000000Z</dcterms:created>
  <dcterms:modified xsi:type="dcterms:W3CDTF">2023-03-08T16:54:10.1764278Z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