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BB1D3B" w14:textId="77777777" w:rsidR="00A24226" w:rsidRDefault="00A24226" w:rsidP="00A24226">
      <w:pPr>
        <w:ind w:firstLine="0"/>
        <w:rPr>
          <w:b/>
        </w:rPr>
      </w:pPr>
    </w:p>
    <w:p w14:paraId="64B43665" w14:textId="77777777" w:rsidR="00A24226" w:rsidRDefault="00A24226" w:rsidP="00A24226">
      <w:pPr>
        <w:jc w:val="center"/>
        <w:rPr>
          <w:b/>
        </w:rPr>
      </w:pPr>
    </w:p>
    <w:p w14:paraId="065D33AF" w14:textId="77777777" w:rsidR="00A24226" w:rsidRPr="00A24226" w:rsidRDefault="00A24226" w:rsidP="00A24226">
      <w:pPr>
        <w:jc w:val="center"/>
        <w:rPr>
          <w:rFonts w:ascii="Arial" w:hAnsi="Arial" w:cs="Arial"/>
          <w:b/>
          <w:sz w:val="48"/>
          <w:szCs w:val="48"/>
        </w:rPr>
      </w:pPr>
      <w:r w:rsidRPr="00A24226">
        <w:rPr>
          <w:rFonts w:ascii="Arial" w:hAnsi="Arial" w:cs="Arial"/>
          <w:b/>
          <w:sz w:val="48"/>
          <w:szCs w:val="48"/>
        </w:rPr>
        <w:t>Food and Beverage Placement at Hilton Puckrup Hall</w:t>
      </w:r>
    </w:p>
    <w:p w14:paraId="40946C7C" w14:textId="77777777" w:rsidR="00A24226" w:rsidRDefault="00A24226" w:rsidP="00A24226">
      <w:pPr>
        <w:jc w:val="center"/>
      </w:pPr>
    </w:p>
    <w:p w14:paraId="19129576" w14:textId="77777777" w:rsidR="00A24226" w:rsidRDefault="00A24226" w:rsidP="00A24226">
      <w:pPr>
        <w:jc w:val="center"/>
      </w:pPr>
    </w:p>
    <w:p w14:paraId="78FC7D1F" w14:textId="77777777" w:rsidR="00A24226" w:rsidRDefault="00A24226" w:rsidP="00A24226">
      <w:pPr>
        <w:jc w:val="center"/>
      </w:pPr>
    </w:p>
    <w:p w14:paraId="28CEDA28" w14:textId="77777777" w:rsidR="00A24226" w:rsidRDefault="00A24226" w:rsidP="00A24226">
      <w:pPr>
        <w:jc w:val="center"/>
      </w:pPr>
    </w:p>
    <w:p w14:paraId="21F78BDD" w14:textId="77777777" w:rsidR="00A24226" w:rsidRDefault="00A24226" w:rsidP="00A24226">
      <w:pPr>
        <w:jc w:val="center"/>
      </w:pPr>
    </w:p>
    <w:p w14:paraId="69AD9C10" w14:textId="77777777" w:rsidR="00A24226" w:rsidRDefault="00A24226" w:rsidP="00A24226">
      <w:pPr>
        <w:jc w:val="center"/>
      </w:pPr>
    </w:p>
    <w:p w14:paraId="09590361" w14:textId="668CDE8C" w:rsidR="00A24226" w:rsidRPr="00A24226" w:rsidRDefault="00A24226" w:rsidP="00A24226">
      <w:pPr>
        <w:spacing w:line="360" w:lineRule="auto"/>
        <w:ind w:firstLine="0"/>
        <w:rPr>
          <w:rFonts w:ascii="Arial" w:hAnsi="Arial" w:cs="Arial"/>
          <w:b/>
          <w:bCs/>
          <w:sz w:val="32"/>
          <w:szCs w:val="32"/>
        </w:rPr>
      </w:pPr>
      <w:r w:rsidRPr="00A24226">
        <w:rPr>
          <w:rFonts w:ascii="Arial" w:hAnsi="Arial" w:cs="Arial"/>
          <w:b/>
          <w:bCs/>
          <w:sz w:val="32"/>
          <w:szCs w:val="32"/>
        </w:rPr>
        <w:t>Student : Alexandra-Andreea Anghel (2226451)</w:t>
      </w:r>
    </w:p>
    <w:p w14:paraId="36E3501E" w14:textId="71C57CBE" w:rsidR="00A24226" w:rsidRPr="00A24226" w:rsidRDefault="00A24226" w:rsidP="00A24226">
      <w:pPr>
        <w:spacing w:line="360" w:lineRule="auto"/>
        <w:ind w:firstLine="0"/>
        <w:rPr>
          <w:rFonts w:ascii="Arial" w:hAnsi="Arial" w:cs="Arial"/>
          <w:b/>
          <w:bCs/>
          <w:sz w:val="32"/>
          <w:szCs w:val="32"/>
        </w:rPr>
      </w:pPr>
      <w:r w:rsidRPr="00A24226">
        <w:rPr>
          <w:rFonts w:ascii="Arial" w:hAnsi="Arial" w:cs="Arial"/>
          <w:b/>
          <w:bCs/>
          <w:sz w:val="32"/>
          <w:szCs w:val="32"/>
        </w:rPr>
        <w:t xml:space="preserve">Lecturer: </w:t>
      </w:r>
      <w:r w:rsidRPr="00A24226">
        <w:rPr>
          <w:rFonts w:ascii="Arial" w:hAnsi="Arial" w:cs="Arial"/>
          <w:b/>
          <w:bCs/>
          <w:sz w:val="32"/>
          <w:szCs w:val="32"/>
        </w:rPr>
        <w:t>Ka Po Chong</w:t>
      </w:r>
    </w:p>
    <w:p w14:paraId="50BA4436" w14:textId="4198BB26" w:rsidR="00A24226" w:rsidRDefault="00A24226" w:rsidP="00A24226">
      <w:pPr>
        <w:pStyle w:val="Default"/>
        <w:spacing w:line="360" w:lineRule="auto"/>
        <w:rPr>
          <w:b/>
          <w:bCs/>
          <w:sz w:val="32"/>
          <w:szCs w:val="32"/>
        </w:rPr>
      </w:pPr>
      <w:r w:rsidRPr="00A24226">
        <w:rPr>
          <w:b/>
          <w:bCs/>
          <w:sz w:val="32"/>
          <w:szCs w:val="32"/>
        </w:rPr>
        <w:t xml:space="preserve">Module: </w:t>
      </w:r>
      <w:r w:rsidRPr="00A24226">
        <w:rPr>
          <w:b/>
          <w:bCs/>
          <w:sz w:val="32"/>
          <w:szCs w:val="32"/>
        </w:rPr>
        <w:t xml:space="preserve">Managing Food &amp; Beverage Operations </w:t>
      </w:r>
      <w:r w:rsidRPr="00A24226">
        <w:rPr>
          <w:b/>
          <w:bCs/>
          <w:sz w:val="32"/>
          <w:szCs w:val="32"/>
        </w:rPr>
        <w:t>BMIH6002</w:t>
      </w:r>
    </w:p>
    <w:p w14:paraId="2034F098" w14:textId="39A4467E" w:rsidR="007D5E07" w:rsidRDefault="007D5E07" w:rsidP="00A24226">
      <w:pPr>
        <w:pStyle w:val="Default"/>
        <w:spacing w:line="360" w:lineRule="auto"/>
        <w:rPr>
          <w:b/>
          <w:bCs/>
          <w:sz w:val="32"/>
          <w:szCs w:val="32"/>
        </w:rPr>
      </w:pPr>
      <w:r>
        <w:rPr>
          <w:b/>
          <w:bCs/>
          <w:sz w:val="32"/>
          <w:szCs w:val="32"/>
        </w:rPr>
        <w:t>Word count: 1281 words</w:t>
      </w:r>
    </w:p>
    <w:p w14:paraId="1D75C805" w14:textId="77777777" w:rsidR="00487982" w:rsidRDefault="00487982" w:rsidP="00A24226">
      <w:pPr>
        <w:pStyle w:val="Default"/>
        <w:spacing w:line="360" w:lineRule="auto"/>
        <w:rPr>
          <w:b/>
          <w:bCs/>
          <w:sz w:val="32"/>
          <w:szCs w:val="32"/>
        </w:rPr>
      </w:pPr>
    </w:p>
    <w:p w14:paraId="16D6A052" w14:textId="77777777" w:rsidR="00487982" w:rsidRDefault="00487982" w:rsidP="00487982">
      <w:pPr>
        <w:rPr>
          <w:rFonts w:ascii="Arial" w:hAnsi="Arial" w:cs="Arial"/>
          <w:b/>
          <w:bCs/>
          <w:szCs w:val="24"/>
        </w:rPr>
      </w:pPr>
    </w:p>
    <w:p w14:paraId="1DA8A552" w14:textId="1EFE24CD" w:rsidR="00487982" w:rsidRPr="00954387" w:rsidRDefault="00487982" w:rsidP="00487982">
      <w:pPr>
        <w:rPr>
          <w:rFonts w:ascii="Arial" w:hAnsi="Arial" w:cs="Arial"/>
          <w:b/>
          <w:bCs/>
          <w:szCs w:val="24"/>
        </w:rPr>
      </w:pPr>
      <w:r w:rsidRPr="00954387">
        <w:rPr>
          <w:rFonts w:ascii="Arial" w:hAnsi="Arial" w:cs="Arial"/>
          <w:b/>
          <w:bCs/>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238F87F" w14:textId="77777777" w:rsidR="00487982" w:rsidRDefault="00487982" w:rsidP="00487982">
      <w:pPr>
        <w:ind w:firstLine="0"/>
        <w:rPr>
          <w:rFonts w:ascii="Arial" w:hAnsi="Arial" w:cs="Arial"/>
        </w:rPr>
      </w:pPr>
    </w:p>
    <w:p w14:paraId="521B7F66" w14:textId="4663EAF1" w:rsidR="00A24226" w:rsidRPr="00487982" w:rsidRDefault="00A24226" w:rsidP="00487982">
      <w:pPr>
        <w:ind w:firstLine="0"/>
        <w:rPr>
          <w:rFonts w:eastAsiaTheme="majorEastAsia" w:cstheme="majorBidi"/>
          <w:b/>
          <w:sz w:val="40"/>
          <w:szCs w:val="40"/>
        </w:rPr>
      </w:pPr>
      <w:r w:rsidRPr="00487982">
        <w:rPr>
          <w:rFonts w:ascii="Arial" w:hAnsi="Arial" w:cs="Arial"/>
          <w:sz w:val="40"/>
          <w:szCs w:val="40"/>
        </w:rPr>
        <w:t>Introduction</w:t>
      </w:r>
    </w:p>
    <w:p w14:paraId="152E9014" w14:textId="77777777" w:rsidR="00A24226" w:rsidRPr="00A24226" w:rsidRDefault="00A24226" w:rsidP="00A24226">
      <w:pPr>
        <w:spacing w:line="240" w:lineRule="auto"/>
      </w:pPr>
    </w:p>
    <w:p w14:paraId="69804DFC" w14:textId="77777777" w:rsidR="00A24226" w:rsidRPr="00A24226" w:rsidRDefault="00A24226" w:rsidP="00487982">
      <w:pPr>
        <w:spacing w:line="360" w:lineRule="auto"/>
        <w:rPr>
          <w:rFonts w:ascii="Arial" w:hAnsi="Arial" w:cs="Arial"/>
          <w:szCs w:val="24"/>
        </w:rPr>
      </w:pPr>
      <w:r w:rsidRPr="00A24226">
        <w:rPr>
          <w:rFonts w:ascii="Arial" w:hAnsi="Arial" w:cs="Arial"/>
          <w:szCs w:val="24"/>
        </w:rPr>
        <w:t xml:space="preserve">During my Level 6 placement at </w:t>
      </w:r>
      <w:r w:rsidRPr="00A24226">
        <w:rPr>
          <w:rFonts w:ascii="Arial" w:hAnsi="Arial" w:cs="Arial"/>
          <w:bCs/>
          <w:szCs w:val="24"/>
        </w:rPr>
        <w:t>Hilton Puckrup Hall, Tewkesbury</w:t>
      </w:r>
      <w:r w:rsidRPr="00A24226">
        <w:rPr>
          <w:rFonts w:ascii="Arial" w:hAnsi="Arial" w:cs="Arial"/>
          <w:szCs w:val="24"/>
        </w:rPr>
        <w:t>, I worked within the Food and Beverage (F&amp;B) department of this countryside Hilton resort. The hotel offers a formal restaurant, Terrace Bar, in-room dining, and extensive banqueting services for weddings, conferences, and golf events. With a significant daily guest turnover and varied service formats, the F&amp;B department presented an ideal environment for experiential learning.</w:t>
      </w:r>
    </w:p>
    <w:p w14:paraId="7A3CBD92" w14:textId="77777777" w:rsidR="00A24226" w:rsidRPr="00487982" w:rsidRDefault="00A24226" w:rsidP="00487982">
      <w:pPr>
        <w:pStyle w:val="Heading1"/>
        <w:spacing w:line="360" w:lineRule="auto"/>
        <w:rPr>
          <w:rFonts w:ascii="Arial" w:hAnsi="Arial" w:cs="Arial"/>
          <w:color w:val="auto"/>
          <w:sz w:val="24"/>
          <w:szCs w:val="24"/>
        </w:rPr>
      </w:pPr>
      <w:r w:rsidRPr="00487982">
        <w:rPr>
          <w:rFonts w:ascii="Arial" w:hAnsi="Arial" w:cs="Arial"/>
          <w:color w:val="auto"/>
          <w:sz w:val="24"/>
          <w:szCs w:val="24"/>
        </w:rPr>
        <w:t>My placement objectives were:</w:t>
      </w:r>
    </w:p>
    <w:p w14:paraId="07418201" w14:textId="77777777" w:rsidR="00A24226" w:rsidRPr="00A24226" w:rsidRDefault="00A24226" w:rsidP="00487982">
      <w:pPr>
        <w:pStyle w:val="ListParagraph"/>
        <w:numPr>
          <w:ilvl w:val="0"/>
          <w:numId w:val="16"/>
        </w:numPr>
        <w:spacing w:line="360" w:lineRule="auto"/>
        <w:rPr>
          <w:rFonts w:ascii="Arial" w:hAnsi="Arial" w:cs="Arial"/>
          <w:szCs w:val="24"/>
        </w:rPr>
      </w:pPr>
      <w:r w:rsidRPr="00A24226">
        <w:rPr>
          <w:rFonts w:ascii="Arial" w:hAnsi="Arial" w:cs="Arial"/>
          <w:szCs w:val="24"/>
        </w:rPr>
        <w:t>To build confidence in supporting and leading F&amp;B service tasks under supervision.</w:t>
      </w:r>
    </w:p>
    <w:p w14:paraId="77250C7E" w14:textId="77777777" w:rsidR="00A24226" w:rsidRPr="00A24226" w:rsidRDefault="00A24226" w:rsidP="00487982">
      <w:pPr>
        <w:pStyle w:val="ListParagraph"/>
        <w:numPr>
          <w:ilvl w:val="0"/>
          <w:numId w:val="16"/>
        </w:numPr>
        <w:spacing w:line="360" w:lineRule="auto"/>
        <w:rPr>
          <w:rFonts w:ascii="Arial" w:hAnsi="Arial" w:cs="Arial"/>
          <w:szCs w:val="24"/>
        </w:rPr>
      </w:pPr>
      <w:r w:rsidRPr="00A24226">
        <w:rPr>
          <w:rFonts w:ascii="Arial" w:hAnsi="Arial" w:cs="Arial"/>
          <w:szCs w:val="24"/>
        </w:rPr>
        <w:t>To develop skills in handling guest complaints and contributing to service recovery.</w:t>
      </w:r>
    </w:p>
    <w:p w14:paraId="635D3D73" w14:textId="77777777" w:rsidR="00A24226" w:rsidRPr="00A24226" w:rsidRDefault="00A24226" w:rsidP="00487982">
      <w:pPr>
        <w:pStyle w:val="ListParagraph"/>
        <w:numPr>
          <w:ilvl w:val="0"/>
          <w:numId w:val="16"/>
        </w:numPr>
        <w:spacing w:line="360" w:lineRule="auto"/>
        <w:rPr>
          <w:rFonts w:ascii="Arial" w:hAnsi="Arial" w:cs="Arial"/>
          <w:szCs w:val="24"/>
        </w:rPr>
      </w:pPr>
      <w:r w:rsidRPr="00A24226">
        <w:rPr>
          <w:rFonts w:ascii="Arial" w:hAnsi="Arial" w:cs="Arial"/>
          <w:szCs w:val="24"/>
        </w:rPr>
        <w:t>To understand how service performance is monitored and improved in a corporate F&amp;B context.</w:t>
      </w:r>
    </w:p>
    <w:p w14:paraId="4C64E2EE" w14:textId="5772D5B7" w:rsidR="00A24226" w:rsidRPr="00A24226" w:rsidRDefault="00A24226" w:rsidP="00487982">
      <w:pPr>
        <w:pStyle w:val="Heading1"/>
        <w:spacing w:line="360" w:lineRule="auto"/>
        <w:rPr>
          <w:rFonts w:ascii="Arial" w:hAnsi="Arial" w:cs="Arial"/>
          <w:color w:val="auto"/>
        </w:rPr>
      </w:pPr>
      <w:r w:rsidRPr="00A24226">
        <w:rPr>
          <w:rFonts w:ascii="Arial" w:hAnsi="Arial" w:cs="Arial"/>
          <w:color w:val="auto"/>
        </w:rPr>
        <w:t>Section 1: Role Reflection – Using Schön's Reflective Model</w:t>
      </w:r>
      <w:r w:rsidRPr="00A24226">
        <w:rPr>
          <w:rFonts w:ascii="Arial" w:hAnsi="Arial" w:cs="Arial"/>
        </w:rPr>
        <w:br/>
      </w:r>
      <w:r w:rsidRPr="00A24226">
        <w:rPr>
          <w:rFonts w:ascii="Arial" w:hAnsi="Arial" w:cs="Arial"/>
        </w:rPr>
        <w:tab/>
      </w:r>
      <w:r w:rsidRPr="00A24226">
        <w:rPr>
          <w:rFonts w:ascii="Arial" w:hAnsi="Arial" w:cs="Arial"/>
          <w:color w:val="auto"/>
          <w:sz w:val="24"/>
          <w:szCs w:val="24"/>
        </w:rPr>
        <w:t>Having the opportunity to be part of the Food and Beverage team at Hilton</w:t>
      </w:r>
      <w:r>
        <w:rPr>
          <w:rFonts w:ascii="Arial" w:hAnsi="Arial" w:cs="Arial"/>
          <w:color w:val="auto"/>
          <w:sz w:val="24"/>
          <w:szCs w:val="24"/>
        </w:rPr>
        <w:t xml:space="preserve"> Puckrup Hall, Tewksbury</w:t>
      </w:r>
      <w:r w:rsidRPr="00A24226">
        <w:rPr>
          <w:rFonts w:ascii="Arial" w:hAnsi="Arial" w:cs="Arial"/>
          <w:color w:val="auto"/>
          <w:sz w:val="24"/>
          <w:szCs w:val="24"/>
        </w:rPr>
        <w:t xml:space="preserve"> it was interesting and challenging too. </w:t>
      </w:r>
      <w:r w:rsidRPr="00A24226">
        <w:rPr>
          <w:rFonts w:ascii="Arial" w:hAnsi="Arial" w:cs="Arial"/>
          <w:color w:val="auto"/>
          <w:sz w:val="24"/>
          <w:szCs w:val="24"/>
        </w:rPr>
        <w:t>My primary responsibilities included:</w:t>
      </w:r>
    </w:p>
    <w:p w14:paraId="55629010" w14:textId="77777777" w:rsidR="00A24226" w:rsidRPr="00A24226" w:rsidRDefault="00A24226" w:rsidP="00487982">
      <w:pPr>
        <w:pStyle w:val="ListParagraph"/>
        <w:numPr>
          <w:ilvl w:val="0"/>
          <w:numId w:val="17"/>
        </w:numPr>
        <w:spacing w:line="360" w:lineRule="auto"/>
        <w:rPr>
          <w:rFonts w:ascii="Arial" w:hAnsi="Arial" w:cs="Arial"/>
          <w:szCs w:val="24"/>
        </w:rPr>
      </w:pPr>
      <w:r w:rsidRPr="00A24226">
        <w:rPr>
          <w:rFonts w:ascii="Arial" w:hAnsi="Arial" w:cs="Arial"/>
          <w:szCs w:val="24"/>
        </w:rPr>
        <w:t>Hosting and greeting guests</w:t>
      </w:r>
    </w:p>
    <w:p w14:paraId="413D9A37" w14:textId="77777777" w:rsidR="00A24226" w:rsidRPr="00A24226" w:rsidRDefault="00A24226" w:rsidP="00487982">
      <w:pPr>
        <w:pStyle w:val="ListParagraph"/>
        <w:numPr>
          <w:ilvl w:val="0"/>
          <w:numId w:val="17"/>
        </w:numPr>
        <w:spacing w:line="360" w:lineRule="auto"/>
        <w:rPr>
          <w:rFonts w:ascii="Arial" w:hAnsi="Arial" w:cs="Arial"/>
          <w:szCs w:val="24"/>
        </w:rPr>
      </w:pPr>
      <w:r w:rsidRPr="00A24226">
        <w:rPr>
          <w:rFonts w:ascii="Arial" w:hAnsi="Arial" w:cs="Arial"/>
          <w:szCs w:val="24"/>
        </w:rPr>
        <w:t>Taking food and drink orders</w:t>
      </w:r>
    </w:p>
    <w:p w14:paraId="7352191A" w14:textId="77777777" w:rsidR="00A24226" w:rsidRPr="00A24226" w:rsidRDefault="00A24226" w:rsidP="00487982">
      <w:pPr>
        <w:pStyle w:val="ListParagraph"/>
        <w:numPr>
          <w:ilvl w:val="0"/>
          <w:numId w:val="17"/>
        </w:numPr>
        <w:spacing w:line="360" w:lineRule="auto"/>
        <w:rPr>
          <w:rFonts w:ascii="Arial" w:hAnsi="Arial" w:cs="Arial"/>
          <w:szCs w:val="24"/>
        </w:rPr>
      </w:pPr>
      <w:r w:rsidRPr="00A24226">
        <w:rPr>
          <w:rFonts w:ascii="Arial" w:hAnsi="Arial" w:cs="Arial"/>
          <w:szCs w:val="24"/>
        </w:rPr>
        <w:t>Setting up and clearing event spaces</w:t>
      </w:r>
    </w:p>
    <w:p w14:paraId="2F99F494" w14:textId="77777777" w:rsidR="00A24226" w:rsidRPr="00A24226" w:rsidRDefault="00A24226" w:rsidP="00487982">
      <w:pPr>
        <w:pStyle w:val="ListParagraph"/>
        <w:numPr>
          <w:ilvl w:val="0"/>
          <w:numId w:val="17"/>
        </w:numPr>
        <w:spacing w:line="360" w:lineRule="auto"/>
        <w:rPr>
          <w:rFonts w:ascii="Arial" w:hAnsi="Arial" w:cs="Arial"/>
          <w:szCs w:val="24"/>
        </w:rPr>
      </w:pPr>
      <w:r w:rsidRPr="00A24226">
        <w:rPr>
          <w:rFonts w:ascii="Arial" w:hAnsi="Arial" w:cs="Arial"/>
          <w:szCs w:val="24"/>
        </w:rPr>
        <w:t>Communicating with kitchen and bar staff to ensure smooth service</w:t>
      </w:r>
    </w:p>
    <w:p w14:paraId="4048AE9A" w14:textId="77777777" w:rsidR="00A24226" w:rsidRPr="00A24226" w:rsidRDefault="00A24226" w:rsidP="00487982">
      <w:pPr>
        <w:spacing w:line="360" w:lineRule="auto"/>
        <w:rPr>
          <w:rFonts w:ascii="Arial" w:hAnsi="Arial" w:cs="Arial"/>
          <w:szCs w:val="24"/>
        </w:rPr>
      </w:pPr>
      <w:r w:rsidRPr="00A24226">
        <w:rPr>
          <w:rFonts w:ascii="Arial" w:hAnsi="Arial" w:cs="Arial"/>
          <w:szCs w:val="24"/>
        </w:rPr>
        <w:lastRenderedPageBreak/>
        <w:t>By being present and responsive, I found that many small challenges could be resolved in real-time without needing to escalate issues to supervisors, a sign of growing autonomy and professional awareness (</w:t>
      </w:r>
      <w:r w:rsidRPr="00A24226">
        <w:rPr>
          <w:rFonts w:ascii="Arial" w:hAnsi="Arial" w:cs="Arial"/>
        </w:rPr>
        <w:t>Bennett et al., 2020, p. 12948)</w:t>
      </w:r>
    </w:p>
    <w:p w14:paraId="3F5F25CF" w14:textId="77777777" w:rsidR="00A24226" w:rsidRPr="0093403A" w:rsidRDefault="00A24226" w:rsidP="00A24226">
      <w:pPr>
        <w:pStyle w:val="Heading1"/>
        <w:rPr>
          <w:rFonts w:ascii="Arial" w:hAnsi="Arial" w:cs="Arial"/>
          <w:color w:val="auto"/>
        </w:rPr>
      </w:pPr>
      <w:r w:rsidRPr="0093403A">
        <w:rPr>
          <w:rFonts w:ascii="Arial" w:hAnsi="Arial" w:cs="Arial"/>
          <w:color w:val="auto"/>
        </w:rPr>
        <w:t>Reflection-on-Action: Supervisory Skills</w:t>
      </w:r>
    </w:p>
    <w:p w14:paraId="403A4433" w14:textId="599E16E0" w:rsidR="00A24226" w:rsidRPr="00A24226" w:rsidRDefault="00A24226" w:rsidP="00A24226">
      <w:pPr>
        <w:rPr>
          <w:rFonts w:ascii="Arial" w:hAnsi="Arial" w:cs="Arial"/>
          <w:szCs w:val="24"/>
        </w:rPr>
      </w:pPr>
      <w:r w:rsidRPr="00A24226">
        <w:rPr>
          <w:rFonts w:ascii="Arial" w:hAnsi="Arial" w:cs="Arial"/>
          <w:szCs w:val="24"/>
        </w:rPr>
        <w:t xml:space="preserve">Reflecting on my experience after shifts, I recognised the importance of </w:t>
      </w:r>
      <w:r w:rsidRPr="00A24226">
        <w:rPr>
          <w:rFonts w:ascii="Arial" w:hAnsi="Arial" w:cs="Arial"/>
          <w:bCs/>
          <w:szCs w:val="24"/>
        </w:rPr>
        <w:t>supervisory skills</w:t>
      </w:r>
      <w:r w:rsidRPr="00A24226">
        <w:rPr>
          <w:rFonts w:ascii="Arial" w:hAnsi="Arial" w:cs="Arial"/>
          <w:szCs w:val="24"/>
        </w:rPr>
        <w:t xml:space="preserve"> such as communication, anticipation, and team motivation. I identified </w:t>
      </w:r>
      <w:r w:rsidRPr="00A24226">
        <w:rPr>
          <w:rFonts w:ascii="Arial" w:hAnsi="Arial" w:cs="Arial"/>
          <w:bCs/>
          <w:szCs w:val="24"/>
        </w:rPr>
        <w:t>strengths</w:t>
      </w:r>
      <w:r w:rsidRPr="00A24226">
        <w:rPr>
          <w:rFonts w:ascii="Arial" w:hAnsi="Arial" w:cs="Arial"/>
          <w:szCs w:val="24"/>
        </w:rPr>
        <w:t xml:space="preserve"> in my adaptability and teamwork, for example, stepping into unfamiliar roles without hesitation (</w:t>
      </w:r>
      <w:r w:rsidRPr="00A24226">
        <w:rPr>
          <w:rFonts w:ascii="Arial" w:hAnsi="Arial" w:cs="Arial"/>
          <w:bCs/>
          <w:szCs w:val="24"/>
        </w:rPr>
        <w:t xml:space="preserve">Wolgast et al., 2022,p.12). </w:t>
      </w:r>
      <w:r w:rsidRPr="00A24226">
        <w:rPr>
          <w:rFonts w:ascii="Arial" w:hAnsi="Arial" w:cs="Arial"/>
          <w:szCs w:val="24"/>
        </w:rPr>
        <w:t xml:space="preserve">However, I also noticed a </w:t>
      </w:r>
      <w:r w:rsidRPr="00A24226">
        <w:rPr>
          <w:rFonts w:ascii="Arial" w:hAnsi="Arial" w:cs="Arial"/>
          <w:bCs/>
          <w:szCs w:val="24"/>
        </w:rPr>
        <w:t>weakness</w:t>
      </w:r>
      <w:r w:rsidRPr="00A24226">
        <w:rPr>
          <w:rFonts w:ascii="Arial" w:hAnsi="Arial" w:cs="Arial"/>
          <w:szCs w:val="24"/>
        </w:rPr>
        <w:t xml:space="preserve"> in confidently giving directions to others, especially when </w:t>
      </w:r>
      <w:r w:rsidR="0093403A">
        <w:rPr>
          <w:rFonts w:ascii="Arial" w:hAnsi="Arial" w:cs="Arial"/>
          <w:szCs w:val="24"/>
        </w:rPr>
        <w:t>new starters</w:t>
      </w:r>
      <w:r w:rsidRPr="00A24226">
        <w:rPr>
          <w:rFonts w:ascii="Arial" w:hAnsi="Arial" w:cs="Arial"/>
          <w:szCs w:val="24"/>
        </w:rPr>
        <w:t xml:space="preserve"> colleagues asked for guidance (</w:t>
      </w:r>
      <w:r w:rsidRPr="00A24226">
        <w:rPr>
          <w:rFonts w:ascii="Arial" w:hAnsi="Arial" w:cs="Arial"/>
          <w:bCs/>
          <w:szCs w:val="24"/>
        </w:rPr>
        <w:t>Hecht et al., 2020, p. 7381).</w:t>
      </w:r>
    </w:p>
    <w:p w14:paraId="165735BE" w14:textId="77777777" w:rsidR="00A24226" w:rsidRPr="0093403A" w:rsidRDefault="00A24226" w:rsidP="00A24226">
      <w:pPr>
        <w:pStyle w:val="Heading1"/>
        <w:rPr>
          <w:rFonts w:ascii="Arial" w:hAnsi="Arial" w:cs="Arial"/>
          <w:color w:val="auto"/>
        </w:rPr>
      </w:pPr>
      <w:r w:rsidRPr="0093403A">
        <w:rPr>
          <w:rFonts w:ascii="Arial" w:hAnsi="Arial" w:cs="Arial"/>
          <w:color w:val="auto"/>
        </w:rPr>
        <w:t>Observed Supervision: Real Examples</w:t>
      </w:r>
    </w:p>
    <w:p w14:paraId="2AB56C01" w14:textId="505D248D" w:rsidR="00A24226" w:rsidRDefault="00A24226" w:rsidP="00487982">
      <w:pPr>
        <w:spacing w:line="360" w:lineRule="auto"/>
        <w:rPr>
          <w:rFonts w:ascii="Arial" w:hAnsi="Arial" w:cs="Arial"/>
          <w:szCs w:val="24"/>
        </w:rPr>
      </w:pPr>
      <w:r w:rsidRPr="00A24226">
        <w:rPr>
          <w:rFonts w:ascii="Arial" w:hAnsi="Arial" w:cs="Arial"/>
          <w:szCs w:val="24"/>
        </w:rPr>
        <w:t xml:space="preserve">A positive example of adequate supervision occurred during a </w:t>
      </w:r>
      <w:r w:rsidR="0093403A">
        <w:rPr>
          <w:rFonts w:ascii="Arial" w:hAnsi="Arial" w:cs="Arial"/>
          <w:szCs w:val="24"/>
        </w:rPr>
        <w:t>Mo</w:t>
      </w:r>
      <w:r w:rsidRPr="00A24226">
        <w:rPr>
          <w:rFonts w:ascii="Arial" w:hAnsi="Arial" w:cs="Arial"/>
          <w:szCs w:val="24"/>
        </w:rPr>
        <w:t xml:space="preserve">nday lunch service. The supervisor conducted a brief and precise team meeting before the shift, defined everyone's zones, and ensured that allergen charts were updated. This level of organisation led to a smooth and stress-free service. </w:t>
      </w:r>
    </w:p>
    <w:p w14:paraId="3F46C3E3" w14:textId="516852B1" w:rsidR="00487982" w:rsidRPr="00487982" w:rsidRDefault="00487982" w:rsidP="00487982">
      <w:pPr>
        <w:spacing w:line="360" w:lineRule="auto"/>
        <w:rPr>
          <w:rFonts w:ascii="Arial" w:hAnsi="Arial" w:cs="Arial"/>
          <w:szCs w:val="24"/>
        </w:rPr>
      </w:pPr>
      <w:r w:rsidRPr="00487982">
        <w:rPr>
          <w:rFonts w:ascii="Arial" w:hAnsi="Arial" w:cs="Arial"/>
          <w:szCs w:val="24"/>
        </w:rPr>
        <w:t>Another positive example is that I had the chance to participate in a manager's meeting, which takes place every Tuesday. The general manager and all the other hotel’s department managers sit in a conference room and discuss all the issues, suggestions and upcoming events.</w:t>
      </w:r>
      <w:r>
        <w:rPr>
          <w:rFonts w:ascii="Arial" w:hAnsi="Arial" w:cs="Arial"/>
          <w:szCs w:val="24"/>
        </w:rPr>
        <w:t xml:space="preserve"> I found this weekly meetings being very productive and helpul for supervision team.</w:t>
      </w:r>
    </w:p>
    <w:p w14:paraId="6D72EA00" w14:textId="77777777" w:rsidR="00487982" w:rsidRPr="00487982" w:rsidRDefault="00487982" w:rsidP="00487982">
      <w:pPr>
        <w:spacing w:line="360" w:lineRule="auto"/>
        <w:rPr>
          <w:rFonts w:ascii="Arial" w:hAnsi="Arial" w:cs="Arial"/>
        </w:rPr>
      </w:pPr>
      <w:r w:rsidRPr="00487982">
        <w:rPr>
          <w:rFonts w:ascii="Arial" w:hAnsi="Arial" w:cs="Arial"/>
        </w:rPr>
        <w:t>A less positive example was when one of the supervisors suddenly felt ill and needed to go home. On that day, it also was short-staffed. Without their supervisor on a very busy day, the F&amp;B team struggled to manage all the situations, and they mixed up some orders.</w:t>
      </w:r>
    </w:p>
    <w:p w14:paraId="71E3CCC7" w14:textId="77777777" w:rsidR="00487982" w:rsidRPr="00487982" w:rsidRDefault="00487982" w:rsidP="00487982">
      <w:pPr>
        <w:spacing w:line="360" w:lineRule="auto"/>
        <w:rPr>
          <w:rFonts w:ascii="Arial" w:hAnsi="Arial" w:cs="Arial"/>
          <w:sz w:val="36"/>
          <w:szCs w:val="36"/>
        </w:rPr>
      </w:pPr>
    </w:p>
    <w:p w14:paraId="0CFD1BC3" w14:textId="2A39439E" w:rsidR="00A24226" w:rsidRPr="00487982" w:rsidRDefault="00A24226" w:rsidP="00487982">
      <w:pPr>
        <w:spacing w:line="360" w:lineRule="auto"/>
        <w:rPr>
          <w:rFonts w:ascii="Arial" w:hAnsi="Arial" w:cs="Arial"/>
          <w:sz w:val="40"/>
          <w:szCs w:val="40"/>
        </w:rPr>
      </w:pPr>
      <w:r w:rsidRPr="00487982">
        <w:rPr>
          <w:rFonts w:ascii="Arial" w:hAnsi="Arial" w:cs="Arial"/>
          <w:sz w:val="40"/>
          <w:szCs w:val="40"/>
        </w:rPr>
        <w:lastRenderedPageBreak/>
        <w:t>Action Plan for Development</w:t>
      </w:r>
    </w:p>
    <w:p w14:paraId="651EC08F" w14:textId="77777777" w:rsidR="00A24226" w:rsidRPr="00A24226" w:rsidRDefault="00A24226" w:rsidP="00487982">
      <w:pPr>
        <w:spacing w:line="360" w:lineRule="auto"/>
        <w:ind w:firstLine="0"/>
        <w:rPr>
          <w:rFonts w:ascii="Arial" w:hAnsi="Arial" w:cs="Arial"/>
          <w:szCs w:val="24"/>
        </w:rPr>
      </w:pPr>
      <w:r w:rsidRPr="00A24226">
        <w:rPr>
          <w:rFonts w:ascii="Arial" w:hAnsi="Arial" w:cs="Arial"/>
          <w:b/>
          <w:bCs/>
          <w:szCs w:val="24"/>
        </w:rPr>
        <w:t>Short Term</w:t>
      </w:r>
      <w:r w:rsidRPr="00A24226">
        <w:rPr>
          <w:rFonts w:ascii="Arial" w:hAnsi="Arial" w:cs="Arial"/>
          <w:bCs/>
          <w:szCs w:val="24"/>
        </w:rPr>
        <w:t>:</w:t>
      </w:r>
      <w:r w:rsidRPr="00A24226">
        <w:rPr>
          <w:rFonts w:ascii="Arial" w:hAnsi="Arial" w:cs="Arial"/>
          <w:szCs w:val="24"/>
        </w:rPr>
        <w:t xml:space="preserve"> Ask for opportunities to lead a small task or service section.</w:t>
      </w:r>
    </w:p>
    <w:p w14:paraId="67CE1B0B" w14:textId="77777777" w:rsidR="00A24226" w:rsidRPr="00A24226" w:rsidRDefault="00A24226" w:rsidP="00487982">
      <w:pPr>
        <w:spacing w:line="360" w:lineRule="auto"/>
        <w:ind w:firstLine="0"/>
        <w:rPr>
          <w:rFonts w:ascii="Arial" w:hAnsi="Arial" w:cs="Arial"/>
          <w:szCs w:val="24"/>
        </w:rPr>
      </w:pPr>
      <w:r w:rsidRPr="00A24226">
        <w:rPr>
          <w:rFonts w:ascii="Arial" w:hAnsi="Arial" w:cs="Arial"/>
          <w:b/>
          <w:bCs/>
          <w:szCs w:val="24"/>
        </w:rPr>
        <w:t>Mid Term</w:t>
      </w:r>
      <w:r w:rsidRPr="00A24226">
        <w:rPr>
          <w:rFonts w:ascii="Arial" w:hAnsi="Arial" w:cs="Arial"/>
          <w:bCs/>
          <w:szCs w:val="24"/>
        </w:rPr>
        <w:t>:</w:t>
      </w:r>
      <w:r w:rsidRPr="00A24226">
        <w:rPr>
          <w:rFonts w:ascii="Arial" w:hAnsi="Arial" w:cs="Arial"/>
          <w:szCs w:val="24"/>
        </w:rPr>
        <w:t xml:space="preserve"> Attend a short course or online training on team leadership in hospitality.</w:t>
      </w:r>
    </w:p>
    <w:p w14:paraId="68F060D1" w14:textId="77777777" w:rsidR="00A24226" w:rsidRPr="00A24226" w:rsidRDefault="00A24226" w:rsidP="00487982">
      <w:pPr>
        <w:spacing w:line="360" w:lineRule="auto"/>
        <w:ind w:firstLine="0"/>
        <w:rPr>
          <w:rFonts w:ascii="Arial" w:hAnsi="Arial" w:cs="Arial"/>
          <w:szCs w:val="24"/>
        </w:rPr>
      </w:pPr>
      <w:r w:rsidRPr="00A24226">
        <w:rPr>
          <w:rFonts w:ascii="Arial" w:hAnsi="Arial" w:cs="Arial"/>
          <w:b/>
          <w:bCs/>
          <w:szCs w:val="24"/>
        </w:rPr>
        <w:t>Long Term</w:t>
      </w:r>
      <w:r w:rsidRPr="00A24226">
        <w:rPr>
          <w:rFonts w:ascii="Arial" w:hAnsi="Arial" w:cs="Arial"/>
          <w:bCs/>
          <w:szCs w:val="24"/>
        </w:rPr>
        <w:t>:</w:t>
      </w:r>
      <w:r w:rsidRPr="00A24226">
        <w:rPr>
          <w:rFonts w:ascii="Arial" w:hAnsi="Arial" w:cs="Arial"/>
          <w:szCs w:val="24"/>
        </w:rPr>
        <w:t xml:space="preserve"> Take part in team briefings and contribute suggestions to build confidence.</w:t>
      </w:r>
    </w:p>
    <w:p w14:paraId="68BF1A60" w14:textId="77777777" w:rsidR="00A24226" w:rsidRPr="00A24226" w:rsidRDefault="00A24226" w:rsidP="00487982">
      <w:pPr>
        <w:spacing w:line="360" w:lineRule="auto"/>
        <w:rPr>
          <w:rFonts w:ascii="Arial" w:hAnsi="Arial" w:cs="Arial"/>
          <w:szCs w:val="24"/>
        </w:rPr>
      </w:pPr>
      <w:r w:rsidRPr="00A24226">
        <w:rPr>
          <w:rFonts w:ascii="Arial" w:hAnsi="Arial" w:cs="Arial"/>
          <w:szCs w:val="24"/>
        </w:rPr>
        <w:t xml:space="preserve">According to </w:t>
      </w:r>
      <w:r w:rsidRPr="00A24226">
        <w:rPr>
          <w:rFonts w:ascii="Arial" w:hAnsi="Arial" w:cs="Arial"/>
          <w:bCs/>
          <w:szCs w:val="24"/>
        </w:rPr>
        <w:t xml:space="preserve">Serrano </w:t>
      </w:r>
      <w:r w:rsidRPr="00A24226">
        <w:rPr>
          <w:rFonts w:ascii="Arial" w:hAnsi="Arial" w:cs="Arial"/>
          <w:szCs w:val="24"/>
        </w:rPr>
        <w:t>(2020), early exposure to leadership in service fosters readiness for supervisory roles, and I aim to develop this through small, guided responsibilities (</w:t>
      </w:r>
      <w:r w:rsidRPr="00A24226">
        <w:rPr>
          <w:rFonts w:ascii="Arial" w:hAnsi="Arial" w:cs="Arial"/>
          <w:bCs/>
          <w:szCs w:val="24"/>
        </w:rPr>
        <w:t xml:space="preserve">3086). </w:t>
      </w:r>
    </w:p>
    <w:p w14:paraId="0663B6A9" w14:textId="77777777" w:rsidR="00A24226" w:rsidRPr="00487982" w:rsidRDefault="00A24226" w:rsidP="00487982">
      <w:pPr>
        <w:pStyle w:val="Heading1"/>
        <w:spacing w:line="360" w:lineRule="auto"/>
        <w:rPr>
          <w:rFonts w:ascii="Arial" w:hAnsi="Arial" w:cs="Arial"/>
          <w:color w:val="auto"/>
        </w:rPr>
      </w:pPr>
      <w:r w:rsidRPr="00487982">
        <w:rPr>
          <w:rFonts w:ascii="Arial" w:hAnsi="Arial" w:cs="Arial"/>
          <w:color w:val="auto"/>
        </w:rPr>
        <w:t>Section 2: Development Journey</w:t>
      </w:r>
    </w:p>
    <w:p w14:paraId="3A632672" w14:textId="77777777" w:rsidR="00A24226" w:rsidRPr="00487982" w:rsidRDefault="00A24226" w:rsidP="00487982">
      <w:pPr>
        <w:pStyle w:val="Heading2"/>
        <w:spacing w:line="360" w:lineRule="auto"/>
        <w:rPr>
          <w:rFonts w:ascii="Arial" w:hAnsi="Arial" w:cs="Arial"/>
          <w:color w:val="auto"/>
        </w:rPr>
      </w:pPr>
      <w:r w:rsidRPr="00487982">
        <w:rPr>
          <w:rFonts w:ascii="Arial" w:hAnsi="Arial" w:cs="Arial"/>
          <w:color w:val="auto"/>
        </w:rPr>
        <w:t>Comparing Level 6 and Level 4 F&amp;B Placements</w:t>
      </w:r>
    </w:p>
    <w:p w14:paraId="08C6ADF9" w14:textId="77777777" w:rsidR="00A24226" w:rsidRPr="00A24226" w:rsidRDefault="00A24226" w:rsidP="00487982">
      <w:pPr>
        <w:spacing w:line="360" w:lineRule="auto"/>
        <w:rPr>
          <w:rFonts w:ascii="Arial" w:hAnsi="Arial" w:cs="Arial"/>
          <w:szCs w:val="24"/>
        </w:rPr>
      </w:pPr>
      <w:r w:rsidRPr="00A24226">
        <w:rPr>
          <w:rFonts w:ascii="Arial" w:hAnsi="Arial" w:cs="Arial"/>
          <w:szCs w:val="24"/>
        </w:rPr>
        <w:t>Both my Level 4 and Level 6 placements were completed at Hilton Puckrup Hall, Tewkesbury, which provided a unique opportunity to measure my professional growth within the same environment directly. While the hotel remained the same, my responsibilities and expectations underwent significant evolution. At Level 4, I was essentially an observer and assistant. My focus was on learning the fundamentals of restaurant operations, including setting up tables, serving plates, and accurately taking orders. I required supervision and regular guidance, and my confidence in speaking with guests or solving issues independently was low. In contrast, my Level 6 placement saw me take on more responsibility, including:</w:t>
      </w:r>
    </w:p>
    <w:p w14:paraId="490CD2AB" w14:textId="77777777" w:rsidR="00A24226" w:rsidRPr="00A24226" w:rsidRDefault="00A24226" w:rsidP="00487982">
      <w:pPr>
        <w:pStyle w:val="ListParagraph"/>
        <w:numPr>
          <w:ilvl w:val="0"/>
          <w:numId w:val="18"/>
        </w:numPr>
        <w:spacing w:line="360" w:lineRule="auto"/>
        <w:rPr>
          <w:rFonts w:ascii="Arial" w:hAnsi="Arial" w:cs="Arial"/>
          <w:szCs w:val="24"/>
        </w:rPr>
      </w:pPr>
      <w:r w:rsidRPr="00A24226">
        <w:rPr>
          <w:rFonts w:ascii="Arial" w:hAnsi="Arial" w:cs="Arial"/>
          <w:szCs w:val="24"/>
        </w:rPr>
        <w:t>Anticipating guest needs without being asked</w:t>
      </w:r>
    </w:p>
    <w:p w14:paraId="0BFAC038" w14:textId="77777777" w:rsidR="00A24226" w:rsidRPr="00A24226" w:rsidRDefault="00A24226" w:rsidP="00487982">
      <w:pPr>
        <w:pStyle w:val="ListParagraph"/>
        <w:numPr>
          <w:ilvl w:val="0"/>
          <w:numId w:val="18"/>
        </w:numPr>
        <w:spacing w:line="360" w:lineRule="auto"/>
        <w:rPr>
          <w:rFonts w:ascii="Arial" w:hAnsi="Arial" w:cs="Arial"/>
          <w:szCs w:val="24"/>
        </w:rPr>
      </w:pPr>
      <w:r w:rsidRPr="00A24226">
        <w:rPr>
          <w:rFonts w:ascii="Arial" w:hAnsi="Arial" w:cs="Arial"/>
          <w:szCs w:val="24"/>
        </w:rPr>
        <w:t>Solving service issues in real time</w:t>
      </w:r>
    </w:p>
    <w:p w14:paraId="2DACCC82" w14:textId="77777777" w:rsidR="00A24226" w:rsidRPr="00A24226" w:rsidRDefault="00A24226" w:rsidP="00487982">
      <w:pPr>
        <w:pStyle w:val="ListParagraph"/>
        <w:numPr>
          <w:ilvl w:val="0"/>
          <w:numId w:val="18"/>
        </w:numPr>
        <w:spacing w:line="360" w:lineRule="auto"/>
        <w:rPr>
          <w:rFonts w:ascii="Arial" w:hAnsi="Arial" w:cs="Arial"/>
          <w:szCs w:val="24"/>
        </w:rPr>
      </w:pPr>
      <w:r w:rsidRPr="00A24226">
        <w:rPr>
          <w:rFonts w:ascii="Arial" w:hAnsi="Arial" w:cs="Arial"/>
          <w:szCs w:val="24"/>
        </w:rPr>
        <w:t>Supporting new team members with onboarding tasks</w:t>
      </w:r>
    </w:p>
    <w:p w14:paraId="592E587D" w14:textId="77777777" w:rsidR="00A24226" w:rsidRPr="00487982" w:rsidRDefault="00A24226" w:rsidP="00A24226">
      <w:pPr>
        <w:pStyle w:val="Heading1"/>
        <w:rPr>
          <w:rFonts w:ascii="Arial" w:hAnsi="Arial" w:cs="Arial"/>
          <w:color w:val="auto"/>
        </w:rPr>
      </w:pPr>
      <w:r w:rsidRPr="00487982">
        <w:rPr>
          <w:rFonts w:ascii="Arial" w:hAnsi="Arial" w:cs="Arial"/>
          <w:color w:val="auto"/>
        </w:rPr>
        <w:t>Learning from Modules</w:t>
      </w:r>
    </w:p>
    <w:p w14:paraId="62059544" w14:textId="77777777" w:rsidR="00A24226" w:rsidRPr="00A24226" w:rsidRDefault="00A24226" w:rsidP="00487982">
      <w:pPr>
        <w:spacing w:line="360" w:lineRule="auto"/>
        <w:ind w:firstLine="0"/>
        <w:rPr>
          <w:rFonts w:ascii="Arial" w:hAnsi="Arial" w:cs="Arial"/>
          <w:szCs w:val="24"/>
        </w:rPr>
      </w:pPr>
      <w:r w:rsidRPr="00A24226">
        <w:rPr>
          <w:rFonts w:ascii="Arial" w:hAnsi="Arial" w:cs="Arial"/>
          <w:b/>
          <w:szCs w:val="24"/>
        </w:rPr>
        <w:tab/>
        <w:t>The Level 4</w:t>
      </w:r>
      <w:r w:rsidRPr="00A24226">
        <w:rPr>
          <w:rFonts w:ascii="Arial" w:hAnsi="Arial" w:cs="Arial"/>
          <w:szCs w:val="24"/>
        </w:rPr>
        <w:t xml:space="preserve"> – Food &amp; Beverage Operations module gave me a solid foundation in terminology, table service methods, and kitchen coordination. These were essential in understanding my duties and helped reduce errors during service.</w:t>
      </w:r>
    </w:p>
    <w:p w14:paraId="0B3C3416" w14:textId="77777777" w:rsidR="00A24226" w:rsidRPr="00A24226" w:rsidRDefault="00A24226" w:rsidP="00487982">
      <w:pPr>
        <w:spacing w:line="360" w:lineRule="auto"/>
        <w:ind w:firstLine="0"/>
        <w:rPr>
          <w:rFonts w:ascii="Arial" w:hAnsi="Arial" w:cs="Arial"/>
          <w:szCs w:val="24"/>
        </w:rPr>
      </w:pPr>
      <w:r w:rsidRPr="00A24226">
        <w:rPr>
          <w:rFonts w:ascii="Arial" w:hAnsi="Arial" w:cs="Arial"/>
          <w:b/>
          <w:szCs w:val="24"/>
        </w:rPr>
        <w:lastRenderedPageBreak/>
        <w:tab/>
        <w:t>In Level 5</w:t>
      </w:r>
      <w:r w:rsidRPr="00A24226">
        <w:rPr>
          <w:rFonts w:ascii="Arial" w:hAnsi="Arial" w:cs="Arial"/>
          <w:szCs w:val="24"/>
        </w:rPr>
        <w:t xml:space="preserve"> – Sustainable Hospitality &amp; Tourism Management, I learned about resource optimisation, waste reduction, and the broader impact of operational decisions. I applied this by actively reducing plate waste at the breakfast buffet and encouraging the reuse of partially used condiments during event setups.</w:t>
      </w:r>
    </w:p>
    <w:p w14:paraId="1FA6F66D" w14:textId="77777777" w:rsidR="00A24226" w:rsidRPr="00487982" w:rsidRDefault="00A24226" w:rsidP="00487982">
      <w:pPr>
        <w:pStyle w:val="Heading1"/>
        <w:spacing w:line="360" w:lineRule="auto"/>
        <w:rPr>
          <w:rFonts w:ascii="Arial" w:hAnsi="Arial" w:cs="Arial"/>
          <w:color w:val="auto"/>
        </w:rPr>
      </w:pPr>
      <w:r w:rsidRPr="00487982">
        <w:rPr>
          <w:rFonts w:ascii="Arial" w:hAnsi="Arial" w:cs="Arial"/>
          <w:color w:val="auto"/>
        </w:rPr>
        <w:t>Section 3: Service Improvement Proposal</w:t>
      </w:r>
    </w:p>
    <w:p w14:paraId="6348838B" w14:textId="77777777" w:rsidR="00A24226" w:rsidRPr="00487982" w:rsidRDefault="00A24226" w:rsidP="00487982">
      <w:pPr>
        <w:pStyle w:val="Heading2"/>
        <w:spacing w:line="360" w:lineRule="auto"/>
        <w:rPr>
          <w:rFonts w:ascii="Arial" w:hAnsi="Arial" w:cs="Arial"/>
          <w:color w:val="auto"/>
        </w:rPr>
      </w:pPr>
      <w:r w:rsidRPr="00487982">
        <w:rPr>
          <w:rFonts w:ascii="Arial" w:hAnsi="Arial" w:cs="Arial"/>
          <w:color w:val="auto"/>
        </w:rPr>
        <w:t>Identified Issues: Staff Shortages and Breakfast Service Hours</w:t>
      </w:r>
    </w:p>
    <w:p w14:paraId="6FEB646E" w14:textId="77777777" w:rsidR="00A24226" w:rsidRPr="00A24226" w:rsidRDefault="00A24226" w:rsidP="00487982">
      <w:pPr>
        <w:spacing w:line="360" w:lineRule="auto"/>
        <w:rPr>
          <w:rFonts w:ascii="Arial" w:hAnsi="Arial" w:cs="Arial"/>
          <w:szCs w:val="24"/>
        </w:rPr>
      </w:pPr>
      <w:r w:rsidRPr="00A24226">
        <w:rPr>
          <w:rFonts w:ascii="Arial" w:hAnsi="Arial" w:cs="Arial"/>
          <w:szCs w:val="24"/>
        </w:rPr>
        <w:t xml:space="preserve">During my Level 6 placement, one of the most pressing challenges I observed was the shortage of staff in the Food and Beverage department, particularly during peak breakfast periods. This often resulted in slower service, lower staff morale, and at times, visible guest frustration. Staff were frequently reassigned between departments, which stretched resources and diminished the quality of interaction with guests (Spence et al., 2022, p. </w:t>
      </w:r>
      <w:r w:rsidRPr="00A24226">
        <w:rPr>
          <w:rFonts w:ascii="Arial" w:hAnsi="Arial" w:cs="Arial"/>
          <w:bCs/>
          <w:szCs w:val="24"/>
        </w:rPr>
        <w:t>2626).</w:t>
      </w:r>
    </w:p>
    <w:p w14:paraId="3478B03F" w14:textId="77777777" w:rsidR="00A24226" w:rsidRPr="00A24226" w:rsidRDefault="00A24226" w:rsidP="00487982">
      <w:pPr>
        <w:spacing w:line="360" w:lineRule="auto"/>
        <w:rPr>
          <w:rFonts w:ascii="Arial" w:hAnsi="Arial" w:cs="Arial"/>
          <w:szCs w:val="24"/>
        </w:rPr>
      </w:pPr>
      <w:r w:rsidRPr="00A24226">
        <w:rPr>
          <w:rFonts w:ascii="Arial" w:hAnsi="Arial" w:cs="Arial"/>
          <w:szCs w:val="24"/>
        </w:rPr>
        <w:t>Another issue was the recent reduction in breakfast hours, from the former 6:30 AM–10:30 AM or 11:00 AM range to a stricter 6:30 AM–9:30 AM schedule. While operationally justifiable (e.g., due to staffing or cost control), the change seemed to catch many guests off guard (</w:t>
      </w:r>
      <w:r w:rsidRPr="00A24226">
        <w:rPr>
          <w:rFonts w:ascii="Arial" w:hAnsi="Arial" w:cs="Arial"/>
          <w:bCs/>
          <w:szCs w:val="24"/>
        </w:rPr>
        <w:t>Maia et al.,2021, p. 12).</w:t>
      </w:r>
      <w:r w:rsidRPr="00A24226">
        <w:rPr>
          <w:rFonts w:ascii="Arial" w:hAnsi="Arial" w:cs="Arial"/>
          <w:szCs w:val="24"/>
        </w:rPr>
        <w:t xml:space="preserve"> For example, a guest arrived five minutes before breakfast closure. Although she was politely informed that service would end shortly and was invited to help herself and dine comfortably, she later complained to the General Manager, accusing the staff of having a poor attitude, despite having been informed of the breakfast times at check-in.</w:t>
      </w:r>
    </w:p>
    <w:p w14:paraId="150E241A" w14:textId="77777777" w:rsidR="00A24226" w:rsidRPr="00487982" w:rsidRDefault="00A24226" w:rsidP="00A24226">
      <w:pPr>
        <w:pStyle w:val="Heading1"/>
        <w:rPr>
          <w:rFonts w:ascii="Arial" w:hAnsi="Arial" w:cs="Arial"/>
          <w:color w:val="auto"/>
        </w:rPr>
      </w:pPr>
      <w:r w:rsidRPr="00487982">
        <w:rPr>
          <w:rFonts w:ascii="Arial" w:hAnsi="Arial" w:cs="Arial"/>
          <w:color w:val="auto"/>
        </w:rPr>
        <w:t>Reflection-on-Action</w:t>
      </w:r>
    </w:p>
    <w:p w14:paraId="5A8BAA4C" w14:textId="77777777" w:rsidR="00A24226" w:rsidRPr="00A24226" w:rsidRDefault="00A24226" w:rsidP="00487982">
      <w:pPr>
        <w:spacing w:line="360" w:lineRule="auto"/>
        <w:rPr>
          <w:rFonts w:ascii="Arial" w:hAnsi="Arial" w:cs="Arial"/>
          <w:szCs w:val="24"/>
        </w:rPr>
      </w:pPr>
      <w:r w:rsidRPr="00A24226">
        <w:rPr>
          <w:rFonts w:ascii="Arial" w:hAnsi="Arial" w:cs="Arial"/>
          <w:szCs w:val="24"/>
        </w:rPr>
        <w:t xml:space="preserve">Reflecting on this incident, I realized that perception shapes the guest experience more than facts. The guest was technically in the wrong, but emotionally felt excluded. Staff remained polite, yet the interaction still led to dissatisfaction. Shaw (2020) would frame this as a learning moment, prompting reflection on action </w:t>
      </w:r>
      <w:r w:rsidRPr="00A24226">
        <w:rPr>
          <w:rFonts w:ascii="Arial" w:hAnsi="Arial" w:cs="Arial"/>
          <w:szCs w:val="24"/>
        </w:rPr>
        <w:lastRenderedPageBreak/>
        <w:t>(p. 1030). What could have been done differently to manage expectations more effectively, or to de-escalate the situation even further?</w:t>
      </w:r>
    </w:p>
    <w:p w14:paraId="3B110FEF" w14:textId="77777777" w:rsidR="00A24226" w:rsidRPr="00487982" w:rsidRDefault="00A24226" w:rsidP="00A24226">
      <w:pPr>
        <w:pStyle w:val="Heading1"/>
        <w:rPr>
          <w:rFonts w:ascii="Arial" w:hAnsi="Arial" w:cs="Arial"/>
          <w:color w:val="auto"/>
        </w:rPr>
      </w:pPr>
      <w:r w:rsidRPr="00487982">
        <w:rPr>
          <w:rFonts w:ascii="Arial" w:hAnsi="Arial" w:cs="Arial"/>
          <w:color w:val="auto"/>
        </w:rPr>
        <w:t>Justification for Improvement</w:t>
      </w:r>
    </w:p>
    <w:p w14:paraId="189D1400" w14:textId="77777777" w:rsidR="00A24226" w:rsidRPr="00A24226" w:rsidRDefault="00A24226" w:rsidP="00487982">
      <w:pPr>
        <w:spacing w:line="360" w:lineRule="auto"/>
        <w:rPr>
          <w:rFonts w:ascii="Arial" w:hAnsi="Arial" w:cs="Arial"/>
          <w:szCs w:val="24"/>
        </w:rPr>
      </w:pPr>
      <w:r w:rsidRPr="00A24226">
        <w:rPr>
          <w:rFonts w:ascii="Arial" w:hAnsi="Arial" w:cs="Arial"/>
          <w:szCs w:val="24"/>
        </w:rPr>
        <w:t>Conversations with my colleagues confirmed that the lack of staff and reduced breakfast hours were contributing to higher guest complaints, lower employee motivation, and a reactive service environment. When service is rushed due to a staff shortage and tighter timeframes, even well-intentioned interactions can feel abrupt or impersonal to guests.</w:t>
      </w:r>
    </w:p>
    <w:p w14:paraId="5D15051C" w14:textId="77777777" w:rsidR="00A24226" w:rsidRPr="00487982" w:rsidRDefault="00A24226" w:rsidP="00A24226">
      <w:pPr>
        <w:pStyle w:val="Heading1"/>
        <w:rPr>
          <w:rFonts w:ascii="Arial" w:hAnsi="Arial" w:cs="Arial"/>
          <w:color w:val="auto"/>
        </w:rPr>
      </w:pPr>
      <w:r w:rsidRPr="00487982">
        <w:rPr>
          <w:rFonts w:ascii="Arial" w:hAnsi="Arial" w:cs="Arial"/>
          <w:color w:val="auto"/>
        </w:rPr>
        <w:t>Improvement Plan</w:t>
      </w:r>
    </w:p>
    <w:p w14:paraId="0A71FD75" w14:textId="77777777" w:rsidR="00A24226" w:rsidRPr="00A24226" w:rsidRDefault="00A24226" w:rsidP="00487982">
      <w:pPr>
        <w:spacing w:line="360" w:lineRule="auto"/>
        <w:rPr>
          <w:rFonts w:ascii="Arial" w:hAnsi="Arial" w:cs="Arial"/>
          <w:szCs w:val="24"/>
        </w:rPr>
      </w:pPr>
      <w:r w:rsidRPr="00A24226">
        <w:rPr>
          <w:rFonts w:ascii="Arial" w:hAnsi="Arial" w:cs="Arial"/>
        </w:rPr>
        <w:t>Introduce Flexible Breakfast Slots or Grab-and-Go Options</w:t>
      </w:r>
      <w:r w:rsidRPr="00A24226">
        <w:rPr>
          <w:rFonts w:ascii="Arial" w:hAnsi="Arial" w:cs="Arial"/>
          <w:szCs w:val="24"/>
        </w:rPr>
        <w:br/>
        <w:t>Provide guests arriving after 9:30 AM with a pre-prepared "late breakfast" pack or access to a mini station in the bar area with light options. This softens the transition and offers a positive gesture, improving satisfaction while respecting staff capacity.</w:t>
      </w:r>
    </w:p>
    <w:p w14:paraId="521535C3" w14:textId="77777777" w:rsidR="00A24226" w:rsidRPr="00487982" w:rsidRDefault="00A24226" w:rsidP="00487982">
      <w:pPr>
        <w:pStyle w:val="Heading2"/>
        <w:spacing w:line="360" w:lineRule="auto"/>
        <w:rPr>
          <w:rFonts w:ascii="Arial" w:hAnsi="Arial" w:cs="Arial"/>
          <w:b/>
          <w:sz w:val="24"/>
          <w:szCs w:val="24"/>
        </w:rPr>
      </w:pPr>
      <w:r w:rsidRPr="00487982">
        <w:rPr>
          <w:rFonts w:ascii="Arial" w:hAnsi="Arial" w:cs="Arial"/>
          <w:color w:val="auto"/>
          <w:sz w:val="24"/>
          <w:szCs w:val="24"/>
        </w:rPr>
        <w:t>Reinforce Communication at Multiple Touchpoints</w:t>
      </w:r>
      <w:r w:rsidRPr="00487982">
        <w:rPr>
          <w:rFonts w:ascii="Arial" w:hAnsi="Arial" w:cs="Arial"/>
          <w:color w:val="auto"/>
          <w:sz w:val="24"/>
          <w:szCs w:val="24"/>
        </w:rPr>
        <w:br/>
        <w:t>Breakfast hours should be clearly stated during check-in, displayed visibly in rooms, elevators, and on the Hilton Honors app. Verbal information alone is often forgotten or misinterpreted.</w:t>
      </w:r>
    </w:p>
    <w:p w14:paraId="12BC65E4" w14:textId="77777777" w:rsidR="00A24226" w:rsidRPr="00A24226" w:rsidRDefault="00A24226" w:rsidP="00487982">
      <w:pPr>
        <w:spacing w:line="360" w:lineRule="auto"/>
        <w:rPr>
          <w:rFonts w:ascii="Arial" w:hAnsi="Arial" w:cs="Arial"/>
          <w:szCs w:val="24"/>
        </w:rPr>
      </w:pPr>
      <w:r w:rsidRPr="00487982">
        <w:rPr>
          <w:rStyle w:val="Heading2Char"/>
          <w:rFonts w:ascii="Arial" w:hAnsi="Arial" w:cs="Arial"/>
          <w:color w:val="auto"/>
        </w:rPr>
        <w:t>Short-Term Relief Staffing or Multi-Skilling Strategy</w:t>
      </w:r>
      <w:r w:rsidRPr="00A24226">
        <w:rPr>
          <w:rStyle w:val="Heading2Char"/>
          <w:rFonts w:ascii="Arial" w:hAnsi="Arial" w:cs="Arial"/>
        </w:rPr>
        <w:br/>
      </w:r>
      <w:r w:rsidRPr="00A24226">
        <w:rPr>
          <w:rFonts w:ascii="Arial" w:hAnsi="Arial" w:cs="Arial"/>
        </w:rPr>
        <w:tab/>
        <w:t>Use cross-departmental trained staff (e.g., from events or housekeeping) for a 2-hour "power shift" during peak breakfast periods. This alleviates pressure and ensures better coverage without long-term hiring costs.</w:t>
      </w:r>
      <w:r w:rsidRPr="00A24226">
        <w:rPr>
          <w:rFonts w:ascii="Arial" w:hAnsi="Arial" w:cs="Arial"/>
        </w:rPr>
        <w:br/>
        <w:t xml:space="preserve"> Enhancing Performance Standards</w:t>
      </w:r>
    </w:p>
    <w:p w14:paraId="609D8C74" w14:textId="77777777" w:rsidR="00A24226" w:rsidRPr="00A24226" w:rsidRDefault="00A24226" w:rsidP="00487982">
      <w:pPr>
        <w:spacing w:line="360" w:lineRule="auto"/>
        <w:rPr>
          <w:rFonts w:ascii="Arial" w:hAnsi="Arial" w:cs="Arial"/>
          <w:szCs w:val="24"/>
        </w:rPr>
      </w:pPr>
      <w:r w:rsidRPr="00A24226">
        <w:rPr>
          <w:rFonts w:ascii="Arial" w:hAnsi="Arial" w:cs="Arial"/>
          <w:szCs w:val="24"/>
        </w:rPr>
        <w:t>To meet Hilton's high standards of guest service, the following should be implemented:</w:t>
      </w:r>
    </w:p>
    <w:p w14:paraId="172239ED" w14:textId="77777777" w:rsidR="00A24226" w:rsidRPr="00A24226" w:rsidRDefault="00A24226" w:rsidP="00487982">
      <w:pPr>
        <w:pStyle w:val="ListParagraph"/>
        <w:numPr>
          <w:ilvl w:val="0"/>
          <w:numId w:val="19"/>
        </w:numPr>
        <w:spacing w:line="360" w:lineRule="auto"/>
        <w:rPr>
          <w:rFonts w:ascii="Arial" w:hAnsi="Arial" w:cs="Arial"/>
          <w:szCs w:val="24"/>
        </w:rPr>
      </w:pPr>
      <w:r w:rsidRPr="00A24226">
        <w:rPr>
          <w:rFonts w:ascii="Arial" w:hAnsi="Arial" w:cs="Arial"/>
          <w:szCs w:val="24"/>
        </w:rPr>
        <w:t>Service recovery training for staff to handle guest disappointment diplomatically, even when the hotel policy is being upheld.</w:t>
      </w:r>
    </w:p>
    <w:p w14:paraId="1714EF46" w14:textId="77777777" w:rsidR="00A24226" w:rsidRPr="00A24226" w:rsidRDefault="00A24226" w:rsidP="00487982">
      <w:pPr>
        <w:pStyle w:val="ListParagraph"/>
        <w:numPr>
          <w:ilvl w:val="0"/>
          <w:numId w:val="19"/>
        </w:numPr>
        <w:spacing w:line="360" w:lineRule="auto"/>
        <w:rPr>
          <w:rFonts w:ascii="Arial" w:hAnsi="Arial" w:cs="Arial"/>
          <w:szCs w:val="24"/>
        </w:rPr>
      </w:pPr>
      <w:r w:rsidRPr="00A24226">
        <w:rPr>
          <w:rFonts w:ascii="Arial" w:hAnsi="Arial" w:cs="Arial"/>
          <w:szCs w:val="24"/>
        </w:rPr>
        <w:lastRenderedPageBreak/>
        <w:t>Real-time feedback loop where supervisors check in with breakfast guests nearing closing time to ensure they feel welcome, even if time is short.</w:t>
      </w:r>
    </w:p>
    <w:p w14:paraId="192C106C" w14:textId="77777777" w:rsidR="00A24226" w:rsidRPr="00A24226" w:rsidRDefault="00A24226" w:rsidP="00487982">
      <w:pPr>
        <w:pStyle w:val="ListParagraph"/>
        <w:numPr>
          <w:ilvl w:val="0"/>
          <w:numId w:val="19"/>
        </w:numPr>
        <w:spacing w:line="360" w:lineRule="auto"/>
        <w:rPr>
          <w:rFonts w:ascii="Arial" w:hAnsi="Arial" w:cs="Arial"/>
          <w:szCs w:val="24"/>
        </w:rPr>
      </w:pPr>
      <w:r w:rsidRPr="00A24226">
        <w:rPr>
          <w:rFonts w:ascii="Arial" w:hAnsi="Arial" w:cs="Arial"/>
          <w:szCs w:val="24"/>
        </w:rPr>
        <w:t>Monitor guest satisfaction by collecting data on complaints linked to service hours and staff responsiveness, and reviewing it weekly.</w:t>
      </w:r>
    </w:p>
    <w:p w14:paraId="4A7EB75B" w14:textId="77777777" w:rsidR="00A24226" w:rsidRPr="00487982" w:rsidRDefault="00A24226" w:rsidP="00A24226">
      <w:pPr>
        <w:pStyle w:val="Heading1"/>
        <w:rPr>
          <w:rFonts w:ascii="Arial" w:hAnsi="Arial" w:cs="Arial"/>
          <w:color w:val="auto"/>
        </w:rPr>
      </w:pPr>
      <w:r w:rsidRPr="00487982">
        <w:rPr>
          <w:rFonts w:ascii="Arial" w:hAnsi="Arial" w:cs="Arial"/>
          <w:color w:val="auto"/>
        </w:rPr>
        <w:t>Conclusion</w:t>
      </w:r>
    </w:p>
    <w:p w14:paraId="7A4CF9C5" w14:textId="77777777" w:rsidR="00A24226" w:rsidRPr="00A24226" w:rsidRDefault="00A24226" w:rsidP="00487982">
      <w:pPr>
        <w:spacing w:line="360" w:lineRule="auto"/>
        <w:rPr>
          <w:rFonts w:ascii="Arial" w:hAnsi="Arial" w:cs="Arial"/>
          <w:szCs w:val="24"/>
        </w:rPr>
      </w:pPr>
      <w:r w:rsidRPr="00A24226">
        <w:rPr>
          <w:rFonts w:ascii="Arial" w:hAnsi="Arial" w:cs="Arial"/>
          <w:szCs w:val="24"/>
        </w:rPr>
        <w:t>Using Schön's reflective model helped me understand how reflection during and after action enabled my personal and professional growth. My ability to think critically during service, learn from observed leadership styles, and identify areas for improvement marks a shift from following to leading. I achieved two of my three learning objectives: I became more confident in handling service tasks and gained a better understanding of performance evaluation tools.</w:t>
      </w:r>
    </w:p>
    <w:p w14:paraId="7616E0FE" w14:textId="77777777" w:rsidR="00A24226" w:rsidRPr="00A24226" w:rsidRDefault="00A24226" w:rsidP="00A24226">
      <w:pPr>
        <w:spacing w:line="259" w:lineRule="auto"/>
        <w:ind w:firstLine="0"/>
        <w:rPr>
          <w:rFonts w:ascii="Arial" w:hAnsi="Arial" w:cs="Arial"/>
        </w:rPr>
      </w:pPr>
      <w:r w:rsidRPr="00A24226">
        <w:rPr>
          <w:rFonts w:ascii="Arial" w:hAnsi="Arial" w:cs="Arial"/>
        </w:rPr>
        <w:br w:type="page"/>
      </w:r>
    </w:p>
    <w:p w14:paraId="66C255CD" w14:textId="77777777" w:rsidR="00A24226" w:rsidRPr="007D5E07" w:rsidRDefault="00A24226" w:rsidP="007D5E07">
      <w:pPr>
        <w:rPr>
          <w:rFonts w:ascii="Arial" w:hAnsi="Arial" w:cs="Arial"/>
          <w:b/>
          <w:sz w:val="40"/>
          <w:szCs w:val="40"/>
        </w:rPr>
      </w:pPr>
      <w:r w:rsidRPr="007D5E07">
        <w:rPr>
          <w:rFonts w:ascii="Arial" w:hAnsi="Arial" w:cs="Arial"/>
          <w:sz w:val="40"/>
          <w:szCs w:val="40"/>
        </w:rPr>
        <w:lastRenderedPageBreak/>
        <w:t>References</w:t>
      </w:r>
    </w:p>
    <w:p w14:paraId="4862781B" w14:textId="64A307D2" w:rsidR="00A24226" w:rsidRPr="00A24226" w:rsidRDefault="00A24226" w:rsidP="007D5E07">
      <w:pPr>
        <w:ind w:firstLine="0"/>
        <w:jc w:val="both"/>
        <w:rPr>
          <w:rFonts w:ascii="Arial" w:hAnsi="Arial" w:cs="Arial"/>
        </w:rPr>
      </w:pPr>
      <w:r w:rsidRPr="00A24226">
        <w:rPr>
          <w:rFonts w:ascii="Arial" w:hAnsi="Arial" w:cs="Arial"/>
        </w:rPr>
        <w:t xml:space="preserve">Bennett, R., Zorbas, C., Huse, O., Peeters, A., Cameron, A.J., Sacks, G. and </w:t>
      </w:r>
      <w:r w:rsidR="007D5E07">
        <w:rPr>
          <w:rFonts w:ascii="Arial" w:hAnsi="Arial" w:cs="Arial"/>
        </w:rPr>
        <w:t xml:space="preserve">    </w:t>
      </w:r>
      <w:r w:rsidRPr="00A24226">
        <w:rPr>
          <w:rFonts w:ascii="Arial" w:hAnsi="Arial" w:cs="Arial"/>
        </w:rPr>
        <w:t xml:space="preserve">Backholer, K., 2020. Prevalence of healthy and unhealthy food and beverage price promotions and their potential influence on shopper purchasing behaviour: a systematic review of the literature. Obesity reviews, 21(1), p.e12948. </w:t>
      </w:r>
      <w:hyperlink r:id="rId6" w:history="1">
        <w:r w:rsidRPr="00A24226">
          <w:rPr>
            <w:rStyle w:val="Hyperlink"/>
            <w:rFonts w:ascii="Arial" w:hAnsi="Arial" w:cs="Arial"/>
          </w:rPr>
          <w:t>https://doi.org/10.1111/obr.12948</w:t>
        </w:r>
      </w:hyperlink>
      <w:r w:rsidRPr="00A24226">
        <w:rPr>
          <w:rFonts w:ascii="Arial" w:hAnsi="Arial" w:cs="Arial"/>
        </w:rPr>
        <w:t xml:space="preserve"> </w:t>
      </w:r>
    </w:p>
    <w:p w14:paraId="04A68D76" w14:textId="29579795" w:rsidR="00A24226" w:rsidRPr="00A24226" w:rsidRDefault="00A24226" w:rsidP="007D5E07">
      <w:pPr>
        <w:ind w:left="720" w:hanging="720"/>
        <w:rPr>
          <w:rFonts w:ascii="Arial" w:hAnsi="Arial" w:cs="Arial"/>
          <w:bCs/>
          <w:szCs w:val="24"/>
        </w:rPr>
      </w:pPr>
      <w:bookmarkStart w:id="0" w:name="_Hlk200837575"/>
      <w:r w:rsidRPr="00A24226">
        <w:rPr>
          <w:rFonts w:ascii="Arial" w:hAnsi="Arial" w:cs="Arial"/>
          <w:bCs/>
          <w:szCs w:val="24"/>
        </w:rPr>
        <w:t>Fleming</w:t>
      </w:r>
      <w:r w:rsidRPr="00A24226">
        <w:rPr>
          <w:rFonts w:ascii="Cambria Math" w:hAnsi="Cambria Math" w:cs="Cambria Math"/>
          <w:bCs/>
          <w:szCs w:val="24"/>
        </w:rPr>
        <w:t>‐</w:t>
      </w:r>
      <w:r w:rsidRPr="00A24226">
        <w:rPr>
          <w:rFonts w:ascii="Arial" w:hAnsi="Arial" w:cs="Arial"/>
          <w:bCs/>
          <w:szCs w:val="24"/>
        </w:rPr>
        <w:t>Milici, F., Phaneuf, L. and Harris, J., 2023. Prevalence of food and beverage</w:t>
      </w:r>
      <w:r w:rsidR="007D5E07">
        <w:rPr>
          <w:rFonts w:ascii="Arial" w:hAnsi="Arial" w:cs="Arial"/>
          <w:bCs/>
          <w:szCs w:val="24"/>
        </w:rPr>
        <w:t xml:space="preserve"> </w:t>
      </w:r>
      <w:r w:rsidRPr="00A24226">
        <w:rPr>
          <w:rFonts w:ascii="Arial" w:hAnsi="Arial" w:cs="Arial"/>
          <w:bCs/>
          <w:szCs w:val="24"/>
        </w:rPr>
        <w:t>brands in "made</w:t>
      </w:r>
      <w:r w:rsidRPr="00A24226">
        <w:rPr>
          <w:rFonts w:ascii="Cambria Math" w:hAnsi="Cambria Math" w:cs="Cambria Math"/>
          <w:bCs/>
          <w:szCs w:val="24"/>
        </w:rPr>
        <w:t>‐</w:t>
      </w:r>
      <w:r w:rsidRPr="00A24226">
        <w:rPr>
          <w:rFonts w:ascii="Arial" w:hAnsi="Arial" w:cs="Arial"/>
          <w:bCs/>
          <w:szCs w:val="24"/>
        </w:rPr>
        <w:t>for</w:t>
      </w:r>
      <w:r w:rsidRPr="00A24226">
        <w:rPr>
          <w:rFonts w:ascii="Cambria Math" w:hAnsi="Cambria Math" w:cs="Cambria Math"/>
          <w:bCs/>
          <w:szCs w:val="24"/>
        </w:rPr>
        <w:t>‐</w:t>
      </w:r>
      <w:r w:rsidRPr="00A24226">
        <w:rPr>
          <w:rFonts w:ascii="Arial" w:hAnsi="Arial" w:cs="Arial"/>
          <w:bCs/>
          <w:szCs w:val="24"/>
        </w:rPr>
        <w:t>kids" child</w:t>
      </w:r>
      <w:r w:rsidRPr="00A24226">
        <w:rPr>
          <w:rFonts w:ascii="Cambria Math" w:hAnsi="Cambria Math" w:cs="Cambria Math"/>
          <w:bCs/>
          <w:szCs w:val="24"/>
        </w:rPr>
        <w:t>‐</w:t>
      </w:r>
      <w:r w:rsidRPr="00A24226">
        <w:rPr>
          <w:rFonts w:ascii="Arial" w:hAnsi="Arial" w:cs="Arial"/>
          <w:bCs/>
          <w:szCs w:val="24"/>
        </w:rPr>
        <w:t xml:space="preserve">influencer YouTube videos: 2019–2020. Pediatric obesity, 18(4), p.e13008. </w:t>
      </w:r>
      <w:hyperlink r:id="rId7" w:history="1">
        <w:r w:rsidRPr="00A24226">
          <w:rPr>
            <w:rStyle w:val="Hyperlink"/>
            <w:rFonts w:ascii="Arial" w:hAnsi="Arial" w:cs="Arial"/>
            <w:bCs/>
            <w:szCs w:val="24"/>
          </w:rPr>
          <w:t>https://doi.org/10.1111/ijpo.13008</w:t>
        </w:r>
      </w:hyperlink>
      <w:r w:rsidRPr="00A24226">
        <w:rPr>
          <w:rFonts w:ascii="Arial" w:hAnsi="Arial" w:cs="Arial"/>
          <w:bCs/>
          <w:szCs w:val="24"/>
        </w:rPr>
        <w:t xml:space="preserve"> </w:t>
      </w:r>
    </w:p>
    <w:p w14:paraId="048D9FB1" w14:textId="77777777" w:rsidR="00A24226" w:rsidRPr="00A24226" w:rsidRDefault="00A24226" w:rsidP="007D5E07">
      <w:pPr>
        <w:ind w:left="720" w:hanging="720"/>
        <w:jc w:val="both"/>
        <w:rPr>
          <w:rFonts w:ascii="Arial" w:hAnsi="Arial" w:cs="Arial"/>
          <w:bCs/>
          <w:szCs w:val="24"/>
        </w:rPr>
      </w:pPr>
      <w:r w:rsidRPr="00A24226">
        <w:rPr>
          <w:rFonts w:ascii="Arial" w:hAnsi="Arial" w:cs="Arial"/>
          <w:bCs/>
          <w:szCs w:val="24"/>
        </w:rPr>
        <w:t xml:space="preserve">Hecht, A.A., Perez, C.L., Polascek, M., Thorndike, A.N., Franckle, R.L. and Moran, A.J., 2020. Influence of food and beverage companies on retailer marketing strategies and consumer behavior. International journal of environmental research and public health, 17(20), p.7381. </w:t>
      </w:r>
      <w:hyperlink r:id="rId8" w:history="1">
        <w:r w:rsidRPr="00A24226">
          <w:rPr>
            <w:rStyle w:val="Hyperlink"/>
            <w:rFonts w:ascii="Arial" w:hAnsi="Arial" w:cs="Arial"/>
            <w:bCs/>
            <w:szCs w:val="24"/>
          </w:rPr>
          <w:t>https://doi.org/10.3390/ijerph17207381</w:t>
        </w:r>
      </w:hyperlink>
      <w:r w:rsidRPr="00A24226">
        <w:rPr>
          <w:rFonts w:ascii="Arial" w:hAnsi="Arial" w:cs="Arial"/>
          <w:bCs/>
          <w:szCs w:val="24"/>
        </w:rPr>
        <w:t xml:space="preserve"> </w:t>
      </w:r>
    </w:p>
    <w:p w14:paraId="48340924" w14:textId="77777777" w:rsidR="00A24226" w:rsidRPr="00A24226" w:rsidRDefault="00A24226" w:rsidP="007D5E07">
      <w:pPr>
        <w:ind w:left="720" w:hanging="720"/>
        <w:jc w:val="both"/>
        <w:rPr>
          <w:rFonts w:ascii="Arial" w:hAnsi="Arial" w:cs="Arial"/>
          <w:bCs/>
          <w:szCs w:val="24"/>
        </w:rPr>
      </w:pPr>
      <w:r w:rsidRPr="00A24226">
        <w:rPr>
          <w:rFonts w:ascii="Arial" w:hAnsi="Arial" w:cs="Arial"/>
          <w:bCs/>
          <w:szCs w:val="24"/>
        </w:rPr>
        <w:t xml:space="preserve">Maia, R.G.T. and Junior, A.O.P., 2021. Eco-Efficiency of the food and beverage industry from the perspective of sensitive indicators of the water-energy-food nexus. Journal of Cleaner Production, 324, p.129283. </w:t>
      </w:r>
      <w:hyperlink r:id="rId9" w:history="1">
        <w:r w:rsidRPr="00A24226">
          <w:rPr>
            <w:rStyle w:val="Hyperlink"/>
            <w:rFonts w:ascii="Arial" w:hAnsi="Arial" w:cs="Arial"/>
            <w:bCs/>
            <w:szCs w:val="24"/>
          </w:rPr>
          <w:t>https://doi.org/10.1016/j.jclepro.2021.129283</w:t>
        </w:r>
      </w:hyperlink>
      <w:r w:rsidRPr="00A24226">
        <w:rPr>
          <w:rFonts w:ascii="Arial" w:hAnsi="Arial" w:cs="Arial"/>
          <w:bCs/>
          <w:szCs w:val="24"/>
        </w:rPr>
        <w:t xml:space="preserve"> </w:t>
      </w:r>
    </w:p>
    <w:p w14:paraId="0F4F7AA1" w14:textId="77777777" w:rsidR="00A24226" w:rsidRPr="00A24226" w:rsidRDefault="00A24226" w:rsidP="007D5E07">
      <w:pPr>
        <w:ind w:left="720" w:hanging="720"/>
        <w:jc w:val="both"/>
        <w:rPr>
          <w:rFonts w:ascii="Arial" w:hAnsi="Arial" w:cs="Arial"/>
          <w:bCs/>
          <w:szCs w:val="24"/>
        </w:rPr>
      </w:pPr>
      <w:r w:rsidRPr="00A24226">
        <w:rPr>
          <w:rFonts w:ascii="Arial" w:hAnsi="Arial" w:cs="Arial"/>
          <w:bCs/>
          <w:szCs w:val="24"/>
        </w:rPr>
        <w:t xml:space="preserve">Munguía-Serrano, A., Tolentino-Mayo, L., Théodore, F.L. and Vandevijvere, S., 2020. Nutritional quality of hidden food and beverage advertising directed to children: Extent and nature of product placement in Mexican television programs. International Journal of Environmental Research and Public Health, 17(9), p.3086. </w:t>
      </w:r>
      <w:hyperlink r:id="rId10" w:history="1">
        <w:r w:rsidRPr="00A24226">
          <w:rPr>
            <w:rStyle w:val="Hyperlink"/>
            <w:rFonts w:ascii="Arial" w:hAnsi="Arial" w:cs="Arial"/>
            <w:bCs/>
            <w:szCs w:val="24"/>
          </w:rPr>
          <w:t>https://doi.org/10.3390/ijerph17093086</w:t>
        </w:r>
      </w:hyperlink>
      <w:r w:rsidRPr="00A24226">
        <w:rPr>
          <w:rFonts w:ascii="Arial" w:hAnsi="Arial" w:cs="Arial"/>
          <w:bCs/>
          <w:szCs w:val="24"/>
        </w:rPr>
        <w:t xml:space="preserve"> </w:t>
      </w:r>
    </w:p>
    <w:p w14:paraId="77203014" w14:textId="77777777" w:rsidR="00A24226" w:rsidRPr="00A24226" w:rsidRDefault="00A24226" w:rsidP="007D5E07">
      <w:pPr>
        <w:ind w:left="720" w:hanging="720"/>
        <w:jc w:val="both"/>
        <w:rPr>
          <w:rFonts w:ascii="Arial" w:hAnsi="Arial" w:cs="Arial"/>
          <w:bCs/>
          <w:szCs w:val="24"/>
        </w:rPr>
      </w:pPr>
      <w:r w:rsidRPr="00A24226">
        <w:rPr>
          <w:rFonts w:ascii="Arial" w:hAnsi="Arial" w:cs="Arial"/>
          <w:bCs/>
          <w:szCs w:val="24"/>
        </w:rPr>
        <w:lastRenderedPageBreak/>
        <w:t xml:space="preserve">Spence, S., Matthews, J.N., McSweeney, L., Adamson, A.J. and Bradley, J., 2022. The effect of a product placement intervention on pupils' food and drink purchases in two secondary schools: an exploratory study. Nutrients, 14(13), p.2626. </w:t>
      </w:r>
      <w:hyperlink r:id="rId11" w:history="1">
        <w:r w:rsidRPr="00A24226">
          <w:rPr>
            <w:rStyle w:val="Hyperlink"/>
            <w:rFonts w:ascii="Arial" w:hAnsi="Arial" w:cs="Arial"/>
            <w:bCs/>
            <w:szCs w:val="24"/>
          </w:rPr>
          <w:t>https://doi.org/10.3390/nu14132626</w:t>
        </w:r>
      </w:hyperlink>
      <w:r w:rsidRPr="00A24226">
        <w:rPr>
          <w:rFonts w:ascii="Arial" w:hAnsi="Arial" w:cs="Arial"/>
          <w:bCs/>
          <w:szCs w:val="24"/>
        </w:rPr>
        <w:t xml:space="preserve"> </w:t>
      </w:r>
    </w:p>
    <w:p w14:paraId="28E154F2" w14:textId="77777777" w:rsidR="00A24226" w:rsidRPr="00A24226" w:rsidRDefault="00A24226" w:rsidP="007D5E07">
      <w:pPr>
        <w:ind w:left="720" w:hanging="720"/>
        <w:jc w:val="both"/>
        <w:rPr>
          <w:rFonts w:ascii="Arial" w:hAnsi="Arial" w:cs="Arial"/>
          <w:bCs/>
          <w:szCs w:val="24"/>
        </w:rPr>
      </w:pPr>
      <w:r w:rsidRPr="00A24226">
        <w:rPr>
          <w:rFonts w:ascii="Arial" w:hAnsi="Arial" w:cs="Arial"/>
          <w:bCs/>
          <w:szCs w:val="24"/>
        </w:rPr>
        <w:t xml:space="preserve">Shaw, S.C., Ntani, G., Baird, J. and Vogel, C.A., 2020. A systematic review of the influences of food store product placement on diet-related outcomes. Nutrition reviews, 78(12), pp.1030-1045. </w:t>
      </w:r>
      <w:hyperlink r:id="rId12" w:history="1">
        <w:r w:rsidRPr="00A24226">
          <w:rPr>
            <w:rStyle w:val="Hyperlink"/>
            <w:rFonts w:ascii="Arial" w:hAnsi="Arial" w:cs="Arial"/>
            <w:bCs/>
            <w:szCs w:val="24"/>
          </w:rPr>
          <w:t>https://doi.org/10.1093/nutrit/nuaa024</w:t>
        </w:r>
      </w:hyperlink>
      <w:r w:rsidRPr="00A24226">
        <w:rPr>
          <w:rFonts w:ascii="Arial" w:hAnsi="Arial" w:cs="Arial"/>
          <w:bCs/>
          <w:szCs w:val="24"/>
        </w:rPr>
        <w:t xml:space="preserve"> </w:t>
      </w:r>
    </w:p>
    <w:p w14:paraId="67848E1F" w14:textId="77777777" w:rsidR="00A24226" w:rsidRPr="00A24226" w:rsidRDefault="00A24226" w:rsidP="007D5E07">
      <w:pPr>
        <w:ind w:left="720" w:hanging="720"/>
        <w:jc w:val="both"/>
        <w:rPr>
          <w:rFonts w:ascii="Arial" w:hAnsi="Arial" w:cs="Arial"/>
          <w:bCs/>
          <w:szCs w:val="24"/>
        </w:rPr>
      </w:pPr>
      <w:r w:rsidRPr="00A24226">
        <w:rPr>
          <w:rFonts w:ascii="Arial" w:hAnsi="Arial" w:cs="Arial"/>
          <w:bCs/>
          <w:szCs w:val="24"/>
        </w:rPr>
        <w:t>Schultz, S., Cameron, A.J., Grigsby-Duffy, L., Robinson, E., Marshall, J., Orellana, L. and Sacks, G., 2021. Availability and placement of healthy and discretionary food in Australian supermarkets by chain and level of socio-economic disadvantage. Public health nutrition, 24(2), pp.203-214.</w:t>
      </w:r>
    </w:p>
    <w:p w14:paraId="634D1CAB" w14:textId="77777777" w:rsidR="00A24226" w:rsidRPr="00A24226" w:rsidRDefault="00A24226" w:rsidP="007D5E07">
      <w:pPr>
        <w:ind w:left="720" w:hanging="720"/>
        <w:jc w:val="both"/>
        <w:rPr>
          <w:rFonts w:ascii="Arial" w:hAnsi="Arial" w:cs="Arial"/>
          <w:bCs/>
          <w:szCs w:val="24"/>
        </w:rPr>
      </w:pPr>
      <w:r w:rsidRPr="00A24226">
        <w:rPr>
          <w:rFonts w:ascii="Arial" w:hAnsi="Arial" w:cs="Arial"/>
          <w:bCs/>
          <w:szCs w:val="24"/>
        </w:rPr>
        <w:t xml:space="preserve">Trapp, G., Hooper, P., Thornton, L.E., Kennington, K., Sartori, A., Wickens, N. and Billingham, W., 2021. Exposure to unhealthy food and beverage advertising during the school commute in Australia. J Epidemiol Community Health, 75(12), pp.1232-1235. </w:t>
      </w:r>
      <w:hyperlink r:id="rId13" w:history="1">
        <w:r w:rsidRPr="00A24226">
          <w:rPr>
            <w:rStyle w:val="Hyperlink"/>
            <w:rFonts w:ascii="Arial" w:hAnsi="Arial" w:cs="Arial"/>
            <w:bCs/>
            <w:szCs w:val="24"/>
          </w:rPr>
          <w:t>https://jech.bmj.com/content/75/12/1232.abstract</w:t>
        </w:r>
      </w:hyperlink>
      <w:r w:rsidRPr="00A24226">
        <w:rPr>
          <w:rFonts w:ascii="Arial" w:hAnsi="Arial" w:cs="Arial"/>
          <w:bCs/>
          <w:szCs w:val="24"/>
        </w:rPr>
        <w:t xml:space="preserve"> </w:t>
      </w:r>
    </w:p>
    <w:p w14:paraId="2051AB0F" w14:textId="77777777" w:rsidR="00A24226" w:rsidRPr="00A24226" w:rsidRDefault="00A24226" w:rsidP="007D5E07">
      <w:pPr>
        <w:ind w:left="720" w:hanging="720"/>
        <w:jc w:val="both"/>
        <w:rPr>
          <w:rFonts w:ascii="Arial" w:hAnsi="Arial" w:cs="Arial"/>
          <w:bCs/>
          <w:szCs w:val="24"/>
        </w:rPr>
      </w:pPr>
      <w:r w:rsidRPr="00A24226">
        <w:rPr>
          <w:rFonts w:ascii="Arial" w:hAnsi="Arial" w:cs="Arial"/>
          <w:bCs/>
          <w:szCs w:val="24"/>
        </w:rPr>
        <w:t xml:space="preserve">Wolgast, H., Halverson, M.M., Kennedy, N., Gallard, I., and Karpyn, A., 2022. Encouraging healthier food and beverage purchasing and consumption: A review of interventions within grocery retail settings. International Journal of Environmental Research and Public Health, 19(23), p.16107. </w:t>
      </w:r>
      <w:hyperlink r:id="rId14" w:history="1">
        <w:r w:rsidRPr="00A24226">
          <w:rPr>
            <w:rStyle w:val="Hyperlink"/>
            <w:rFonts w:ascii="Arial" w:hAnsi="Arial" w:cs="Arial"/>
            <w:bCs/>
            <w:szCs w:val="24"/>
          </w:rPr>
          <w:t>https://doi.org/10.3390/ijerph192316107</w:t>
        </w:r>
      </w:hyperlink>
      <w:bookmarkEnd w:id="0"/>
      <w:r w:rsidRPr="00A24226">
        <w:rPr>
          <w:rFonts w:ascii="Arial" w:hAnsi="Arial" w:cs="Arial"/>
          <w:bCs/>
          <w:szCs w:val="24"/>
        </w:rPr>
        <w:t xml:space="preserve"> </w:t>
      </w:r>
    </w:p>
    <w:p w14:paraId="6C3417A4" w14:textId="77777777" w:rsidR="00C5567C" w:rsidRPr="00A24226" w:rsidRDefault="00C5567C" w:rsidP="007D5E07">
      <w:pPr>
        <w:jc w:val="both"/>
        <w:rPr>
          <w:rFonts w:ascii="Arial" w:hAnsi="Arial" w:cs="Arial"/>
        </w:rPr>
      </w:pPr>
    </w:p>
    <w:sectPr w:rsidR="00C5567C" w:rsidRPr="00A242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C4524"/>
    <w:multiLevelType w:val="multilevel"/>
    <w:tmpl w:val="4DBEC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16402"/>
    <w:multiLevelType w:val="multilevel"/>
    <w:tmpl w:val="E5EAE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1A33C5"/>
    <w:multiLevelType w:val="hybridMultilevel"/>
    <w:tmpl w:val="9AC0674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16C0740C"/>
    <w:multiLevelType w:val="multilevel"/>
    <w:tmpl w:val="825ED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CA3A35"/>
    <w:multiLevelType w:val="multilevel"/>
    <w:tmpl w:val="72C46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7069AB"/>
    <w:multiLevelType w:val="multilevel"/>
    <w:tmpl w:val="13C85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C01E17"/>
    <w:multiLevelType w:val="multilevel"/>
    <w:tmpl w:val="1C042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952C42"/>
    <w:multiLevelType w:val="hybridMultilevel"/>
    <w:tmpl w:val="311203A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3E370048"/>
    <w:multiLevelType w:val="multilevel"/>
    <w:tmpl w:val="F95A7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F14F7F"/>
    <w:multiLevelType w:val="multilevel"/>
    <w:tmpl w:val="FA96C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3B1433"/>
    <w:multiLevelType w:val="hybridMultilevel"/>
    <w:tmpl w:val="4ECECF2C"/>
    <w:lvl w:ilvl="0" w:tplc="20000001">
      <w:start w:val="1"/>
      <w:numFmt w:val="bullet"/>
      <w:lvlText w:val=""/>
      <w:lvlJc w:val="left"/>
      <w:pPr>
        <w:ind w:left="643" w:hanging="360"/>
      </w:pPr>
      <w:rPr>
        <w:rFonts w:ascii="Symbol" w:hAnsi="Symbol" w:hint="default"/>
      </w:rPr>
    </w:lvl>
    <w:lvl w:ilvl="1" w:tplc="20000003" w:tentative="1">
      <w:start w:val="1"/>
      <w:numFmt w:val="bullet"/>
      <w:lvlText w:val="o"/>
      <w:lvlJc w:val="left"/>
      <w:pPr>
        <w:ind w:left="1363" w:hanging="360"/>
      </w:pPr>
      <w:rPr>
        <w:rFonts w:ascii="Courier New" w:hAnsi="Courier New" w:cs="Courier New" w:hint="default"/>
      </w:rPr>
    </w:lvl>
    <w:lvl w:ilvl="2" w:tplc="20000005" w:tentative="1">
      <w:start w:val="1"/>
      <w:numFmt w:val="bullet"/>
      <w:lvlText w:val=""/>
      <w:lvlJc w:val="left"/>
      <w:pPr>
        <w:ind w:left="2083" w:hanging="360"/>
      </w:pPr>
      <w:rPr>
        <w:rFonts w:ascii="Wingdings" w:hAnsi="Wingdings" w:hint="default"/>
      </w:rPr>
    </w:lvl>
    <w:lvl w:ilvl="3" w:tplc="20000001" w:tentative="1">
      <w:start w:val="1"/>
      <w:numFmt w:val="bullet"/>
      <w:lvlText w:val=""/>
      <w:lvlJc w:val="left"/>
      <w:pPr>
        <w:ind w:left="2803" w:hanging="360"/>
      </w:pPr>
      <w:rPr>
        <w:rFonts w:ascii="Symbol" w:hAnsi="Symbol" w:hint="default"/>
      </w:rPr>
    </w:lvl>
    <w:lvl w:ilvl="4" w:tplc="20000003" w:tentative="1">
      <w:start w:val="1"/>
      <w:numFmt w:val="bullet"/>
      <w:lvlText w:val="o"/>
      <w:lvlJc w:val="left"/>
      <w:pPr>
        <w:ind w:left="3523" w:hanging="360"/>
      </w:pPr>
      <w:rPr>
        <w:rFonts w:ascii="Courier New" w:hAnsi="Courier New" w:cs="Courier New" w:hint="default"/>
      </w:rPr>
    </w:lvl>
    <w:lvl w:ilvl="5" w:tplc="20000005" w:tentative="1">
      <w:start w:val="1"/>
      <w:numFmt w:val="bullet"/>
      <w:lvlText w:val=""/>
      <w:lvlJc w:val="left"/>
      <w:pPr>
        <w:ind w:left="4243" w:hanging="360"/>
      </w:pPr>
      <w:rPr>
        <w:rFonts w:ascii="Wingdings" w:hAnsi="Wingdings" w:hint="default"/>
      </w:rPr>
    </w:lvl>
    <w:lvl w:ilvl="6" w:tplc="20000001" w:tentative="1">
      <w:start w:val="1"/>
      <w:numFmt w:val="bullet"/>
      <w:lvlText w:val=""/>
      <w:lvlJc w:val="left"/>
      <w:pPr>
        <w:ind w:left="4963" w:hanging="360"/>
      </w:pPr>
      <w:rPr>
        <w:rFonts w:ascii="Symbol" w:hAnsi="Symbol" w:hint="default"/>
      </w:rPr>
    </w:lvl>
    <w:lvl w:ilvl="7" w:tplc="20000003" w:tentative="1">
      <w:start w:val="1"/>
      <w:numFmt w:val="bullet"/>
      <w:lvlText w:val="o"/>
      <w:lvlJc w:val="left"/>
      <w:pPr>
        <w:ind w:left="5683" w:hanging="360"/>
      </w:pPr>
      <w:rPr>
        <w:rFonts w:ascii="Courier New" w:hAnsi="Courier New" w:cs="Courier New" w:hint="default"/>
      </w:rPr>
    </w:lvl>
    <w:lvl w:ilvl="8" w:tplc="20000005" w:tentative="1">
      <w:start w:val="1"/>
      <w:numFmt w:val="bullet"/>
      <w:lvlText w:val=""/>
      <w:lvlJc w:val="left"/>
      <w:pPr>
        <w:ind w:left="6403" w:hanging="360"/>
      </w:pPr>
      <w:rPr>
        <w:rFonts w:ascii="Wingdings" w:hAnsi="Wingdings" w:hint="default"/>
      </w:rPr>
    </w:lvl>
  </w:abstractNum>
  <w:abstractNum w:abstractNumId="11" w15:restartNumberingAfterBreak="0">
    <w:nsid w:val="56C1705A"/>
    <w:multiLevelType w:val="multilevel"/>
    <w:tmpl w:val="1B4A3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222E33"/>
    <w:multiLevelType w:val="multilevel"/>
    <w:tmpl w:val="0E702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CE7F28"/>
    <w:multiLevelType w:val="multilevel"/>
    <w:tmpl w:val="0DB4F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D75226"/>
    <w:multiLevelType w:val="multilevel"/>
    <w:tmpl w:val="8BDE2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9A28A5"/>
    <w:multiLevelType w:val="multilevel"/>
    <w:tmpl w:val="E12A8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7B5050"/>
    <w:multiLevelType w:val="multilevel"/>
    <w:tmpl w:val="942CC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5D1494"/>
    <w:multiLevelType w:val="hybridMultilevel"/>
    <w:tmpl w:val="58BC910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8" w15:restartNumberingAfterBreak="0">
    <w:nsid w:val="75B613EC"/>
    <w:multiLevelType w:val="multilevel"/>
    <w:tmpl w:val="CDC6D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4289060">
    <w:abstractNumId w:val="1"/>
  </w:num>
  <w:num w:numId="2" w16cid:durableId="341980732">
    <w:abstractNumId w:val="6"/>
  </w:num>
  <w:num w:numId="3" w16cid:durableId="571081640">
    <w:abstractNumId w:val="13"/>
  </w:num>
  <w:num w:numId="4" w16cid:durableId="1614626703">
    <w:abstractNumId w:val="14"/>
  </w:num>
  <w:num w:numId="5" w16cid:durableId="1781485728">
    <w:abstractNumId w:val="4"/>
  </w:num>
  <w:num w:numId="6" w16cid:durableId="1885753820">
    <w:abstractNumId w:val="8"/>
  </w:num>
  <w:num w:numId="7" w16cid:durableId="2041587486">
    <w:abstractNumId w:val="5"/>
  </w:num>
  <w:num w:numId="8" w16cid:durableId="1681152699">
    <w:abstractNumId w:val="15"/>
  </w:num>
  <w:num w:numId="9" w16cid:durableId="1265504412">
    <w:abstractNumId w:val="18"/>
  </w:num>
  <w:num w:numId="10" w16cid:durableId="854686702">
    <w:abstractNumId w:val="16"/>
  </w:num>
  <w:num w:numId="11" w16cid:durableId="111898715">
    <w:abstractNumId w:val="9"/>
  </w:num>
  <w:num w:numId="12" w16cid:durableId="722678642">
    <w:abstractNumId w:val="3"/>
  </w:num>
  <w:num w:numId="13" w16cid:durableId="1511486475">
    <w:abstractNumId w:val="11"/>
  </w:num>
  <w:num w:numId="14" w16cid:durableId="1573657170">
    <w:abstractNumId w:val="0"/>
  </w:num>
  <w:num w:numId="15" w16cid:durableId="617949268">
    <w:abstractNumId w:val="12"/>
  </w:num>
  <w:num w:numId="16" w16cid:durableId="549271192">
    <w:abstractNumId w:val="10"/>
  </w:num>
  <w:num w:numId="17" w16cid:durableId="2071882054">
    <w:abstractNumId w:val="7"/>
  </w:num>
  <w:num w:numId="18" w16cid:durableId="1010369517">
    <w:abstractNumId w:val="2"/>
  </w:num>
  <w:num w:numId="19" w16cid:durableId="81534190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942"/>
    <w:rsid w:val="00275B27"/>
    <w:rsid w:val="003546FC"/>
    <w:rsid w:val="00356162"/>
    <w:rsid w:val="00487982"/>
    <w:rsid w:val="007113CA"/>
    <w:rsid w:val="007B7D6A"/>
    <w:rsid w:val="007D5E07"/>
    <w:rsid w:val="0093403A"/>
    <w:rsid w:val="0097167E"/>
    <w:rsid w:val="00A07525"/>
    <w:rsid w:val="00A24226"/>
    <w:rsid w:val="00A378E3"/>
    <w:rsid w:val="00C5567C"/>
    <w:rsid w:val="00E07E92"/>
    <w:rsid w:val="00FF3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49ECF"/>
  <w15:chartTrackingRefBased/>
  <w15:docId w15:val="{FF8F0E74-8543-453E-A3FC-415B58038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226"/>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FF39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39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39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39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39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39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9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9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9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9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39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39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39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39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39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9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9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942"/>
    <w:rPr>
      <w:rFonts w:eastAsiaTheme="majorEastAsia" w:cstheme="majorBidi"/>
      <w:color w:val="272727" w:themeColor="text1" w:themeTint="D8"/>
    </w:rPr>
  </w:style>
  <w:style w:type="paragraph" w:styleId="Title">
    <w:name w:val="Title"/>
    <w:basedOn w:val="Normal"/>
    <w:next w:val="Normal"/>
    <w:link w:val="TitleChar"/>
    <w:uiPriority w:val="10"/>
    <w:qFormat/>
    <w:rsid w:val="00FF39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9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942"/>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9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942"/>
    <w:pPr>
      <w:spacing w:before="160"/>
      <w:jc w:val="center"/>
    </w:pPr>
    <w:rPr>
      <w:i/>
      <w:iCs/>
      <w:color w:val="404040" w:themeColor="text1" w:themeTint="BF"/>
    </w:rPr>
  </w:style>
  <w:style w:type="character" w:customStyle="1" w:styleId="QuoteChar">
    <w:name w:val="Quote Char"/>
    <w:basedOn w:val="DefaultParagraphFont"/>
    <w:link w:val="Quote"/>
    <w:uiPriority w:val="29"/>
    <w:rsid w:val="00FF3942"/>
    <w:rPr>
      <w:i/>
      <w:iCs/>
      <w:color w:val="404040" w:themeColor="text1" w:themeTint="BF"/>
    </w:rPr>
  </w:style>
  <w:style w:type="paragraph" w:styleId="ListParagraph">
    <w:name w:val="List Paragraph"/>
    <w:basedOn w:val="Normal"/>
    <w:uiPriority w:val="34"/>
    <w:qFormat/>
    <w:rsid w:val="00FF3942"/>
    <w:pPr>
      <w:ind w:left="720"/>
      <w:contextualSpacing/>
    </w:pPr>
  </w:style>
  <w:style w:type="character" w:styleId="IntenseEmphasis">
    <w:name w:val="Intense Emphasis"/>
    <w:basedOn w:val="DefaultParagraphFont"/>
    <w:uiPriority w:val="21"/>
    <w:qFormat/>
    <w:rsid w:val="00FF3942"/>
    <w:rPr>
      <w:i/>
      <w:iCs/>
      <w:color w:val="0F4761" w:themeColor="accent1" w:themeShade="BF"/>
    </w:rPr>
  </w:style>
  <w:style w:type="paragraph" w:styleId="IntenseQuote">
    <w:name w:val="Intense Quote"/>
    <w:basedOn w:val="Normal"/>
    <w:next w:val="Normal"/>
    <w:link w:val="IntenseQuoteChar"/>
    <w:uiPriority w:val="30"/>
    <w:qFormat/>
    <w:rsid w:val="00FF39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942"/>
    <w:rPr>
      <w:i/>
      <w:iCs/>
      <w:color w:val="0F4761" w:themeColor="accent1" w:themeShade="BF"/>
    </w:rPr>
  </w:style>
  <w:style w:type="character" w:styleId="IntenseReference">
    <w:name w:val="Intense Reference"/>
    <w:basedOn w:val="DefaultParagraphFont"/>
    <w:uiPriority w:val="32"/>
    <w:qFormat/>
    <w:rsid w:val="00FF3942"/>
    <w:rPr>
      <w:b/>
      <w:bCs/>
      <w:smallCaps/>
      <w:color w:val="0F4761" w:themeColor="accent1" w:themeShade="BF"/>
      <w:spacing w:val="5"/>
    </w:rPr>
  </w:style>
  <w:style w:type="character" w:styleId="Hyperlink">
    <w:name w:val="Hyperlink"/>
    <w:basedOn w:val="DefaultParagraphFont"/>
    <w:uiPriority w:val="99"/>
    <w:unhideWhenUsed/>
    <w:rsid w:val="00275B27"/>
    <w:rPr>
      <w:color w:val="467886" w:themeColor="hyperlink"/>
      <w:u w:val="single"/>
    </w:rPr>
  </w:style>
  <w:style w:type="character" w:styleId="UnresolvedMention">
    <w:name w:val="Unresolved Mention"/>
    <w:basedOn w:val="DefaultParagraphFont"/>
    <w:uiPriority w:val="99"/>
    <w:semiHidden/>
    <w:unhideWhenUsed/>
    <w:rsid w:val="00275B27"/>
    <w:rPr>
      <w:color w:val="605E5C"/>
      <w:shd w:val="clear" w:color="auto" w:fill="E1DFDD"/>
    </w:rPr>
  </w:style>
  <w:style w:type="paragraph" w:customStyle="1" w:styleId="Default">
    <w:name w:val="Default"/>
    <w:rsid w:val="00A24226"/>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640339">
      <w:bodyDiv w:val="1"/>
      <w:marLeft w:val="0"/>
      <w:marRight w:val="0"/>
      <w:marTop w:val="0"/>
      <w:marBottom w:val="0"/>
      <w:divBdr>
        <w:top w:val="none" w:sz="0" w:space="0" w:color="auto"/>
        <w:left w:val="none" w:sz="0" w:space="0" w:color="auto"/>
        <w:bottom w:val="none" w:sz="0" w:space="0" w:color="auto"/>
        <w:right w:val="none" w:sz="0" w:space="0" w:color="auto"/>
      </w:divBdr>
    </w:div>
    <w:div w:id="434716467">
      <w:bodyDiv w:val="1"/>
      <w:marLeft w:val="0"/>
      <w:marRight w:val="0"/>
      <w:marTop w:val="0"/>
      <w:marBottom w:val="0"/>
      <w:divBdr>
        <w:top w:val="none" w:sz="0" w:space="0" w:color="auto"/>
        <w:left w:val="none" w:sz="0" w:space="0" w:color="auto"/>
        <w:bottom w:val="none" w:sz="0" w:space="0" w:color="auto"/>
        <w:right w:val="none" w:sz="0" w:space="0" w:color="auto"/>
      </w:divBdr>
    </w:div>
    <w:div w:id="590234558">
      <w:bodyDiv w:val="1"/>
      <w:marLeft w:val="0"/>
      <w:marRight w:val="0"/>
      <w:marTop w:val="0"/>
      <w:marBottom w:val="0"/>
      <w:divBdr>
        <w:top w:val="none" w:sz="0" w:space="0" w:color="auto"/>
        <w:left w:val="none" w:sz="0" w:space="0" w:color="auto"/>
        <w:bottom w:val="none" w:sz="0" w:space="0" w:color="auto"/>
        <w:right w:val="none" w:sz="0" w:space="0" w:color="auto"/>
      </w:divBdr>
    </w:div>
    <w:div w:id="648825810">
      <w:bodyDiv w:val="1"/>
      <w:marLeft w:val="0"/>
      <w:marRight w:val="0"/>
      <w:marTop w:val="0"/>
      <w:marBottom w:val="0"/>
      <w:divBdr>
        <w:top w:val="none" w:sz="0" w:space="0" w:color="auto"/>
        <w:left w:val="none" w:sz="0" w:space="0" w:color="auto"/>
        <w:bottom w:val="none" w:sz="0" w:space="0" w:color="auto"/>
        <w:right w:val="none" w:sz="0" w:space="0" w:color="auto"/>
      </w:divBdr>
    </w:div>
    <w:div w:id="1018702495">
      <w:bodyDiv w:val="1"/>
      <w:marLeft w:val="0"/>
      <w:marRight w:val="0"/>
      <w:marTop w:val="0"/>
      <w:marBottom w:val="0"/>
      <w:divBdr>
        <w:top w:val="none" w:sz="0" w:space="0" w:color="auto"/>
        <w:left w:val="none" w:sz="0" w:space="0" w:color="auto"/>
        <w:bottom w:val="none" w:sz="0" w:space="0" w:color="auto"/>
        <w:right w:val="none" w:sz="0" w:space="0" w:color="auto"/>
      </w:divBdr>
    </w:div>
    <w:div w:id="1066029312">
      <w:bodyDiv w:val="1"/>
      <w:marLeft w:val="0"/>
      <w:marRight w:val="0"/>
      <w:marTop w:val="0"/>
      <w:marBottom w:val="0"/>
      <w:divBdr>
        <w:top w:val="none" w:sz="0" w:space="0" w:color="auto"/>
        <w:left w:val="none" w:sz="0" w:space="0" w:color="auto"/>
        <w:bottom w:val="none" w:sz="0" w:space="0" w:color="auto"/>
        <w:right w:val="none" w:sz="0" w:space="0" w:color="auto"/>
      </w:divBdr>
    </w:div>
    <w:div w:id="1279753029">
      <w:bodyDiv w:val="1"/>
      <w:marLeft w:val="0"/>
      <w:marRight w:val="0"/>
      <w:marTop w:val="0"/>
      <w:marBottom w:val="0"/>
      <w:divBdr>
        <w:top w:val="none" w:sz="0" w:space="0" w:color="auto"/>
        <w:left w:val="none" w:sz="0" w:space="0" w:color="auto"/>
        <w:bottom w:val="none" w:sz="0" w:space="0" w:color="auto"/>
        <w:right w:val="none" w:sz="0" w:space="0" w:color="auto"/>
      </w:divBdr>
    </w:div>
    <w:div w:id="1481534542">
      <w:bodyDiv w:val="1"/>
      <w:marLeft w:val="0"/>
      <w:marRight w:val="0"/>
      <w:marTop w:val="0"/>
      <w:marBottom w:val="0"/>
      <w:divBdr>
        <w:top w:val="none" w:sz="0" w:space="0" w:color="auto"/>
        <w:left w:val="none" w:sz="0" w:space="0" w:color="auto"/>
        <w:bottom w:val="none" w:sz="0" w:space="0" w:color="auto"/>
        <w:right w:val="none" w:sz="0" w:space="0" w:color="auto"/>
      </w:divBdr>
    </w:div>
    <w:div w:id="1545485858">
      <w:bodyDiv w:val="1"/>
      <w:marLeft w:val="0"/>
      <w:marRight w:val="0"/>
      <w:marTop w:val="0"/>
      <w:marBottom w:val="0"/>
      <w:divBdr>
        <w:top w:val="none" w:sz="0" w:space="0" w:color="auto"/>
        <w:left w:val="none" w:sz="0" w:space="0" w:color="auto"/>
        <w:bottom w:val="none" w:sz="0" w:space="0" w:color="auto"/>
        <w:right w:val="none" w:sz="0" w:space="0" w:color="auto"/>
      </w:divBdr>
    </w:div>
    <w:div w:id="1754013056">
      <w:bodyDiv w:val="1"/>
      <w:marLeft w:val="0"/>
      <w:marRight w:val="0"/>
      <w:marTop w:val="0"/>
      <w:marBottom w:val="0"/>
      <w:divBdr>
        <w:top w:val="none" w:sz="0" w:space="0" w:color="auto"/>
        <w:left w:val="none" w:sz="0" w:space="0" w:color="auto"/>
        <w:bottom w:val="none" w:sz="0" w:space="0" w:color="auto"/>
        <w:right w:val="none" w:sz="0" w:space="0" w:color="auto"/>
      </w:divBdr>
    </w:div>
    <w:div w:id="2028092256">
      <w:bodyDiv w:val="1"/>
      <w:marLeft w:val="0"/>
      <w:marRight w:val="0"/>
      <w:marTop w:val="0"/>
      <w:marBottom w:val="0"/>
      <w:divBdr>
        <w:top w:val="none" w:sz="0" w:space="0" w:color="auto"/>
        <w:left w:val="none" w:sz="0" w:space="0" w:color="auto"/>
        <w:bottom w:val="none" w:sz="0" w:space="0" w:color="auto"/>
        <w:right w:val="none" w:sz="0" w:space="0" w:color="auto"/>
      </w:divBdr>
    </w:div>
    <w:div w:id="2078168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erph17207381" TargetMode="External"/><Relationship Id="rId13" Type="http://schemas.openxmlformats.org/officeDocument/2006/relationships/hyperlink" Target="https://jech.bmj.com/content/75/12/1232.abstract" TargetMode="External"/><Relationship Id="rId3" Type="http://schemas.openxmlformats.org/officeDocument/2006/relationships/styles" Target="styles.xml"/><Relationship Id="rId7" Type="http://schemas.openxmlformats.org/officeDocument/2006/relationships/hyperlink" Target="https://doi.org/10.1111/ijpo.13008" TargetMode="External"/><Relationship Id="rId12" Type="http://schemas.openxmlformats.org/officeDocument/2006/relationships/hyperlink" Target="https://doi.org/10.1093/nutrit/nuaa02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1111/obr.12948" TargetMode="External"/><Relationship Id="rId11" Type="http://schemas.openxmlformats.org/officeDocument/2006/relationships/hyperlink" Target="https://doi.org/10.3390/nu1413262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3390/ijerph17093086" TargetMode="External"/><Relationship Id="rId4" Type="http://schemas.openxmlformats.org/officeDocument/2006/relationships/settings" Target="settings.xml"/><Relationship Id="rId9" Type="http://schemas.openxmlformats.org/officeDocument/2006/relationships/hyperlink" Target="https://doi.org/10.1016/j.jclepro.2021.129283" TargetMode="External"/><Relationship Id="rId14" Type="http://schemas.openxmlformats.org/officeDocument/2006/relationships/hyperlink" Target="https://doi.org/10.3390/ijerph1923161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BAC265-59F9-4C91-BD20-185E89542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9</Pages>
  <Words>1885</Words>
  <Characters>10747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4</cp:revision>
  <dcterms:created xsi:type="dcterms:W3CDTF">2025-05-27T16:30:00Z</dcterms:created>
  <dcterms:modified xsi:type="dcterms:W3CDTF">2025-06-15T22:21:00Z</dcterms:modified>
</cp:coreProperties>
</file>