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C2B72" w14:textId="77777777" w:rsidR="00DB210D" w:rsidRDefault="00DB210D" w:rsidP="00DB210D">
      <w:pPr>
        <w:spacing w:line="360" w:lineRule="auto"/>
        <w:rPr>
          <w:rFonts w:ascii="Arial" w:hAnsi="Arial" w:cs="Arial"/>
          <w:b/>
          <w:bCs/>
        </w:rPr>
      </w:pPr>
    </w:p>
    <w:p w14:paraId="06320114" w14:textId="1E701CAE" w:rsidR="00DB210D" w:rsidRDefault="00DB210D" w:rsidP="00194362">
      <w:pPr>
        <w:spacing w:line="360" w:lineRule="auto"/>
        <w:jc w:val="center"/>
        <w:rPr>
          <w:rFonts w:ascii="Arial" w:hAnsi="Arial" w:cs="Arial"/>
          <w:b/>
          <w:bCs/>
        </w:rPr>
      </w:pPr>
      <w:r>
        <w:rPr>
          <w:rFonts w:ascii="Arial" w:hAnsi="Arial" w:cs="Arial"/>
          <w:b/>
          <w:bCs/>
          <w:noProof/>
        </w:rPr>
        <w:drawing>
          <wp:inline distT="0" distB="0" distL="0" distR="0" wp14:anchorId="30DDF0C9" wp14:editId="35D3EE77">
            <wp:extent cx="1810385" cy="725170"/>
            <wp:effectExtent l="0" t="0" r="0" b="0"/>
            <wp:docPr id="1943530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7A08B7F" w14:textId="77777777" w:rsidR="00DB210D" w:rsidRPr="00DB210D" w:rsidRDefault="00DB210D" w:rsidP="00DB210D">
      <w:pPr>
        <w:spacing w:line="360" w:lineRule="auto"/>
        <w:jc w:val="center"/>
        <w:rPr>
          <w:rFonts w:ascii="Arial" w:hAnsi="Arial" w:cs="Arial"/>
          <w:b/>
          <w:bCs/>
        </w:rPr>
      </w:pPr>
    </w:p>
    <w:p w14:paraId="34191A8C" w14:textId="77777777" w:rsidR="00DB210D" w:rsidRPr="00DB210D" w:rsidRDefault="00DB210D" w:rsidP="00DB210D">
      <w:pPr>
        <w:spacing w:line="360" w:lineRule="auto"/>
        <w:rPr>
          <w:rFonts w:ascii="Arial" w:hAnsi="Arial" w:cs="Arial"/>
          <w:b/>
          <w:bCs/>
        </w:rPr>
      </w:pPr>
    </w:p>
    <w:p w14:paraId="421C48A6" w14:textId="77777777" w:rsidR="00DB210D" w:rsidRPr="00DB210D" w:rsidRDefault="00DB210D" w:rsidP="00DB210D">
      <w:pPr>
        <w:spacing w:line="360" w:lineRule="auto"/>
        <w:jc w:val="center"/>
        <w:rPr>
          <w:rFonts w:ascii="Arial" w:hAnsi="Arial" w:cs="Arial"/>
          <w:b/>
          <w:bCs/>
        </w:rPr>
      </w:pPr>
    </w:p>
    <w:p w14:paraId="521BCF56" w14:textId="77777777" w:rsidR="00DB210D" w:rsidRPr="00DB210D" w:rsidRDefault="00DB210D" w:rsidP="00DB210D">
      <w:pPr>
        <w:spacing w:line="360" w:lineRule="auto"/>
        <w:jc w:val="center"/>
        <w:rPr>
          <w:rFonts w:ascii="Arial" w:hAnsi="Arial" w:cs="Arial"/>
          <w:b/>
          <w:bCs/>
          <w:sz w:val="28"/>
          <w:szCs w:val="28"/>
        </w:rPr>
      </w:pPr>
      <w:r w:rsidRPr="00DB210D">
        <w:rPr>
          <w:rFonts w:ascii="Arial" w:hAnsi="Arial" w:cs="Arial"/>
          <w:b/>
          <w:bCs/>
          <w:sz w:val="28"/>
          <w:szCs w:val="28"/>
        </w:rPr>
        <w:t>Student name: ELISHA HAKIZUMWAMI</w:t>
      </w:r>
    </w:p>
    <w:p w14:paraId="0FEDF794" w14:textId="77777777" w:rsidR="00DB210D" w:rsidRPr="00DB210D" w:rsidRDefault="00DB210D" w:rsidP="00DB210D">
      <w:pPr>
        <w:spacing w:line="360" w:lineRule="auto"/>
        <w:jc w:val="center"/>
        <w:rPr>
          <w:rFonts w:ascii="Arial" w:hAnsi="Arial" w:cs="Arial"/>
          <w:b/>
          <w:bCs/>
          <w:sz w:val="28"/>
          <w:szCs w:val="28"/>
        </w:rPr>
      </w:pPr>
      <w:r w:rsidRPr="00DB210D">
        <w:rPr>
          <w:rFonts w:ascii="Arial" w:hAnsi="Arial" w:cs="Arial"/>
          <w:b/>
          <w:bCs/>
          <w:sz w:val="28"/>
          <w:szCs w:val="28"/>
        </w:rPr>
        <w:t>Student ID: 2438662</w:t>
      </w:r>
    </w:p>
    <w:p w14:paraId="373F9A5E" w14:textId="77777777" w:rsidR="00DB210D" w:rsidRPr="00DB210D" w:rsidRDefault="00DB210D" w:rsidP="00DB210D">
      <w:pPr>
        <w:spacing w:line="360" w:lineRule="auto"/>
        <w:jc w:val="center"/>
        <w:rPr>
          <w:rFonts w:ascii="Arial" w:hAnsi="Arial" w:cs="Arial"/>
          <w:b/>
          <w:bCs/>
          <w:sz w:val="28"/>
          <w:szCs w:val="28"/>
        </w:rPr>
      </w:pPr>
    </w:p>
    <w:p w14:paraId="1E11EB6E" w14:textId="77777777" w:rsidR="00DB210D" w:rsidRPr="00DB210D" w:rsidRDefault="00DB210D" w:rsidP="00DB210D">
      <w:pPr>
        <w:spacing w:line="360" w:lineRule="auto"/>
        <w:jc w:val="center"/>
        <w:rPr>
          <w:rFonts w:ascii="Arial" w:hAnsi="Arial" w:cs="Arial"/>
          <w:b/>
          <w:bCs/>
          <w:sz w:val="28"/>
          <w:szCs w:val="28"/>
        </w:rPr>
      </w:pPr>
      <w:r w:rsidRPr="00DB210D">
        <w:rPr>
          <w:rFonts w:ascii="Arial" w:hAnsi="Arial" w:cs="Arial"/>
          <w:b/>
          <w:bCs/>
          <w:sz w:val="28"/>
          <w:szCs w:val="28"/>
        </w:rPr>
        <w:t>Module name: Principles of Health and Social Care Practice</w:t>
      </w:r>
    </w:p>
    <w:p w14:paraId="3081A84A" w14:textId="77777777" w:rsidR="00DB210D" w:rsidRPr="00DB210D" w:rsidRDefault="00DB210D" w:rsidP="00DB210D">
      <w:pPr>
        <w:spacing w:line="360" w:lineRule="auto"/>
        <w:jc w:val="center"/>
        <w:rPr>
          <w:rFonts w:ascii="Arial" w:hAnsi="Arial" w:cs="Arial"/>
          <w:b/>
          <w:bCs/>
          <w:sz w:val="28"/>
          <w:szCs w:val="28"/>
        </w:rPr>
      </w:pPr>
      <w:r w:rsidRPr="00DB210D">
        <w:rPr>
          <w:rFonts w:ascii="Arial" w:hAnsi="Arial" w:cs="Arial"/>
          <w:b/>
          <w:bCs/>
          <w:sz w:val="28"/>
          <w:szCs w:val="28"/>
        </w:rPr>
        <w:t>Module code: BMHP5016</w:t>
      </w:r>
    </w:p>
    <w:p w14:paraId="4AC483A5" w14:textId="7921E3BD" w:rsidR="00DB210D" w:rsidRPr="00DB210D" w:rsidRDefault="00DB210D" w:rsidP="00DB210D">
      <w:pPr>
        <w:spacing w:line="360" w:lineRule="auto"/>
        <w:jc w:val="center"/>
        <w:rPr>
          <w:rFonts w:ascii="Arial" w:hAnsi="Arial" w:cs="Arial"/>
          <w:b/>
          <w:bCs/>
          <w:sz w:val="28"/>
          <w:szCs w:val="28"/>
        </w:rPr>
      </w:pPr>
      <w:r w:rsidRPr="00DB210D">
        <w:rPr>
          <w:rFonts w:ascii="Arial" w:hAnsi="Arial" w:cs="Arial"/>
          <w:b/>
          <w:bCs/>
          <w:sz w:val="28"/>
          <w:szCs w:val="28"/>
        </w:rPr>
        <w:t xml:space="preserve">Lecturer name: Dr </w:t>
      </w:r>
      <w:proofErr w:type="spellStart"/>
      <w:r w:rsidRPr="00DB210D">
        <w:rPr>
          <w:rFonts w:ascii="Arial" w:hAnsi="Arial" w:cs="Arial"/>
          <w:b/>
          <w:bCs/>
          <w:sz w:val="28"/>
          <w:szCs w:val="28"/>
        </w:rPr>
        <w:t>Itse</w:t>
      </w:r>
      <w:proofErr w:type="spellEnd"/>
      <w:r w:rsidRPr="00DB210D">
        <w:rPr>
          <w:rFonts w:ascii="Arial" w:hAnsi="Arial" w:cs="Arial"/>
          <w:b/>
          <w:bCs/>
          <w:sz w:val="28"/>
          <w:szCs w:val="28"/>
        </w:rPr>
        <w:t xml:space="preserve"> Olaoye</w:t>
      </w:r>
    </w:p>
    <w:p w14:paraId="113D90FD" w14:textId="77777777" w:rsidR="00DB210D" w:rsidRDefault="00DB210D" w:rsidP="00194362">
      <w:pPr>
        <w:spacing w:line="360" w:lineRule="auto"/>
        <w:jc w:val="center"/>
        <w:rPr>
          <w:rFonts w:ascii="Arial" w:hAnsi="Arial" w:cs="Arial"/>
          <w:b/>
          <w:bCs/>
        </w:rPr>
      </w:pPr>
    </w:p>
    <w:p w14:paraId="6BA3C9F2" w14:textId="77777777" w:rsidR="00DB210D" w:rsidRDefault="00DB210D" w:rsidP="00194362">
      <w:pPr>
        <w:spacing w:line="360" w:lineRule="auto"/>
        <w:jc w:val="center"/>
        <w:rPr>
          <w:rFonts w:ascii="Arial" w:hAnsi="Arial" w:cs="Arial"/>
          <w:b/>
          <w:bCs/>
        </w:rPr>
      </w:pPr>
    </w:p>
    <w:p w14:paraId="3074BEF0" w14:textId="77777777" w:rsidR="00DB210D" w:rsidRDefault="00DB210D" w:rsidP="00194362">
      <w:pPr>
        <w:spacing w:line="360" w:lineRule="auto"/>
        <w:jc w:val="center"/>
        <w:rPr>
          <w:rFonts w:ascii="Arial" w:hAnsi="Arial" w:cs="Arial"/>
          <w:b/>
          <w:bCs/>
        </w:rPr>
      </w:pPr>
    </w:p>
    <w:p w14:paraId="38C798D4" w14:textId="77777777" w:rsidR="00DB210D" w:rsidRDefault="00DB210D" w:rsidP="00194362">
      <w:pPr>
        <w:spacing w:line="360" w:lineRule="auto"/>
        <w:jc w:val="center"/>
        <w:rPr>
          <w:rFonts w:ascii="Arial" w:hAnsi="Arial" w:cs="Arial"/>
          <w:b/>
          <w:bCs/>
        </w:rPr>
      </w:pPr>
    </w:p>
    <w:p w14:paraId="6D09CE30" w14:textId="77777777" w:rsidR="00DB210D" w:rsidRDefault="00DB210D" w:rsidP="00194362">
      <w:pPr>
        <w:spacing w:line="360" w:lineRule="auto"/>
        <w:jc w:val="center"/>
        <w:rPr>
          <w:rFonts w:ascii="Arial" w:hAnsi="Arial" w:cs="Arial"/>
          <w:b/>
          <w:bCs/>
        </w:rPr>
      </w:pPr>
    </w:p>
    <w:p w14:paraId="7814C3BD" w14:textId="77777777" w:rsidR="00DB210D" w:rsidRDefault="00DB210D" w:rsidP="00194362">
      <w:pPr>
        <w:spacing w:line="360" w:lineRule="auto"/>
        <w:jc w:val="center"/>
        <w:rPr>
          <w:rFonts w:ascii="Arial" w:hAnsi="Arial" w:cs="Arial"/>
          <w:b/>
          <w:bCs/>
        </w:rPr>
      </w:pPr>
    </w:p>
    <w:p w14:paraId="349DF53D" w14:textId="77777777" w:rsidR="00DB210D" w:rsidRDefault="00DB210D" w:rsidP="00194362">
      <w:pPr>
        <w:spacing w:line="360" w:lineRule="auto"/>
        <w:jc w:val="center"/>
        <w:rPr>
          <w:rFonts w:ascii="Arial" w:hAnsi="Arial" w:cs="Arial"/>
          <w:b/>
          <w:bCs/>
        </w:rPr>
      </w:pPr>
    </w:p>
    <w:p w14:paraId="6B88387E" w14:textId="77777777" w:rsidR="00DB210D" w:rsidRDefault="00DB210D" w:rsidP="00194362">
      <w:pPr>
        <w:spacing w:line="360" w:lineRule="auto"/>
        <w:jc w:val="center"/>
        <w:rPr>
          <w:rFonts w:ascii="Arial" w:hAnsi="Arial" w:cs="Arial"/>
          <w:b/>
          <w:bCs/>
        </w:rPr>
      </w:pPr>
    </w:p>
    <w:p w14:paraId="6FD9D758" w14:textId="77777777" w:rsidR="00DB210D" w:rsidRDefault="00DB210D" w:rsidP="00194362">
      <w:pPr>
        <w:spacing w:line="360" w:lineRule="auto"/>
        <w:jc w:val="center"/>
        <w:rPr>
          <w:rFonts w:ascii="Arial" w:hAnsi="Arial" w:cs="Arial"/>
          <w:b/>
          <w:bCs/>
        </w:rPr>
      </w:pPr>
    </w:p>
    <w:p w14:paraId="2B7A71AA" w14:textId="2F66B661" w:rsidR="009C5A71" w:rsidRPr="00BE4A9A" w:rsidRDefault="009C5A71">
      <w:pPr>
        <w:rPr>
          <w:rFonts w:ascii="Arial" w:hAnsi="Arial" w:cs="Arial"/>
        </w:rPr>
      </w:pPr>
    </w:p>
    <w:sdt>
      <w:sdtPr>
        <w:rPr>
          <w:rFonts w:ascii="Arial" w:eastAsiaTheme="minorHAnsi" w:hAnsi="Arial" w:cs="Arial"/>
          <w:color w:val="auto"/>
          <w:sz w:val="22"/>
          <w:szCs w:val="22"/>
        </w:rPr>
        <w:id w:val="1799093831"/>
        <w:docPartObj>
          <w:docPartGallery w:val="Table of Contents"/>
          <w:docPartUnique/>
        </w:docPartObj>
      </w:sdtPr>
      <w:sdtEndPr>
        <w:rPr>
          <w:b/>
          <w:bCs/>
          <w:noProof/>
        </w:rPr>
      </w:sdtEndPr>
      <w:sdtContent>
        <w:p w14:paraId="4246DACC" w14:textId="77777777" w:rsidR="0019797E" w:rsidRPr="0019797E" w:rsidRDefault="0019797E" w:rsidP="0019797E">
          <w:pPr>
            <w:pStyle w:val="TOCHeading"/>
            <w:spacing w:line="600" w:lineRule="auto"/>
            <w:jc w:val="both"/>
            <w:rPr>
              <w:rFonts w:ascii="Arial" w:eastAsiaTheme="minorHAnsi" w:hAnsi="Arial" w:cs="Arial"/>
              <w:b/>
              <w:bCs/>
              <w:color w:val="auto"/>
              <w:sz w:val="28"/>
              <w:szCs w:val="28"/>
            </w:rPr>
          </w:pPr>
          <w:r w:rsidRPr="0019797E">
            <w:rPr>
              <w:rFonts w:ascii="Arial" w:eastAsiaTheme="minorHAnsi" w:hAnsi="Arial" w:cs="Arial"/>
              <w:b/>
              <w:bCs/>
              <w:color w:val="auto"/>
              <w:sz w:val="28"/>
              <w:szCs w:val="28"/>
            </w:rPr>
            <w:t>Table of Content</w:t>
          </w:r>
        </w:p>
        <w:p w14:paraId="3344A67E" w14:textId="17F99C2D" w:rsidR="0019797E" w:rsidRPr="0019797E" w:rsidRDefault="0019797E" w:rsidP="0019797E">
          <w:pPr>
            <w:pStyle w:val="TOCHeading"/>
            <w:numPr>
              <w:ilvl w:val="0"/>
              <w:numId w:val="1"/>
            </w:numPr>
            <w:spacing w:line="600" w:lineRule="auto"/>
            <w:jc w:val="both"/>
            <w:rPr>
              <w:rFonts w:ascii="Arial" w:eastAsiaTheme="minorHAnsi" w:hAnsi="Arial" w:cs="Arial"/>
              <w:color w:val="auto"/>
              <w:sz w:val="22"/>
              <w:szCs w:val="22"/>
            </w:rPr>
          </w:pPr>
          <w:r w:rsidRPr="0019797E">
            <w:rPr>
              <w:rFonts w:ascii="Arial" w:eastAsiaTheme="minorHAnsi" w:hAnsi="Arial" w:cs="Arial"/>
              <w:color w:val="auto"/>
              <w:sz w:val="22"/>
              <w:szCs w:val="22"/>
            </w:rPr>
            <w:t>Reflection on the Importance of Principles of Health and Social Care</w:t>
          </w:r>
        </w:p>
        <w:p w14:paraId="6BB3F634" w14:textId="2E96BE71" w:rsidR="0019797E" w:rsidRPr="0019797E" w:rsidRDefault="0019797E" w:rsidP="0019797E">
          <w:pPr>
            <w:pStyle w:val="TOCHeading"/>
            <w:numPr>
              <w:ilvl w:val="0"/>
              <w:numId w:val="1"/>
            </w:numPr>
            <w:spacing w:line="600" w:lineRule="auto"/>
            <w:jc w:val="both"/>
            <w:rPr>
              <w:rFonts w:ascii="Arial" w:eastAsiaTheme="minorHAnsi" w:hAnsi="Arial" w:cs="Arial"/>
              <w:color w:val="auto"/>
              <w:sz w:val="22"/>
              <w:szCs w:val="22"/>
            </w:rPr>
          </w:pPr>
          <w:r>
            <w:rPr>
              <w:rFonts w:ascii="Arial" w:eastAsiaTheme="minorHAnsi" w:hAnsi="Arial" w:cs="Arial"/>
              <w:color w:val="auto"/>
              <w:sz w:val="22"/>
              <w:szCs w:val="22"/>
            </w:rPr>
            <w:t xml:space="preserve"> </w:t>
          </w:r>
          <w:r w:rsidRPr="0019797E">
            <w:rPr>
              <w:rFonts w:ascii="Arial" w:eastAsiaTheme="minorHAnsi" w:hAnsi="Arial" w:cs="Arial"/>
              <w:color w:val="auto"/>
              <w:sz w:val="22"/>
              <w:szCs w:val="22"/>
            </w:rPr>
            <w:t>Practical Examples of Concepts in Practice</w:t>
          </w:r>
          <w:r w:rsidRPr="0019797E">
            <w:rPr>
              <w:rFonts w:ascii="Arial" w:eastAsiaTheme="minorHAnsi" w:hAnsi="Arial" w:cs="Arial"/>
              <w:color w:val="auto"/>
              <w:sz w:val="22"/>
              <w:szCs w:val="22"/>
            </w:rPr>
            <w:tab/>
          </w:r>
        </w:p>
        <w:p w14:paraId="71F91F33" w14:textId="53C6408E" w:rsidR="0019797E" w:rsidRPr="0019797E" w:rsidRDefault="0019797E" w:rsidP="0019797E">
          <w:pPr>
            <w:pStyle w:val="TOCHeading"/>
            <w:spacing w:line="600" w:lineRule="auto"/>
            <w:jc w:val="both"/>
            <w:rPr>
              <w:rFonts w:ascii="Arial" w:eastAsiaTheme="minorHAnsi" w:hAnsi="Arial" w:cs="Arial"/>
              <w:color w:val="auto"/>
              <w:sz w:val="22"/>
              <w:szCs w:val="22"/>
            </w:rPr>
          </w:pPr>
          <w:r>
            <w:rPr>
              <w:rFonts w:ascii="Arial" w:eastAsiaTheme="minorHAnsi" w:hAnsi="Arial" w:cs="Arial"/>
              <w:color w:val="auto"/>
              <w:sz w:val="22"/>
              <w:szCs w:val="22"/>
            </w:rPr>
            <w:t xml:space="preserve">      3.</w:t>
          </w:r>
          <w:r w:rsidRPr="0019797E">
            <w:rPr>
              <w:rFonts w:ascii="Arial" w:eastAsiaTheme="minorHAnsi" w:hAnsi="Arial" w:cs="Arial"/>
              <w:color w:val="auto"/>
              <w:sz w:val="22"/>
              <w:szCs w:val="22"/>
            </w:rPr>
            <w:t xml:space="preserve"> Self-Reflection as a Health and Social Care Professional</w:t>
          </w:r>
          <w:r w:rsidRPr="0019797E">
            <w:rPr>
              <w:rFonts w:ascii="Arial" w:eastAsiaTheme="minorHAnsi" w:hAnsi="Arial" w:cs="Arial"/>
              <w:color w:val="auto"/>
              <w:sz w:val="22"/>
              <w:szCs w:val="22"/>
            </w:rPr>
            <w:tab/>
          </w:r>
        </w:p>
        <w:p w14:paraId="7D2EE088" w14:textId="591287A2" w:rsidR="0019797E" w:rsidRPr="0019797E" w:rsidRDefault="0019797E" w:rsidP="0019797E">
          <w:pPr>
            <w:pStyle w:val="TOCHeading"/>
            <w:spacing w:line="600" w:lineRule="auto"/>
            <w:jc w:val="both"/>
            <w:rPr>
              <w:rFonts w:ascii="Arial" w:eastAsiaTheme="minorHAnsi" w:hAnsi="Arial" w:cs="Arial"/>
              <w:color w:val="auto"/>
              <w:sz w:val="22"/>
              <w:szCs w:val="22"/>
            </w:rPr>
          </w:pPr>
          <w:r>
            <w:rPr>
              <w:rFonts w:ascii="Arial" w:eastAsiaTheme="minorHAnsi" w:hAnsi="Arial" w:cs="Arial"/>
              <w:color w:val="auto"/>
              <w:sz w:val="22"/>
              <w:szCs w:val="22"/>
            </w:rPr>
            <w:t xml:space="preserve">      4. </w:t>
          </w:r>
          <w:r w:rsidRPr="0019797E">
            <w:rPr>
              <w:rFonts w:ascii="Arial" w:eastAsiaTheme="minorHAnsi" w:hAnsi="Arial" w:cs="Arial"/>
              <w:color w:val="auto"/>
              <w:sz w:val="22"/>
              <w:szCs w:val="22"/>
            </w:rPr>
            <w:t>Reference</w:t>
          </w:r>
          <w:r w:rsidRPr="0019797E">
            <w:rPr>
              <w:rFonts w:ascii="Arial" w:eastAsiaTheme="minorHAnsi" w:hAnsi="Arial" w:cs="Arial"/>
              <w:color w:val="auto"/>
              <w:sz w:val="22"/>
              <w:szCs w:val="22"/>
            </w:rPr>
            <w:tab/>
          </w:r>
        </w:p>
        <w:p w14:paraId="13674A1F" w14:textId="0A68CF19" w:rsidR="0019797E" w:rsidRDefault="0019797E" w:rsidP="0019797E">
          <w:pPr>
            <w:pStyle w:val="TOCHeading"/>
            <w:spacing w:line="600" w:lineRule="auto"/>
            <w:jc w:val="both"/>
          </w:pPr>
        </w:p>
        <w:p w14:paraId="7C93460C" w14:textId="677F256E" w:rsidR="009C5A71" w:rsidRPr="00BE4A9A" w:rsidRDefault="00000000" w:rsidP="009C5A71">
          <w:pPr>
            <w:spacing w:line="600" w:lineRule="auto"/>
            <w:jc w:val="both"/>
          </w:pPr>
        </w:p>
      </w:sdtContent>
    </w:sdt>
    <w:p w14:paraId="05622E63" w14:textId="721BB1A1" w:rsidR="00194362" w:rsidRPr="00BE4A9A" w:rsidRDefault="00194362">
      <w:pPr>
        <w:rPr>
          <w:rFonts w:ascii="Arial" w:hAnsi="Arial" w:cs="Arial"/>
        </w:rPr>
      </w:pPr>
    </w:p>
    <w:p w14:paraId="308E49C0" w14:textId="77777777" w:rsidR="003D409E" w:rsidRPr="00BE4A9A" w:rsidRDefault="003D409E" w:rsidP="00194362">
      <w:pPr>
        <w:spacing w:line="360" w:lineRule="auto"/>
        <w:jc w:val="both"/>
        <w:rPr>
          <w:rFonts w:ascii="Arial" w:hAnsi="Arial" w:cs="Arial"/>
        </w:rPr>
      </w:pPr>
    </w:p>
    <w:p w14:paraId="676F9155" w14:textId="77777777" w:rsidR="003D409E" w:rsidRPr="00BE4A9A" w:rsidRDefault="003D409E" w:rsidP="00194362">
      <w:pPr>
        <w:spacing w:line="360" w:lineRule="auto"/>
        <w:jc w:val="both"/>
        <w:rPr>
          <w:rFonts w:ascii="Arial" w:hAnsi="Arial" w:cs="Arial"/>
        </w:rPr>
      </w:pPr>
      <w:r>
        <w:rPr>
          <w:rFonts w:ascii="Arial" w:hAnsi="Arial" w:cs="Arial"/>
        </w:rPr>
        <w:t> </w:t>
      </w:r>
    </w:p>
    <w:p w14:paraId="3E27686F" w14:textId="504755E0" w:rsidR="009C5A71" w:rsidRPr="00BE4A9A" w:rsidRDefault="003D409E" w:rsidP="00194362">
      <w:pPr>
        <w:spacing w:line="360" w:lineRule="auto"/>
        <w:jc w:val="both"/>
        <w:rPr>
          <w:rFonts w:ascii="Arial" w:hAnsi="Arial" w:cs="Arial"/>
        </w:rPr>
      </w:pPr>
      <w:r>
        <w:rPr>
          <w:rFonts w:ascii="Arial" w:hAnsi="Arial" w:cs="Arial"/>
        </w:rPr>
        <w:t xml:space="preserve"> </w:t>
      </w:r>
    </w:p>
    <w:p w14:paraId="56FD58DF" w14:textId="63EC3029" w:rsidR="003D409E" w:rsidRPr="00BE4A9A" w:rsidRDefault="009C5A71" w:rsidP="00DB210D">
      <w:pPr>
        <w:rPr>
          <w:rFonts w:ascii="Arial" w:hAnsi="Arial" w:cs="Arial"/>
        </w:rPr>
      </w:pPr>
      <w:r>
        <w:rPr>
          <w:rFonts w:ascii="Arial" w:hAnsi="Arial" w:cs="Arial"/>
        </w:rPr>
        <w:br w:type="page"/>
      </w:r>
    </w:p>
    <w:p w14:paraId="08DE3C26" w14:textId="77777777" w:rsidR="003D409E" w:rsidRDefault="003D409E" w:rsidP="009C5A71">
      <w:pPr>
        <w:pStyle w:val="Heading1"/>
        <w:rPr>
          <w:sz w:val="26"/>
          <w:szCs w:val="26"/>
        </w:rPr>
      </w:pPr>
      <w:bookmarkStart w:id="0" w:name="_Toc234146346"/>
      <w:r w:rsidRPr="00DB210D">
        <w:rPr>
          <w:sz w:val="26"/>
          <w:szCs w:val="26"/>
        </w:rPr>
        <w:lastRenderedPageBreak/>
        <w:t>Task 1: Reflection on the Importance of Principles of Health and Social Care</w:t>
      </w:r>
      <w:bookmarkEnd w:id="0"/>
    </w:p>
    <w:p w14:paraId="6C7340F0" w14:textId="77777777" w:rsidR="0019797E" w:rsidRPr="0019797E" w:rsidRDefault="0019797E" w:rsidP="0019797E"/>
    <w:p w14:paraId="26C8A0BF" w14:textId="77777777" w:rsidR="00795316" w:rsidRPr="00795316" w:rsidRDefault="00795316" w:rsidP="00795316">
      <w:pPr>
        <w:spacing w:line="360" w:lineRule="auto"/>
        <w:jc w:val="both"/>
        <w:rPr>
          <w:rFonts w:ascii="Arial" w:hAnsi="Arial" w:cs="Arial"/>
        </w:rPr>
      </w:pPr>
      <w:r w:rsidRPr="00795316">
        <w:rPr>
          <w:rFonts w:ascii="Arial" w:hAnsi="Arial" w:cs="Arial"/>
        </w:rPr>
        <w:t xml:space="preserve">In the modern healthcare system in the UK, the primary focus is on the individual's needs and wishes rather than on the convenience of the </w:t>
      </w:r>
      <w:proofErr w:type="spellStart"/>
      <w:r w:rsidRPr="00795316">
        <w:rPr>
          <w:rFonts w:ascii="Arial" w:hAnsi="Arial" w:cs="Arial"/>
        </w:rPr>
        <w:t>organisation</w:t>
      </w:r>
      <w:proofErr w:type="spellEnd"/>
      <w:r w:rsidRPr="00795316">
        <w:rPr>
          <w:rFonts w:ascii="Arial" w:hAnsi="Arial" w:cs="Arial"/>
        </w:rPr>
        <w:t xml:space="preserve">, and person </w:t>
      </w:r>
      <w:proofErr w:type="spellStart"/>
      <w:r w:rsidRPr="00795316">
        <w:rPr>
          <w:rFonts w:ascii="Arial" w:hAnsi="Arial" w:cs="Arial"/>
        </w:rPr>
        <w:t>centred</w:t>
      </w:r>
      <w:proofErr w:type="spellEnd"/>
      <w:r w:rsidRPr="00795316">
        <w:rPr>
          <w:rFonts w:ascii="Arial" w:hAnsi="Arial" w:cs="Arial"/>
        </w:rPr>
        <w:t xml:space="preserve"> care is the underpinning for this (Kitson et al., 2013). This has a humanistic psychology basis, developed by Maslow (1943) which states that dignity and choice are essential prerequisites to recovery and not an added bonus. The Care Act 2014 is a piece of legislation that puts this principle into practice and requires local authorities to promote an individual's wellbeing and their control of their care (Great Britain, 2014). </w:t>
      </w:r>
    </w:p>
    <w:p w14:paraId="447D91CE" w14:textId="77777777" w:rsidR="00795316" w:rsidRDefault="00795316" w:rsidP="00795316">
      <w:pPr>
        <w:spacing w:line="360" w:lineRule="auto"/>
        <w:jc w:val="both"/>
        <w:rPr>
          <w:rFonts w:ascii="Arial" w:hAnsi="Arial" w:cs="Arial"/>
        </w:rPr>
      </w:pPr>
      <w:r w:rsidRPr="00795316">
        <w:rPr>
          <w:rFonts w:ascii="Arial" w:hAnsi="Arial" w:cs="Arial"/>
        </w:rPr>
        <w:t xml:space="preserve">But the intentions of the legislature do not automatically manifest themselves in practice. Under fiscal constraint, formal care institutions will often treat carers instrumentally as a threat to the formal system, rather than as a partner (Marczak et al., 2022). This is an all-important execution issue that reflects that, apart from the intent to pass the Act, the effectiveness of the Act depends on the local </w:t>
      </w:r>
      <w:proofErr w:type="spellStart"/>
      <w:r w:rsidRPr="00795316">
        <w:rPr>
          <w:rFonts w:ascii="Arial" w:hAnsi="Arial" w:cs="Arial"/>
        </w:rPr>
        <w:t>organisational</w:t>
      </w:r>
      <w:proofErr w:type="spellEnd"/>
      <w:r w:rsidRPr="00795316">
        <w:rPr>
          <w:rFonts w:ascii="Arial" w:hAnsi="Arial" w:cs="Arial"/>
        </w:rPr>
        <w:t xml:space="preserve"> culture. Knowing this is important for my future practice. It is a reminder to be mindful of systemic cost cutting that focuses on procedure rather than the individual and make sure my delivery of care is truly person </w:t>
      </w:r>
      <w:proofErr w:type="spellStart"/>
      <w:r w:rsidRPr="00795316">
        <w:rPr>
          <w:rFonts w:ascii="Arial" w:hAnsi="Arial" w:cs="Arial"/>
        </w:rPr>
        <w:t>centred</w:t>
      </w:r>
      <w:proofErr w:type="spellEnd"/>
      <w:r w:rsidRPr="00795316">
        <w:rPr>
          <w:rFonts w:ascii="Arial" w:hAnsi="Arial" w:cs="Arial"/>
        </w:rPr>
        <w:t>, even when there are other factors affecting the system.</w:t>
      </w:r>
    </w:p>
    <w:p w14:paraId="7A92D18C" w14:textId="79B2F03C" w:rsidR="003D409E" w:rsidRPr="00BE4A9A" w:rsidRDefault="003D409E" w:rsidP="00194362">
      <w:pPr>
        <w:spacing w:line="360" w:lineRule="auto"/>
        <w:jc w:val="both"/>
        <w:rPr>
          <w:rFonts w:ascii="Arial" w:hAnsi="Arial" w:cs="Arial"/>
        </w:rPr>
      </w:pPr>
      <w:r>
        <w:rPr>
          <w:rFonts w:ascii="Arial" w:hAnsi="Arial" w:cs="Arial"/>
        </w:rPr>
        <w:t xml:space="preserve">Equally essential is partnership working since there is no single profession or </w:t>
      </w:r>
      <w:proofErr w:type="spellStart"/>
      <w:r>
        <w:rPr>
          <w:rFonts w:ascii="Arial" w:hAnsi="Arial" w:cs="Arial"/>
        </w:rPr>
        <w:t>organisation</w:t>
      </w:r>
      <w:proofErr w:type="spellEnd"/>
      <w:r>
        <w:rPr>
          <w:rFonts w:ascii="Arial" w:hAnsi="Arial" w:cs="Arial"/>
        </w:rPr>
        <w:t xml:space="preserve"> that can cater to all the needs of an individual. According to WHO's framework on interprofessional education and collaborative practice (2010), the collaboration of practices strengthens health care systems through combining professional knowledge. In the United Kingdom, such collaboration has been achieved through the Health and Social Care Act 2012 and, more recently, the Health and Care Act 2022 that has established the Integrated Care Systems (ICS) to bring together the NHS </w:t>
      </w:r>
      <w:proofErr w:type="spellStart"/>
      <w:r>
        <w:rPr>
          <w:rFonts w:ascii="Arial" w:hAnsi="Arial" w:cs="Arial"/>
        </w:rPr>
        <w:t>organisations</w:t>
      </w:r>
      <w:proofErr w:type="spellEnd"/>
      <w:r>
        <w:rPr>
          <w:rFonts w:ascii="Arial" w:hAnsi="Arial" w:cs="Arial"/>
        </w:rPr>
        <w:t xml:space="preserve">, local authorities, and voluntary </w:t>
      </w:r>
      <w:proofErr w:type="spellStart"/>
      <w:r>
        <w:rPr>
          <w:rFonts w:ascii="Arial" w:hAnsi="Arial" w:cs="Arial"/>
        </w:rPr>
        <w:t>organisations</w:t>
      </w:r>
      <w:proofErr w:type="spellEnd"/>
      <w:r>
        <w:rPr>
          <w:rFonts w:ascii="Arial" w:hAnsi="Arial" w:cs="Arial"/>
        </w:rPr>
        <w:t xml:space="preserve"> (Great Britain, 2022). Nevertheless, evidence suggests that formal integration structures do not ensure effective collaboration in practice. Sanderson et al.'s (2023) qualitative case-study research across three ICSs discovered that system members frequently grappled with balancing system-wide responsibilities against individual </w:t>
      </w:r>
      <w:proofErr w:type="spellStart"/>
      <w:r>
        <w:rPr>
          <w:rFonts w:ascii="Arial" w:hAnsi="Arial" w:cs="Arial"/>
        </w:rPr>
        <w:t>organisational</w:t>
      </w:r>
      <w:proofErr w:type="spellEnd"/>
      <w:r>
        <w:rPr>
          <w:rFonts w:ascii="Arial" w:hAnsi="Arial" w:cs="Arial"/>
        </w:rPr>
        <w:t xml:space="preserve"> interests, and that certain partners retreated from challenging collective decisions, such as agreeing upon financial sustainability measures, in </w:t>
      </w:r>
      <w:proofErr w:type="spellStart"/>
      <w:r>
        <w:rPr>
          <w:rFonts w:ascii="Arial" w:hAnsi="Arial" w:cs="Arial"/>
        </w:rPr>
        <w:t>favour</w:t>
      </w:r>
      <w:proofErr w:type="spellEnd"/>
      <w:r>
        <w:rPr>
          <w:rFonts w:ascii="Arial" w:hAnsi="Arial" w:cs="Arial"/>
        </w:rPr>
        <w:t xml:space="preserve"> of safeguarding their own statutory accountabilities. Similarly, a rapid evidence review of integrated care in the UK identified a persistent dearth of </w:t>
      </w:r>
      <w:proofErr w:type="spellStart"/>
      <w:r>
        <w:rPr>
          <w:rFonts w:ascii="Arial" w:hAnsi="Arial" w:cs="Arial"/>
        </w:rPr>
        <w:t>standardised</w:t>
      </w:r>
      <w:proofErr w:type="spellEnd"/>
      <w:r>
        <w:rPr>
          <w:rFonts w:ascii="Arial" w:hAnsi="Arial" w:cs="Arial"/>
        </w:rPr>
        <w:t xml:space="preserve"> evaluation methods, implying that claims regarding the efficacy of partnership working are often asserted rather than demonstrated (Thomson and Chatterjee, 2024). This indicates that partnership working is best </w:t>
      </w:r>
      <w:r>
        <w:rPr>
          <w:rFonts w:ascii="Arial" w:hAnsi="Arial" w:cs="Arial"/>
        </w:rPr>
        <w:lastRenderedPageBreak/>
        <w:t>understood as an ongoing, contested process rather than a straightforward benefit that inherently ensues from structural reform.</w:t>
      </w:r>
    </w:p>
    <w:p w14:paraId="7EC21000" w14:textId="77777777" w:rsidR="00200631" w:rsidRDefault="00200631" w:rsidP="00194362">
      <w:pPr>
        <w:spacing w:line="360" w:lineRule="auto"/>
        <w:jc w:val="both"/>
        <w:rPr>
          <w:rFonts w:ascii="Arial" w:hAnsi="Arial" w:cs="Arial"/>
        </w:rPr>
      </w:pPr>
      <w:bookmarkStart w:id="1" w:name="_Hlk234278060"/>
      <w:r w:rsidRPr="00200631">
        <w:rPr>
          <w:rFonts w:ascii="Arial" w:hAnsi="Arial" w:cs="Arial"/>
        </w:rPr>
        <w:t>Both the above principles are underpinned by ethics, the person-</w:t>
      </w:r>
      <w:proofErr w:type="spellStart"/>
      <w:r w:rsidRPr="00200631">
        <w:rPr>
          <w:rFonts w:ascii="Arial" w:hAnsi="Arial" w:cs="Arial"/>
        </w:rPr>
        <w:t>centredness</w:t>
      </w:r>
      <w:proofErr w:type="spellEnd"/>
      <w:r w:rsidRPr="00200631">
        <w:rPr>
          <w:rFonts w:ascii="Arial" w:hAnsi="Arial" w:cs="Arial"/>
        </w:rPr>
        <w:t xml:space="preserve"> and collaborative care will only be trusted if it is done ethically. The four principles of biomedical ethics (autonomy, beneficence, non-maleficence and justice) have been highly influential in the ethical decision making </w:t>
      </w:r>
      <w:proofErr w:type="gramStart"/>
      <w:r w:rsidRPr="00200631">
        <w:rPr>
          <w:rFonts w:ascii="Arial" w:hAnsi="Arial" w:cs="Arial"/>
        </w:rPr>
        <w:t>framework, and</w:t>
      </w:r>
      <w:proofErr w:type="gramEnd"/>
      <w:r w:rsidRPr="00200631">
        <w:rPr>
          <w:rFonts w:ascii="Arial" w:hAnsi="Arial" w:cs="Arial"/>
        </w:rPr>
        <w:t xml:space="preserve"> are </w:t>
      </w:r>
      <w:proofErr w:type="spellStart"/>
      <w:r w:rsidRPr="00200631">
        <w:rPr>
          <w:rFonts w:ascii="Arial" w:hAnsi="Arial" w:cs="Arial"/>
        </w:rPr>
        <w:t>operationalised</w:t>
      </w:r>
      <w:proofErr w:type="spellEnd"/>
      <w:r w:rsidRPr="00200631">
        <w:rPr>
          <w:rFonts w:ascii="Arial" w:hAnsi="Arial" w:cs="Arial"/>
        </w:rPr>
        <w:t xml:space="preserve"> into standards in the Nursing and Midwifery Council's The Code (NMC 2018) and the Health and Care Professions Council's Standards (HCPC, 2024). While these seem to be comprehensive frameworks, the Francis Inquiry into failings at Mid </w:t>
      </w:r>
      <w:proofErr w:type="spellStart"/>
      <w:r w:rsidRPr="00200631">
        <w:rPr>
          <w:rFonts w:ascii="Arial" w:hAnsi="Arial" w:cs="Arial"/>
        </w:rPr>
        <w:t>Staffsfordshire</w:t>
      </w:r>
      <w:proofErr w:type="spellEnd"/>
      <w:r w:rsidRPr="00200631">
        <w:rPr>
          <w:rFonts w:ascii="Arial" w:hAnsi="Arial" w:cs="Arial"/>
        </w:rPr>
        <w:t xml:space="preserve"> NHS Foundation Trust showed that there is no guarantee that a code of ethics will protect patients from harm when </w:t>
      </w:r>
      <w:proofErr w:type="spellStart"/>
      <w:r w:rsidRPr="00200631">
        <w:rPr>
          <w:rFonts w:ascii="Arial" w:hAnsi="Arial" w:cs="Arial"/>
        </w:rPr>
        <w:t>organisational</w:t>
      </w:r>
      <w:proofErr w:type="spellEnd"/>
      <w:r w:rsidRPr="00200631">
        <w:rPr>
          <w:rFonts w:ascii="Arial" w:hAnsi="Arial" w:cs="Arial"/>
        </w:rPr>
        <w:t xml:space="preserve"> culture focuses on targets rather than individuals (Mid Staffordshire, 2013). This is a concern, because ethical frameworks, however well they are written in policy and procedures, need to be actively led by the </w:t>
      </w:r>
      <w:proofErr w:type="spellStart"/>
      <w:r w:rsidRPr="00200631">
        <w:rPr>
          <w:rFonts w:ascii="Arial" w:hAnsi="Arial" w:cs="Arial"/>
        </w:rPr>
        <w:t>organisation</w:t>
      </w:r>
      <w:proofErr w:type="spellEnd"/>
      <w:r w:rsidRPr="00200631">
        <w:rPr>
          <w:rFonts w:ascii="Arial" w:hAnsi="Arial" w:cs="Arial"/>
        </w:rPr>
        <w:t xml:space="preserve"> and adequately staffed to ensure they are consistently applied (Rayner, 2022). In my future practice, this insight compels me to approach ethical decisions by critically questioning whether </w:t>
      </w:r>
      <w:proofErr w:type="spellStart"/>
      <w:r w:rsidRPr="00200631">
        <w:rPr>
          <w:rFonts w:ascii="Arial" w:hAnsi="Arial" w:cs="Arial"/>
        </w:rPr>
        <w:t>organisational</w:t>
      </w:r>
      <w:proofErr w:type="spellEnd"/>
      <w:r w:rsidRPr="00200631">
        <w:rPr>
          <w:rFonts w:ascii="Arial" w:hAnsi="Arial" w:cs="Arial"/>
        </w:rPr>
        <w:t xml:space="preserve"> pressures are overshadowing individual needs, rather than assuming that passive compliance with codes is sufficient to ensure truly ethical care.</w:t>
      </w:r>
    </w:p>
    <w:p w14:paraId="4FAF4194" w14:textId="77777777" w:rsidR="0019797E" w:rsidRDefault="0019797E" w:rsidP="00194362">
      <w:pPr>
        <w:spacing w:line="360" w:lineRule="auto"/>
        <w:jc w:val="both"/>
        <w:rPr>
          <w:rFonts w:ascii="Arial" w:hAnsi="Arial" w:cs="Arial"/>
        </w:rPr>
      </w:pPr>
    </w:p>
    <w:p w14:paraId="1A5A431F" w14:textId="77777777" w:rsidR="0019797E" w:rsidRDefault="0019797E" w:rsidP="00194362">
      <w:pPr>
        <w:spacing w:line="360" w:lineRule="auto"/>
        <w:jc w:val="both"/>
        <w:rPr>
          <w:rFonts w:ascii="Arial" w:hAnsi="Arial" w:cs="Arial"/>
        </w:rPr>
      </w:pPr>
    </w:p>
    <w:p w14:paraId="3C6BC387" w14:textId="77777777" w:rsidR="0019797E" w:rsidRDefault="0019797E" w:rsidP="00194362">
      <w:pPr>
        <w:spacing w:line="360" w:lineRule="auto"/>
        <w:jc w:val="both"/>
        <w:rPr>
          <w:rFonts w:ascii="Arial" w:hAnsi="Arial" w:cs="Arial"/>
        </w:rPr>
      </w:pPr>
    </w:p>
    <w:p w14:paraId="5DDF09AF" w14:textId="77777777" w:rsidR="0019797E" w:rsidRDefault="0019797E" w:rsidP="00194362">
      <w:pPr>
        <w:spacing w:line="360" w:lineRule="auto"/>
        <w:jc w:val="both"/>
        <w:rPr>
          <w:rFonts w:ascii="Arial" w:hAnsi="Arial" w:cs="Arial"/>
        </w:rPr>
      </w:pPr>
    </w:p>
    <w:p w14:paraId="0EA6C5F5" w14:textId="77777777" w:rsidR="0019797E" w:rsidRDefault="0019797E" w:rsidP="00194362">
      <w:pPr>
        <w:spacing w:line="360" w:lineRule="auto"/>
        <w:jc w:val="both"/>
        <w:rPr>
          <w:rFonts w:ascii="Arial" w:hAnsi="Arial" w:cs="Arial"/>
        </w:rPr>
      </w:pPr>
    </w:p>
    <w:p w14:paraId="402DCE29" w14:textId="77777777" w:rsidR="0019797E" w:rsidRDefault="0019797E" w:rsidP="00194362">
      <w:pPr>
        <w:spacing w:line="360" w:lineRule="auto"/>
        <w:jc w:val="both"/>
        <w:rPr>
          <w:rFonts w:ascii="Arial" w:hAnsi="Arial" w:cs="Arial"/>
        </w:rPr>
      </w:pPr>
    </w:p>
    <w:p w14:paraId="09B9A4D5" w14:textId="77777777" w:rsidR="0019797E" w:rsidRDefault="0019797E" w:rsidP="00194362">
      <w:pPr>
        <w:spacing w:line="360" w:lineRule="auto"/>
        <w:jc w:val="both"/>
        <w:rPr>
          <w:rFonts w:ascii="Arial" w:hAnsi="Arial" w:cs="Arial"/>
        </w:rPr>
      </w:pPr>
    </w:p>
    <w:p w14:paraId="32D6DA6B" w14:textId="77777777" w:rsidR="0019797E" w:rsidRDefault="0019797E" w:rsidP="00194362">
      <w:pPr>
        <w:spacing w:line="360" w:lineRule="auto"/>
        <w:jc w:val="both"/>
        <w:rPr>
          <w:rFonts w:ascii="Arial" w:hAnsi="Arial" w:cs="Arial"/>
        </w:rPr>
      </w:pPr>
    </w:p>
    <w:p w14:paraId="6496ACDF" w14:textId="77777777" w:rsidR="0019797E" w:rsidRDefault="0019797E" w:rsidP="00194362">
      <w:pPr>
        <w:spacing w:line="360" w:lineRule="auto"/>
        <w:jc w:val="both"/>
        <w:rPr>
          <w:rFonts w:ascii="Arial" w:hAnsi="Arial" w:cs="Arial"/>
        </w:rPr>
      </w:pPr>
    </w:p>
    <w:p w14:paraId="5AF23CAC" w14:textId="77777777" w:rsidR="0019797E" w:rsidRDefault="0019797E" w:rsidP="00194362">
      <w:pPr>
        <w:spacing w:line="360" w:lineRule="auto"/>
        <w:jc w:val="both"/>
        <w:rPr>
          <w:rFonts w:ascii="Arial" w:hAnsi="Arial" w:cs="Arial"/>
        </w:rPr>
      </w:pPr>
    </w:p>
    <w:p w14:paraId="54B2CFEE" w14:textId="77777777" w:rsidR="0019797E" w:rsidRDefault="0019797E" w:rsidP="00194362">
      <w:pPr>
        <w:spacing w:line="360" w:lineRule="auto"/>
        <w:jc w:val="both"/>
        <w:rPr>
          <w:rFonts w:ascii="Arial" w:hAnsi="Arial" w:cs="Arial"/>
        </w:rPr>
      </w:pPr>
    </w:p>
    <w:p w14:paraId="103CD695" w14:textId="77777777" w:rsidR="003D409E" w:rsidRDefault="003D409E" w:rsidP="009C5A71">
      <w:pPr>
        <w:pStyle w:val="Heading1"/>
        <w:rPr>
          <w:sz w:val="26"/>
          <w:szCs w:val="26"/>
        </w:rPr>
      </w:pPr>
      <w:bookmarkStart w:id="2" w:name="_Toc234146347"/>
      <w:bookmarkEnd w:id="1"/>
      <w:r w:rsidRPr="00DB210D">
        <w:rPr>
          <w:sz w:val="26"/>
          <w:szCs w:val="26"/>
        </w:rPr>
        <w:lastRenderedPageBreak/>
        <w:t>Task 2: Practical Examples of Concepts in Practice</w:t>
      </w:r>
      <w:bookmarkEnd w:id="2"/>
    </w:p>
    <w:p w14:paraId="3D4CC913" w14:textId="77777777" w:rsidR="0019797E" w:rsidRPr="0019797E" w:rsidRDefault="0019797E" w:rsidP="0019797E"/>
    <w:p w14:paraId="23896EB6" w14:textId="77777777" w:rsidR="00200631" w:rsidRPr="00200631" w:rsidRDefault="00200631" w:rsidP="00200631">
      <w:pPr>
        <w:spacing w:line="360" w:lineRule="auto"/>
        <w:jc w:val="both"/>
        <w:rPr>
          <w:rFonts w:ascii="Arial" w:hAnsi="Arial" w:cs="Arial"/>
        </w:rPr>
      </w:pPr>
      <w:r w:rsidRPr="00200631">
        <w:rPr>
          <w:rFonts w:ascii="Arial" w:hAnsi="Arial" w:cs="Arial"/>
        </w:rPr>
        <w:t>Discharge planning for a hip fracture illustrates these principles in practice. A person-</w:t>
      </w:r>
      <w:proofErr w:type="spellStart"/>
      <w:r w:rsidRPr="00200631">
        <w:rPr>
          <w:rFonts w:ascii="Arial" w:hAnsi="Arial" w:cs="Arial"/>
        </w:rPr>
        <w:t>centred</w:t>
      </w:r>
      <w:proofErr w:type="spellEnd"/>
      <w:r w:rsidRPr="00200631">
        <w:rPr>
          <w:rFonts w:ascii="Arial" w:hAnsi="Arial" w:cs="Arial"/>
        </w:rPr>
        <w:t xml:space="preserve"> approach mandates inviting the individual to multi-disciplinary meetings to </w:t>
      </w:r>
      <w:proofErr w:type="spellStart"/>
      <w:r w:rsidRPr="00200631">
        <w:rPr>
          <w:rFonts w:ascii="Arial" w:hAnsi="Arial" w:cs="Arial"/>
        </w:rPr>
        <w:t>prioritise</w:t>
      </w:r>
      <w:proofErr w:type="spellEnd"/>
      <w:r w:rsidRPr="00200631">
        <w:rPr>
          <w:rFonts w:ascii="Arial" w:hAnsi="Arial" w:cs="Arial"/>
        </w:rPr>
        <w:t xml:space="preserve"> their preference for returning home, adhering to Care Act 2014 duties (Great Britain, 2014) and Kitson et al. (2013). Nevertheless, according to Marczak et al. (2022), resource constraints tend to give precedence to administrative “feasibility” over resident preference. In order to solve this problem, there must be a change from a pathway model that focuses on integrated </w:t>
      </w:r>
      <w:proofErr w:type="spellStart"/>
      <w:r w:rsidRPr="00200631">
        <w:rPr>
          <w:rFonts w:ascii="Arial" w:hAnsi="Arial" w:cs="Arial"/>
        </w:rPr>
        <w:t>reablement</w:t>
      </w:r>
      <w:proofErr w:type="spellEnd"/>
      <w:r w:rsidRPr="00200631">
        <w:rPr>
          <w:rFonts w:ascii="Arial" w:hAnsi="Arial" w:cs="Arial"/>
        </w:rPr>
        <w:t>, where success is determined by resident wellness instead of capacity measures.</w:t>
      </w:r>
    </w:p>
    <w:p w14:paraId="7F58C994" w14:textId="77777777" w:rsidR="003D409E" w:rsidRPr="00BE4A9A" w:rsidRDefault="003D409E" w:rsidP="00194362">
      <w:pPr>
        <w:spacing w:line="360" w:lineRule="auto"/>
        <w:jc w:val="both"/>
        <w:rPr>
          <w:rFonts w:ascii="Arial" w:hAnsi="Arial" w:cs="Arial"/>
        </w:rPr>
      </w:pPr>
      <w:r>
        <w:rPr>
          <w:rFonts w:ascii="Arial" w:hAnsi="Arial" w:cs="Arial"/>
        </w:rPr>
        <w:t xml:space="preserve">Partnership working is seen when the discharge team, community nurses, occupational therapists, social workers and informal carers all work together to design a </w:t>
      </w:r>
      <w:proofErr w:type="spellStart"/>
      <w:r>
        <w:rPr>
          <w:rFonts w:ascii="Arial" w:hAnsi="Arial" w:cs="Arial"/>
        </w:rPr>
        <w:t>reablement</w:t>
      </w:r>
      <w:proofErr w:type="spellEnd"/>
      <w:r>
        <w:rPr>
          <w:rFonts w:ascii="Arial" w:hAnsi="Arial" w:cs="Arial"/>
        </w:rPr>
        <w:t xml:space="preserve"> package, with Integrated Care Boards (ICBs) under the Health and Care Act 2022 (Great Britain 2022) in principle. Within this, ‘discharge to assess’ pathways are </w:t>
      </w:r>
      <w:proofErr w:type="spellStart"/>
      <w:r>
        <w:rPr>
          <w:rFonts w:ascii="Arial" w:hAnsi="Arial" w:cs="Arial"/>
        </w:rPr>
        <w:t>recognised</w:t>
      </w:r>
      <w:proofErr w:type="spellEnd"/>
      <w:r>
        <w:rPr>
          <w:rFonts w:ascii="Arial" w:hAnsi="Arial" w:cs="Arial"/>
        </w:rPr>
        <w:t xml:space="preserve"> as good evidence by the Social Care Institute for Excellence (SCIE, 2022) of partnership working to decrease avoidable </w:t>
      </w:r>
      <w:proofErr w:type="spellStart"/>
      <w:r>
        <w:rPr>
          <w:rFonts w:ascii="Arial" w:hAnsi="Arial" w:cs="Arial"/>
        </w:rPr>
        <w:t>hospitalisation</w:t>
      </w:r>
      <w:proofErr w:type="spellEnd"/>
      <w:r>
        <w:rPr>
          <w:rFonts w:ascii="Arial" w:hAnsi="Arial" w:cs="Arial"/>
        </w:rPr>
        <w:t>. However, Sanderson et al.'s (2023) findings on inter-</w:t>
      </w:r>
      <w:proofErr w:type="spellStart"/>
      <w:r>
        <w:rPr>
          <w:rFonts w:ascii="Arial" w:hAnsi="Arial" w:cs="Arial"/>
        </w:rPr>
        <w:t>organisational</w:t>
      </w:r>
      <w:proofErr w:type="spellEnd"/>
      <w:r>
        <w:rPr>
          <w:rFonts w:ascii="Arial" w:hAnsi="Arial" w:cs="Arial"/>
        </w:rPr>
        <w:t xml:space="preserve"> tension suggest such pathways can be undermined where hospitals, driven by bed-occupancy targets, and community services, driven by capacity constraints, pursue conflicting priorities. A further tension frequently arises between the </w:t>
      </w:r>
      <w:proofErr w:type="spellStart"/>
      <w:r>
        <w:rPr>
          <w:rFonts w:ascii="Arial" w:hAnsi="Arial" w:cs="Arial"/>
        </w:rPr>
        <w:t>resident’s</w:t>
      </w:r>
      <w:proofErr w:type="spellEnd"/>
      <w:r>
        <w:rPr>
          <w:rFonts w:ascii="Arial" w:hAnsi="Arial" w:cs="Arial"/>
        </w:rPr>
        <w:t xml:space="preserve"> own wishes and family members' preferences; for instance, where an individual seeks to return home but relatives, concerned about safety, advocate for residential care; resolving this requires practitioners to assign appropriate weight to the person’s autonomy while treating family concerns as a valuable source of information, rather than treating either party's view as automatically decisive (Cave, 2020).</w:t>
      </w:r>
    </w:p>
    <w:p w14:paraId="0C3A2E2D" w14:textId="77777777" w:rsidR="003D409E" w:rsidRPr="00BE4A9A" w:rsidRDefault="003D409E" w:rsidP="00194362">
      <w:pPr>
        <w:spacing w:line="360" w:lineRule="auto"/>
        <w:jc w:val="both"/>
        <w:rPr>
          <w:rFonts w:ascii="Arial" w:hAnsi="Arial" w:cs="Arial"/>
        </w:rPr>
      </w:pPr>
      <w:r>
        <w:rPr>
          <w:rFonts w:ascii="Arial" w:hAnsi="Arial" w:cs="Arial"/>
        </w:rPr>
        <w:t xml:space="preserve">Ethical practice is evident in how consent is obtained for the </w:t>
      </w:r>
      <w:proofErr w:type="spellStart"/>
      <w:r>
        <w:rPr>
          <w:rFonts w:ascii="Arial" w:hAnsi="Arial" w:cs="Arial"/>
        </w:rPr>
        <w:t>reablement</w:t>
      </w:r>
      <w:proofErr w:type="spellEnd"/>
      <w:r>
        <w:rPr>
          <w:rFonts w:ascii="Arial" w:hAnsi="Arial" w:cs="Arial"/>
        </w:rPr>
        <w:t xml:space="preserve"> plan, and in balancing autonomy against the professional duty to prevent harm where there is a falls risk at home.  This illustrates the constant ethical dilemma between the principles of non-maleficence and respecting autonomy in the ethics literature: When a person makes a choice that the professionals deem unwise, but not impugning, non-maleficence must be balanced with respect for autonomy (Beauchamp and Childress, 2019). The Mental Capacity Act 2005 sets out a clear, principle-based approach to navigating these scenarios, but this is only effective when practitioners are confident and have sufficient time to do so, which is hindered in high caseload areas (DHSC, 2022).</w:t>
      </w:r>
    </w:p>
    <w:p w14:paraId="34981076" w14:textId="5DACC154" w:rsidR="003D409E" w:rsidRDefault="003D409E" w:rsidP="00194362">
      <w:pPr>
        <w:spacing w:line="360" w:lineRule="auto"/>
        <w:jc w:val="both"/>
        <w:rPr>
          <w:rFonts w:ascii="Arial" w:hAnsi="Arial" w:cs="Arial"/>
        </w:rPr>
      </w:pPr>
      <w:r>
        <w:rPr>
          <w:rFonts w:ascii="Arial" w:hAnsi="Arial" w:cs="Arial"/>
        </w:rPr>
        <w:lastRenderedPageBreak/>
        <w:t>In practice, the three principles are difficult to consistently apply, even though they are provided in these frameworks. The number of adults working in social care is persistently low, and vacancy rates are still high, hindering time for truly person-</w:t>
      </w:r>
      <w:proofErr w:type="spellStart"/>
      <w:r>
        <w:rPr>
          <w:rFonts w:ascii="Arial" w:hAnsi="Arial" w:cs="Arial"/>
        </w:rPr>
        <w:t>centred</w:t>
      </w:r>
      <w:proofErr w:type="spellEnd"/>
      <w:r>
        <w:rPr>
          <w:rFonts w:ascii="Arial" w:hAnsi="Arial" w:cs="Arial"/>
        </w:rPr>
        <w:t xml:space="preserve"> conversations and multi-agency coordination of work, Skills for Care (2025) reports. This evidence suggests that the challenges to improving care are not so much related to the lack of suitable policy or ethical direction, as they are to a structural lack of workforce capacity and sustainable funding. Recommendations to address this must be targeted: increased investment in social care recruitment and retention, as proposed in the DHSC's (2022) People at the Heart of Care white paper, would only prove effective if accompanied by realistic caseload limits and protected time for multi-disciplinary meetings; without addressing these structural conditions, calls for "more person-</w:t>
      </w:r>
      <w:proofErr w:type="spellStart"/>
      <w:r>
        <w:rPr>
          <w:rFonts w:ascii="Arial" w:hAnsi="Arial" w:cs="Arial"/>
        </w:rPr>
        <w:t>centred</w:t>
      </w:r>
      <w:proofErr w:type="spellEnd"/>
      <w:r>
        <w:rPr>
          <w:rFonts w:ascii="Arial" w:hAnsi="Arial" w:cs="Arial"/>
        </w:rPr>
        <w:t xml:space="preserve"> practice" risk becoming an unfunded expectation placed on individual practitioners rather than a system-level improvement.</w:t>
      </w:r>
    </w:p>
    <w:p w14:paraId="12CF4140" w14:textId="77777777" w:rsidR="00DB210D" w:rsidRDefault="00DB210D" w:rsidP="00194362">
      <w:pPr>
        <w:spacing w:line="360" w:lineRule="auto"/>
        <w:jc w:val="both"/>
        <w:rPr>
          <w:rFonts w:ascii="Arial" w:hAnsi="Arial" w:cs="Arial"/>
        </w:rPr>
      </w:pPr>
    </w:p>
    <w:p w14:paraId="08FA307A" w14:textId="77777777" w:rsidR="00DB210D" w:rsidRDefault="00DB210D" w:rsidP="00194362">
      <w:pPr>
        <w:spacing w:line="360" w:lineRule="auto"/>
        <w:jc w:val="both"/>
        <w:rPr>
          <w:rFonts w:ascii="Arial" w:hAnsi="Arial" w:cs="Arial"/>
        </w:rPr>
      </w:pPr>
    </w:p>
    <w:p w14:paraId="0DF1DA73" w14:textId="77777777" w:rsidR="0019797E" w:rsidRDefault="0019797E" w:rsidP="00194362">
      <w:pPr>
        <w:spacing w:line="360" w:lineRule="auto"/>
        <w:jc w:val="both"/>
        <w:rPr>
          <w:rFonts w:ascii="Arial" w:hAnsi="Arial" w:cs="Arial"/>
        </w:rPr>
      </w:pPr>
    </w:p>
    <w:p w14:paraId="0B3883F5" w14:textId="77777777" w:rsidR="0019797E" w:rsidRDefault="0019797E" w:rsidP="00194362">
      <w:pPr>
        <w:spacing w:line="360" w:lineRule="auto"/>
        <w:jc w:val="both"/>
        <w:rPr>
          <w:rFonts w:ascii="Arial" w:hAnsi="Arial" w:cs="Arial"/>
        </w:rPr>
      </w:pPr>
    </w:p>
    <w:p w14:paraId="14DC54C4" w14:textId="77777777" w:rsidR="0019797E" w:rsidRDefault="0019797E" w:rsidP="00194362">
      <w:pPr>
        <w:spacing w:line="360" w:lineRule="auto"/>
        <w:jc w:val="both"/>
        <w:rPr>
          <w:rFonts w:ascii="Arial" w:hAnsi="Arial" w:cs="Arial"/>
        </w:rPr>
      </w:pPr>
    </w:p>
    <w:p w14:paraId="7198A64D" w14:textId="77777777" w:rsidR="0019797E" w:rsidRDefault="0019797E" w:rsidP="00194362">
      <w:pPr>
        <w:spacing w:line="360" w:lineRule="auto"/>
        <w:jc w:val="both"/>
        <w:rPr>
          <w:rFonts w:ascii="Arial" w:hAnsi="Arial" w:cs="Arial"/>
        </w:rPr>
      </w:pPr>
    </w:p>
    <w:p w14:paraId="508F59F6" w14:textId="77777777" w:rsidR="0019797E" w:rsidRDefault="0019797E" w:rsidP="00194362">
      <w:pPr>
        <w:spacing w:line="360" w:lineRule="auto"/>
        <w:jc w:val="both"/>
        <w:rPr>
          <w:rFonts w:ascii="Arial" w:hAnsi="Arial" w:cs="Arial"/>
        </w:rPr>
      </w:pPr>
    </w:p>
    <w:p w14:paraId="57E3D232" w14:textId="77777777" w:rsidR="0019797E" w:rsidRDefault="0019797E" w:rsidP="00194362">
      <w:pPr>
        <w:spacing w:line="360" w:lineRule="auto"/>
        <w:jc w:val="both"/>
        <w:rPr>
          <w:rFonts w:ascii="Arial" w:hAnsi="Arial" w:cs="Arial"/>
        </w:rPr>
      </w:pPr>
    </w:p>
    <w:p w14:paraId="5862326C" w14:textId="77777777" w:rsidR="0019797E" w:rsidRDefault="0019797E" w:rsidP="00194362">
      <w:pPr>
        <w:spacing w:line="360" w:lineRule="auto"/>
        <w:jc w:val="both"/>
        <w:rPr>
          <w:rFonts w:ascii="Arial" w:hAnsi="Arial" w:cs="Arial"/>
        </w:rPr>
      </w:pPr>
    </w:p>
    <w:p w14:paraId="77BE3D02" w14:textId="77777777" w:rsidR="0019797E" w:rsidRDefault="0019797E" w:rsidP="00194362">
      <w:pPr>
        <w:spacing w:line="360" w:lineRule="auto"/>
        <w:jc w:val="both"/>
        <w:rPr>
          <w:rFonts w:ascii="Arial" w:hAnsi="Arial" w:cs="Arial"/>
        </w:rPr>
      </w:pPr>
    </w:p>
    <w:p w14:paraId="622CE336" w14:textId="77777777" w:rsidR="0019797E" w:rsidRDefault="0019797E" w:rsidP="00194362">
      <w:pPr>
        <w:spacing w:line="360" w:lineRule="auto"/>
        <w:jc w:val="both"/>
        <w:rPr>
          <w:rFonts w:ascii="Arial" w:hAnsi="Arial" w:cs="Arial"/>
        </w:rPr>
      </w:pPr>
    </w:p>
    <w:p w14:paraId="238BBFB8" w14:textId="77777777" w:rsidR="0019797E" w:rsidRDefault="0019797E" w:rsidP="00194362">
      <w:pPr>
        <w:spacing w:line="360" w:lineRule="auto"/>
        <w:jc w:val="both"/>
        <w:rPr>
          <w:rFonts w:ascii="Arial" w:hAnsi="Arial" w:cs="Arial"/>
        </w:rPr>
      </w:pPr>
    </w:p>
    <w:p w14:paraId="0E4F819D" w14:textId="77777777" w:rsidR="0019797E" w:rsidRDefault="0019797E" w:rsidP="00194362">
      <w:pPr>
        <w:spacing w:line="360" w:lineRule="auto"/>
        <w:jc w:val="both"/>
        <w:rPr>
          <w:rFonts w:ascii="Arial" w:hAnsi="Arial" w:cs="Arial"/>
        </w:rPr>
      </w:pPr>
    </w:p>
    <w:p w14:paraId="315D3B1E" w14:textId="77777777" w:rsidR="00DB210D" w:rsidRPr="00BE4A9A" w:rsidRDefault="00DB210D" w:rsidP="00194362">
      <w:pPr>
        <w:spacing w:line="360" w:lineRule="auto"/>
        <w:jc w:val="both"/>
        <w:rPr>
          <w:rFonts w:ascii="Arial" w:hAnsi="Arial" w:cs="Arial"/>
        </w:rPr>
      </w:pPr>
    </w:p>
    <w:p w14:paraId="48BC575B" w14:textId="77777777" w:rsidR="003D409E" w:rsidRDefault="003D409E" w:rsidP="009C5A71">
      <w:pPr>
        <w:pStyle w:val="Heading1"/>
        <w:rPr>
          <w:sz w:val="26"/>
          <w:szCs w:val="26"/>
        </w:rPr>
      </w:pPr>
      <w:bookmarkStart w:id="3" w:name="_Toc234146348"/>
      <w:r w:rsidRPr="00DB210D">
        <w:rPr>
          <w:sz w:val="26"/>
          <w:szCs w:val="26"/>
        </w:rPr>
        <w:lastRenderedPageBreak/>
        <w:t>Task 3: Self-Reflection as a Health and Social Care Professional</w:t>
      </w:r>
      <w:bookmarkEnd w:id="3"/>
    </w:p>
    <w:p w14:paraId="044CDCC0" w14:textId="77777777" w:rsidR="0019797E" w:rsidRPr="0019797E" w:rsidRDefault="0019797E" w:rsidP="0019797E"/>
    <w:p w14:paraId="7C702BC0" w14:textId="77777777" w:rsidR="003D409E" w:rsidRPr="00BE4A9A" w:rsidRDefault="003D409E" w:rsidP="00194362">
      <w:pPr>
        <w:spacing w:line="360" w:lineRule="auto"/>
        <w:jc w:val="both"/>
        <w:rPr>
          <w:rFonts w:ascii="Arial" w:hAnsi="Arial" w:cs="Arial"/>
        </w:rPr>
      </w:pPr>
      <w:r>
        <w:rPr>
          <w:rFonts w:ascii="Arial" w:hAnsi="Arial" w:cs="Arial"/>
        </w:rPr>
        <w:t>I wish to examine one situation from my experience as a care assistant using Gibbs' (1988) reflective model since this will give an opportunity for me to relate concepts of person-centered care, partnership, and ethical values in a manner which a general description of my role would fail to do, and which is honest about the difficulty of applying these principles in practice.</w:t>
      </w:r>
    </w:p>
    <w:p w14:paraId="764B61F4" w14:textId="77777777" w:rsidR="003D409E" w:rsidRPr="00BE4A9A" w:rsidRDefault="003D409E" w:rsidP="00194362">
      <w:pPr>
        <w:spacing w:line="360" w:lineRule="auto"/>
        <w:jc w:val="both"/>
        <w:rPr>
          <w:rFonts w:ascii="Arial" w:hAnsi="Arial" w:cs="Arial"/>
        </w:rPr>
      </w:pPr>
      <w:r>
        <w:rPr>
          <w:rFonts w:ascii="Arial" w:hAnsi="Arial" w:cs="Arial"/>
        </w:rPr>
        <w:t xml:space="preserve">Once, on a home visit to support a service user whom I had been working with for several months, I turned up to be told that he would not have any help from me to wash himself that day because he did not feel safe in the bathroom. The user had suffered a fall earlier in the week, and I was aware that there were concerns about his mobility raised by the district nurse. My initial response was to concentrate on the problem instead of on him and to explain to him why it is important to allow me to assist him getting into the shower safely. Only when he pointed out very firmly that he had been taking care of himself for sixty years already, I understood that the last few minutes I had spent trying to manage a risk but not paying attention to a person. </w:t>
      </w:r>
    </w:p>
    <w:p w14:paraId="44F9BB8F" w14:textId="20B84664" w:rsidR="003D409E" w:rsidRPr="00BE4A9A" w:rsidRDefault="003D409E" w:rsidP="00194362">
      <w:pPr>
        <w:spacing w:line="360" w:lineRule="auto"/>
        <w:jc w:val="both"/>
        <w:rPr>
          <w:rFonts w:ascii="Arial" w:hAnsi="Arial" w:cs="Arial"/>
        </w:rPr>
      </w:pPr>
      <w:r>
        <w:rPr>
          <w:rFonts w:ascii="Arial" w:hAnsi="Arial" w:cs="Arial"/>
        </w:rPr>
        <w:t xml:space="preserve">The assertion made by Maslow (1943) that dignity and control are primary needs of human beings, not merely add-ons after basic survival needs have been met, is an easy one to accept on principle. It felt somewhat uncomfortable, however, to </w:t>
      </w:r>
      <w:proofErr w:type="spellStart"/>
      <w:r>
        <w:rPr>
          <w:rFonts w:ascii="Arial" w:hAnsi="Arial" w:cs="Arial"/>
        </w:rPr>
        <w:t>recognise</w:t>
      </w:r>
      <w:proofErr w:type="spellEnd"/>
      <w:r>
        <w:rPr>
          <w:rFonts w:ascii="Arial" w:hAnsi="Arial" w:cs="Arial"/>
        </w:rPr>
        <w:t xml:space="preserve"> that I had momentarily forgotten this when faced with the situation, and had defaulted to explaining instead of asking.</w:t>
      </w:r>
    </w:p>
    <w:p w14:paraId="3B9D48C6" w14:textId="77777777" w:rsidR="003D409E" w:rsidRPr="00BE4A9A" w:rsidRDefault="003D409E" w:rsidP="00194362">
      <w:pPr>
        <w:spacing w:line="360" w:lineRule="auto"/>
        <w:jc w:val="both"/>
        <w:rPr>
          <w:rFonts w:ascii="Arial" w:hAnsi="Arial" w:cs="Arial"/>
        </w:rPr>
      </w:pPr>
      <w:r>
        <w:rPr>
          <w:rFonts w:ascii="Arial" w:hAnsi="Arial" w:cs="Arial"/>
        </w:rPr>
        <w:t>My strategy was modified so that I asked what he would be willing to do, rather than instructing him on what he needed to do. In this case, we decided to compromise that he should wash himself alone in the sink rather than taking a complete bath, which not only respected his need for autonomy but also lowered the possibility of him falling. I recorded the change and raised it with the district nurse at the next visit, partly because the Care Act 2014 requires that decisions affecting a person's wellbeing are recorded and shared appropriately (Curtis and Burns, 2015), and partly because I was uneasy about having made the call alone and wanted a second opinion on it.</w:t>
      </w:r>
    </w:p>
    <w:p w14:paraId="1BFD9605" w14:textId="2705B6E9" w:rsidR="003D409E" w:rsidRPr="00BE4A9A" w:rsidRDefault="003D409E" w:rsidP="00194362">
      <w:pPr>
        <w:spacing w:line="360" w:lineRule="auto"/>
        <w:jc w:val="both"/>
        <w:rPr>
          <w:rFonts w:ascii="Arial" w:hAnsi="Arial" w:cs="Arial"/>
        </w:rPr>
      </w:pPr>
      <w:r>
        <w:rPr>
          <w:rFonts w:ascii="Arial" w:hAnsi="Arial" w:cs="Arial"/>
        </w:rPr>
        <w:t xml:space="preserve">That unease is where the partnership working side of this situation became harder than the direct care itself. The nurse's initial reaction was that a full risk assessment should have taken place before any change was agreed. I </w:t>
      </w:r>
      <w:proofErr w:type="spellStart"/>
      <w:r>
        <w:rPr>
          <w:rFonts w:ascii="Arial" w:hAnsi="Arial" w:cs="Arial"/>
        </w:rPr>
        <w:t>sympathised</w:t>
      </w:r>
      <w:proofErr w:type="spellEnd"/>
      <w:r>
        <w:rPr>
          <w:rFonts w:ascii="Arial" w:hAnsi="Arial" w:cs="Arial"/>
        </w:rPr>
        <w:t xml:space="preserve"> with her wariness, considering her obligation in accordance with codes like the NMC (2018) Code in which she was supposed to </w:t>
      </w:r>
      <w:proofErr w:type="spellStart"/>
      <w:r>
        <w:rPr>
          <w:rFonts w:ascii="Arial" w:hAnsi="Arial" w:cs="Arial"/>
        </w:rPr>
        <w:t>minimise</w:t>
      </w:r>
      <w:proofErr w:type="spellEnd"/>
      <w:r>
        <w:rPr>
          <w:rFonts w:ascii="Arial" w:hAnsi="Arial" w:cs="Arial"/>
        </w:rPr>
        <w:t xml:space="preserve"> any risks at all costs; however, she did not </w:t>
      </w:r>
      <w:proofErr w:type="spellStart"/>
      <w:r>
        <w:rPr>
          <w:rFonts w:ascii="Arial" w:hAnsi="Arial" w:cs="Arial"/>
        </w:rPr>
        <w:t>realise</w:t>
      </w:r>
      <w:proofErr w:type="spellEnd"/>
      <w:r>
        <w:rPr>
          <w:rFonts w:ascii="Arial" w:hAnsi="Arial" w:cs="Arial"/>
        </w:rPr>
        <w:t xml:space="preserve"> how much he had protested against the plan. I did not contest my position on that matter as strongly as I should have done now. I agreed to revert </w:t>
      </w:r>
      <w:r>
        <w:rPr>
          <w:rFonts w:ascii="Arial" w:hAnsi="Arial" w:cs="Arial"/>
        </w:rPr>
        <w:lastRenderedPageBreak/>
        <w:t xml:space="preserve">to the shower "for now," which meant his stated wish was quietly set aside again the following week. Sanderson et al.'s (2023) observation that professionals in health and social care systems often step back from difficult disagreements rather than working through them describes almost exactly what happened here, and </w:t>
      </w:r>
      <w:proofErr w:type="spellStart"/>
      <w:r>
        <w:rPr>
          <w:rFonts w:ascii="Arial" w:hAnsi="Arial" w:cs="Arial"/>
        </w:rPr>
        <w:t>recognising</w:t>
      </w:r>
      <w:proofErr w:type="spellEnd"/>
      <w:r>
        <w:rPr>
          <w:rFonts w:ascii="Arial" w:hAnsi="Arial" w:cs="Arial"/>
        </w:rPr>
        <w:t xml:space="preserve"> that in my own </w:t>
      </w:r>
      <w:proofErr w:type="spellStart"/>
      <w:r>
        <w:rPr>
          <w:rFonts w:ascii="Arial" w:hAnsi="Arial" w:cs="Arial"/>
        </w:rPr>
        <w:t>behaviour</w:t>
      </w:r>
      <w:proofErr w:type="spellEnd"/>
      <w:r>
        <w:rPr>
          <w:rFonts w:ascii="Arial" w:hAnsi="Arial" w:cs="Arial"/>
        </w:rPr>
        <w:t>, rather than only in the literature, was uncomfortable but useful.</w:t>
      </w:r>
    </w:p>
    <w:p w14:paraId="6A70F93B" w14:textId="77777777" w:rsidR="003D409E" w:rsidRPr="00BE4A9A" w:rsidRDefault="003D409E" w:rsidP="00194362">
      <w:pPr>
        <w:spacing w:line="360" w:lineRule="auto"/>
        <w:jc w:val="both"/>
        <w:rPr>
          <w:rFonts w:ascii="Arial" w:hAnsi="Arial" w:cs="Arial"/>
        </w:rPr>
      </w:pPr>
      <w:r>
        <w:rPr>
          <w:rFonts w:ascii="Arial" w:hAnsi="Arial" w:cs="Arial"/>
        </w:rPr>
        <w:t xml:space="preserve">Looking back, the ethical tension at the </w:t>
      </w:r>
      <w:proofErr w:type="spellStart"/>
      <w:r>
        <w:rPr>
          <w:rFonts w:ascii="Arial" w:hAnsi="Arial" w:cs="Arial"/>
        </w:rPr>
        <w:t>centre</w:t>
      </w:r>
      <w:proofErr w:type="spellEnd"/>
      <w:r>
        <w:rPr>
          <w:rFonts w:ascii="Arial" w:hAnsi="Arial" w:cs="Arial"/>
        </w:rPr>
        <w:t xml:space="preserve"> of this, his autonomy against the professional duty to prevent harm, is a live example of the balance Beauchamp and Childress (2019) describe between respecting a person's wishes and acting to protect them from harm. It did not get resolved well. It got resolved by whichever of us in the room had more seniority, which is not the same thing as resolving it properly, and it is not what the Mental Capacity Act 2005 intends when it asks practitioners to support a person's own decision-making wherever they have the capacity to make it. I do not think there was a clean answer available in that moment. I do think the process should have included him directly in the disagreement between me and the nurse, rather than being settled quietly around him while he wasn't part of the conversation.</w:t>
      </w:r>
    </w:p>
    <w:p w14:paraId="0B164E37" w14:textId="77777777" w:rsidR="003D409E" w:rsidRPr="00BE4A9A" w:rsidRDefault="003D409E" w:rsidP="00194362">
      <w:pPr>
        <w:spacing w:line="360" w:lineRule="auto"/>
        <w:jc w:val="both"/>
        <w:rPr>
          <w:rFonts w:ascii="Arial" w:hAnsi="Arial" w:cs="Arial"/>
        </w:rPr>
      </w:pPr>
      <w:r>
        <w:rPr>
          <w:rFonts w:ascii="Arial" w:hAnsi="Arial" w:cs="Arial"/>
        </w:rPr>
        <w:t>This incident has helped me see my skills and limitations more clearly than a general self-assessment would. My listening skills are a genuine strength: once I stopped and paid attention, I picked up quickly on what he actually needed, and this is consistent with feedback I have had from colleagues and service users before. My clearer weakness is holding a position once a more experienced colleague has stated a firm view, even when I have direct evidence, from the person himself, that supports a different course of action. It should also be noted that I am aware that I currently lack a good understanding of the workings of the Integrated Care System in the locality in which I work, and Sanderson et al. (2023) note that this sort of knowledge rather than knowledge of the legislation is the most important factor in ensuring that partnership working is beneficial to the individual concerned.</w:t>
      </w:r>
    </w:p>
    <w:p w14:paraId="71C3382B" w14:textId="77777777" w:rsidR="003D409E" w:rsidRPr="00BE4A9A" w:rsidRDefault="003D409E" w:rsidP="00194362">
      <w:pPr>
        <w:spacing w:line="360" w:lineRule="auto"/>
        <w:jc w:val="both"/>
        <w:rPr>
          <w:rFonts w:ascii="Arial" w:hAnsi="Arial" w:cs="Arial"/>
        </w:rPr>
      </w:pPr>
      <w:r>
        <w:rPr>
          <w:rFonts w:ascii="Arial" w:hAnsi="Arial" w:cs="Arial"/>
        </w:rPr>
        <w:t xml:space="preserve">For the future, I want to be able to pursue assertiveness actively, not just an undefined goal. Specifically, this will involve practicing how to explain my logic in team settings, such as by saying "he said it straight to me that x happens, so let’s do </w:t>
      </w:r>
      <w:proofErr w:type="spellStart"/>
      <w:r>
        <w:rPr>
          <w:rFonts w:ascii="Arial" w:hAnsi="Arial" w:cs="Arial"/>
        </w:rPr>
        <w:t>y</w:t>
      </w:r>
      <w:proofErr w:type="spellEnd"/>
      <w:r>
        <w:rPr>
          <w:rFonts w:ascii="Arial" w:hAnsi="Arial" w:cs="Arial"/>
        </w:rPr>
        <w:t xml:space="preserve"> first, then go back to our original course of action," as opposed to dropping the idea altogether when it gets shot down. </w:t>
      </w:r>
    </w:p>
    <w:p w14:paraId="24A3C288" w14:textId="07B6FA2A" w:rsidR="00BD68AF" w:rsidRDefault="003D409E" w:rsidP="00194362">
      <w:pPr>
        <w:spacing w:line="360" w:lineRule="auto"/>
        <w:jc w:val="both"/>
        <w:rPr>
          <w:rFonts w:ascii="Arial" w:hAnsi="Arial" w:cs="Arial"/>
        </w:rPr>
      </w:pPr>
      <w:r>
        <w:rPr>
          <w:rFonts w:ascii="Arial" w:hAnsi="Arial" w:cs="Arial"/>
        </w:rPr>
        <w:t xml:space="preserve">This is why I will maintain a brief reflective journal, based on the framework developed by Gibbs (1988), following each visit during which such a disagreement occurs, to see if I am truly altering my behavior or just planning to. I also want to build a better understanding of local safeguarding and partnership arrangements, and will use CQC (2023) thematic reports and Skills for Care </w:t>
      </w:r>
      <w:r>
        <w:rPr>
          <w:rFonts w:ascii="Arial" w:hAnsi="Arial" w:cs="Arial"/>
        </w:rPr>
        <w:lastRenderedPageBreak/>
        <w:t>(2025) workforce publications to keep myself informed of current expectations. Longer term, I would like to work toward a qualification in safeguarding or team leadership, since taking on more responsibility for these decisions, rather than continuing to defer them upward, seems to me the most direct way of making sure the principles discussed in this report are actually delivered to the people I support, and not only understood by me in theory.</w:t>
      </w:r>
    </w:p>
    <w:p w14:paraId="63FDF272" w14:textId="77777777" w:rsidR="0019797E" w:rsidRDefault="0019797E" w:rsidP="00194362">
      <w:pPr>
        <w:spacing w:line="360" w:lineRule="auto"/>
        <w:jc w:val="both"/>
        <w:rPr>
          <w:rFonts w:ascii="Arial" w:hAnsi="Arial" w:cs="Arial"/>
        </w:rPr>
      </w:pPr>
    </w:p>
    <w:p w14:paraId="77BEA7C2" w14:textId="77777777" w:rsidR="0019797E" w:rsidRDefault="0019797E" w:rsidP="00194362">
      <w:pPr>
        <w:spacing w:line="360" w:lineRule="auto"/>
        <w:jc w:val="both"/>
        <w:rPr>
          <w:rFonts w:ascii="Arial" w:hAnsi="Arial" w:cs="Arial"/>
        </w:rPr>
      </w:pPr>
    </w:p>
    <w:p w14:paraId="1573E0D8" w14:textId="77777777" w:rsidR="0019797E" w:rsidRDefault="0019797E" w:rsidP="00194362">
      <w:pPr>
        <w:spacing w:line="360" w:lineRule="auto"/>
        <w:jc w:val="both"/>
        <w:rPr>
          <w:rFonts w:ascii="Arial" w:hAnsi="Arial" w:cs="Arial"/>
        </w:rPr>
      </w:pPr>
    </w:p>
    <w:p w14:paraId="2E998C49" w14:textId="77777777" w:rsidR="0019797E" w:rsidRDefault="0019797E" w:rsidP="00194362">
      <w:pPr>
        <w:spacing w:line="360" w:lineRule="auto"/>
        <w:jc w:val="both"/>
        <w:rPr>
          <w:rFonts w:ascii="Arial" w:hAnsi="Arial" w:cs="Arial"/>
        </w:rPr>
      </w:pPr>
    </w:p>
    <w:p w14:paraId="61E8061E" w14:textId="77777777" w:rsidR="0019797E" w:rsidRDefault="0019797E" w:rsidP="00194362">
      <w:pPr>
        <w:spacing w:line="360" w:lineRule="auto"/>
        <w:jc w:val="both"/>
        <w:rPr>
          <w:rFonts w:ascii="Arial" w:hAnsi="Arial" w:cs="Arial"/>
        </w:rPr>
      </w:pPr>
    </w:p>
    <w:p w14:paraId="2C1A9010" w14:textId="77777777" w:rsidR="0019797E" w:rsidRDefault="0019797E" w:rsidP="00194362">
      <w:pPr>
        <w:spacing w:line="360" w:lineRule="auto"/>
        <w:jc w:val="both"/>
        <w:rPr>
          <w:rFonts w:ascii="Arial" w:hAnsi="Arial" w:cs="Arial"/>
        </w:rPr>
      </w:pPr>
    </w:p>
    <w:p w14:paraId="5D748B06" w14:textId="77777777" w:rsidR="0019797E" w:rsidRDefault="0019797E" w:rsidP="00194362">
      <w:pPr>
        <w:spacing w:line="360" w:lineRule="auto"/>
        <w:jc w:val="both"/>
        <w:rPr>
          <w:rFonts w:ascii="Arial" w:hAnsi="Arial" w:cs="Arial"/>
        </w:rPr>
      </w:pPr>
    </w:p>
    <w:p w14:paraId="1B6FC030" w14:textId="77777777" w:rsidR="0019797E" w:rsidRDefault="0019797E" w:rsidP="00194362">
      <w:pPr>
        <w:spacing w:line="360" w:lineRule="auto"/>
        <w:jc w:val="both"/>
        <w:rPr>
          <w:rFonts w:ascii="Arial" w:hAnsi="Arial" w:cs="Arial"/>
        </w:rPr>
      </w:pPr>
    </w:p>
    <w:p w14:paraId="31748E89" w14:textId="77777777" w:rsidR="0019797E" w:rsidRDefault="0019797E" w:rsidP="00194362">
      <w:pPr>
        <w:spacing w:line="360" w:lineRule="auto"/>
        <w:jc w:val="both"/>
        <w:rPr>
          <w:rFonts w:ascii="Arial" w:hAnsi="Arial" w:cs="Arial"/>
        </w:rPr>
      </w:pPr>
    </w:p>
    <w:p w14:paraId="398900F2" w14:textId="77777777" w:rsidR="0019797E" w:rsidRDefault="0019797E" w:rsidP="00194362">
      <w:pPr>
        <w:spacing w:line="360" w:lineRule="auto"/>
        <w:jc w:val="both"/>
        <w:rPr>
          <w:rFonts w:ascii="Arial" w:hAnsi="Arial" w:cs="Arial"/>
        </w:rPr>
      </w:pPr>
    </w:p>
    <w:p w14:paraId="1702F0BF" w14:textId="77777777" w:rsidR="0019797E" w:rsidRDefault="0019797E" w:rsidP="00194362">
      <w:pPr>
        <w:spacing w:line="360" w:lineRule="auto"/>
        <w:jc w:val="both"/>
        <w:rPr>
          <w:rFonts w:ascii="Arial" w:hAnsi="Arial" w:cs="Arial"/>
        </w:rPr>
      </w:pPr>
    </w:p>
    <w:p w14:paraId="695978C1" w14:textId="77777777" w:rsidR="0019797E" w:rsidRDefault="0019797E" w:rsidP="00194362">
      <w:pPr>
        <w:spacing w:line="360" w:lineRule="auto"/>
        <w:jc w:val="both"/>
        <w:rPr>
          <w:rFonts w:ascii="Arial" w:hAnsi="Arial" w:cs="Arial"/>
        </w:rPr>
      </w:pPr>
    </w:p>
    <w:p w14:paraId="7D7B1CE2" w14:textId="77777777" w:rsidR="0019797E" w:rsidRDefault="0019797E" w:rsidP="00194362">
      <w:pPr>
        <w:spacing w:line="360" w:lineRule="auto"/>
        <w:jc w:val="both"/>
        <w:rPr>
          <w:rFonts w:ascii="Arial" w:hAnsi="Arial" w:cs="Arial"/>
        </w:rPr>
      </w:pPr>
    </w:p>
    <w:p w14:paraId="3A182A29" w14:textId="77777777" w:rsidR="0019797E" w:rsidRDefault="0019797E" w:rsidP="00194362">
      <w:pPr>
        <w:spacing w:line="360" w:lineRule="auto"/>
        <w:jc w:val="both"/>
        <w:rPr>
          <w:rFonts w:ascii="Arial" w:hAnsi="Arial" w:cs="Arial"/>
        </w:rPr>
      </w:pPr>
    </w:p>
    <w:p w14:paraId="0AE6D32F" w14:textId="77777777" w:rsidR="0019797E" w:rsidRDefault="0019797E" w:rsidP="00194362">
      <w:pPr>
        <w:spacing w:line="360" w:lineRule="auto"/>
        <w:jc w:val="both"/>
        <w:rPr>
          <w:rFonts w:ascii="Arial" w:hAnsi="Arial" w:cs="Arial"/>
        </w:rPr>
      </w:pPr>
    </w:p>
    <w:p w14:paraId="433FFE05" w14:textId="77777777" w:rsidR="0019797E" w:rsidRDefault="0019797E" w:rsidP="00194362">
      <w:pPr>
        <w:spacing w:line="360" w:lineRule="auto"/>
        <w:jc w:val="both"/>
        <w:rPr>
          <w:rFonts w:ascii="Arial" w:hAnsi="Arial" w:cs="Arial"/>
        </w:rPr>
      </w:pPr>
    </w:p>
    <w:p w14:paraId="7FC51664" w14:textId="77777777" w:rsidR="0019797E" w:rsidRDefault="0019797E" w:rsidP="00194362">
      <w:pPr>
        <w:spacing w:line="360" w:lineRule="auto"/>
        <w:jc w:val="both"/>
        <w:rPr>
          <w:rFonts w:ascii="Arial" w:hAnsi="Arial" w:cs="Arial"/>
        </w:rPr>
      </w:pPr>
    </w:p>
    <w:p w14:paraId="59B2B983" w14:textId="77777777" w:rsidR="0019797E" w:rsidRDefault="0019797E" w:rsidP="00194362">
      <w:pPr>
        <w:spacing w:line="360" w:lineRule="auto"/>
        <w:jc w:val="both"/>
        <w:rPr>
          <w:rFonts w:ascii="Arial" w:hAnsi="Arial" w:cs="Arial"/>
        </w:rPr>
      </w:pPr>
    </w:p>
    <w:p w14:paraId="31F6FC66" w14:textId="77777777" w:rsidR="0019797E" w:rsidRPr="00BE4A9A" w:rsidRDefault="0019797E" w:rsidP="00194362">
      <w:pPr>
        <w:spacing w:line="360" w:lineRule="auto"/>
        <w:jc w:val="both"/>
        <w:rPr>
          <w:rFonts w:ascii="Arial" w:hAnsi="Arial" w:cs="Arial"/>
        </w:rPr>
      </w:pPr>
    </w:p>
    <w:p w14:paraId="09020A4F" w14:textId="602E28A1" w:rsidR="009C5A71" w:rsidRPr="00DB210D" w:rsidRDefault="009C5A71" w:rsidP="009C5A71">
      <w:pPr>
        <w:pStyle w:val="Heading1"/>
        <w:rPr>
          <w:sz w:val="26"/>
          <w:szCs w:val="26"/>
        </w:rPr>
      </w:pPr>
      <w:bookmarkStart w:id="4" w:name="_Toc234146349"/>
      <w:r w:rsidRPr="00DB210D">
        <w:rPr>
          <w:sz w:val="26"/>
          <w:szCs w:val="26"/>
        </w:rPr>
        <w:lastRenderedPageBreak/>
        <w:t>Reference</w:t>
      </w:r>
      <w:bookmarkEnd w:id="4"/>
    </w:p>
    <w:p w14:paraId="2FDEA3A3" w14:textId="77777777" w:rsidR="00200631" w:rsidRDefault="00200631" w:rsidP="00BD68AF">
      <w:pPr>
        <w:spacing w:line="240" w:lineRule="auto"/>
        <w:ind w:left="720" w:hanging="720"/>
        <w:jc w:val="both"/>
        <w:rPr>
          <w:rFonts w:ascii="Arial" w:hAnsi="Arial" w:cs="Arial"/>
          <w:color w:val="222222"/>
          <w:shd w:val="clear" w:color="auto" w:fill="FFFFFF"/>
        </w:rPr>
      </w:pPr>
      <w:r w:rsidRPr="00200631">
        <w:rPr>
          <w:rFonts w:ascii="Arial" w:hAnsi="Arial" w:cs="Arial"/>
          <w:color w:val="222222"/>
          <w:shd w:val="clear" w:color="auto" w:fill="FFFFFF"/>
        </w:rPr>
        <w:t>Act, M.C., 2005. Mental capacity act 2005. </w:t>
      </w:r>
      <w:r w:rsidRPr="00200631">
        <w:rPr>
          <w:rFonts w:ascii="Arial" w:hAnsi="Arial" w:cs="Arial"/>
          <w:i/>
          <w:iCs/>
          <w:color w:val="222222"/>
          <w:shd w:val="clear" w:color="auto" w:fill="FFFFFF"/>
        </w:rPr>
        <w:t>London Station Off</w:t>
      </w:r>
      <w:r w:rsidRPr="00200631">
        <w:rPr>
          <w:rFonts w:ascii="Arial" w:hAnsi="Arial" w:cs="Arial"/>
          <w:color w:val="222222"/>
          <w:shd w:val="clear" w:color="auto" w:fill="FFFFFF"/>
        </w:rPr>
        <w:t>.</w:t>
      </w:r>
    </w:p>
    <w:p w14:paraId="0B387EBB"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Beauchamp, T. and Childress, J., (2019). Principles of biomedical ethics: marking its fortieth anniversary. </w:t>
      </w:r>
      <w:r>
        <w:rPr>
          <w:rFonts w:ascii="Arial" w:hAnsi="Arial" w:cs="Arial"/>
          <w:i/>
          <w:iCs/>
          <w:color w:val="222222"/>
          <w:shd w:val="clear" w:color="auto" w:fill="FFFFFF"/>
        </w:rPr>
        <w:t>The American Journal of Bioethics</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(11), pp.9-12.</w:t>
      </w:r>
    </w:p>
    <w:p w14:paraId="11628F99"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 xml:space="preserve">Care Quality Commission (2023) </w:t>
      </w:r>
      <w:r>
        <w:rPr>
          <w:rFonts w:ascii="Arial" w:hAnsi="Arial" w:cs="Arial"/>
          <w:i/>
          <w:iCs/>
          <w:color w:val="222222"/>
          <w:shd w:val="clear" w:color="auto" w:fill="FFFFFF"/>
        </w:rPr>
        <w:t>Performance Summary Report</w:t>
      </w:r>
      <w:r>
        <w:rPr>
          <w:rFonts w:ascii="Arial" w:hAnsi="Arial" w:cs="Arial"/>
          <w:color w:val="222222"/>
          <w:shd w:val="clear" w:color="auto" w:fill="FFFFFF"/>
        </w:rPr>
        <w:t xml:space="preserve">. Available at: </w:t>
      </w:r>
      <w:hyperlink r:id="rId9" w:tgtFrame="_blank" w:history="1">
        <w:r>
          <w:rPr>
            <w:rStyle w:val="Hyperlink"/>
            <w:rFonts w:ascii="Arial" w:hAnsi="Arial" w:cs="Arial"/>
            <w:shd w:val="clear" w:color="auto" w:fill="FFFFFF"/>
          </w:rPr>
          <w:t>https://www.cqc.org.uk/sites/default/files/2023-09/CM092341_4.1b_PerformanceSummary_report.odt</w:t>
        </w:r>
      </w:hyperlink>
      <w:r>
        <w:rPr>
          <w:rFonts w:ascii="Arial" w:hAnsi="Arial" w:cs="Arial"/>
          <w:color w:val="222222"/>
          <w:shd w:val="clear" w:color="auto" w:fill="FFFFFF"/>
        </w:rPr>
        <w:t xml:space="preserve"> </w:t>
      </w:r>
    </w:p>
    <w:p w14:paraId="0D2B94E3"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Cave, E., (2020). Selecting treatment options and choosing between them: delineating patient and professional autonomy in shared decision-making. </w:t>
      </w:r>
      <w:r>
        <w:rPr>
          <w:rFonts w:ascii="Arial" w:hAnsi="Arial" w:cs="Arial"/>
          <w:i/>
          <w:iCs/>
          <w:color w:val="222222"/>
          <w:shd w:val="clear" w:color="auto" w:fill="FFFFFF"/>
        </w:rPr>
        <w:t>Health care analysis</w:t>
      </w:r>
      <w:r>
        <w:rPr>
          <w:rFonts w:ascii="Arial" w:hAnsi="Arial" w:cs="Arial"/>
          <w:color w:val="222222"/>
          <w:shd w:val="clear" w:color="auto" w:fill="FFFFFF"/>
        </w:rPr>
        <w:t>, </w:t>
      </w:r>
      <w:r>
        <w:rPr>
          <w:rFonts w:ascii="Arial" w:hAnsi="Arial" w:cs="Arial"/>
          <w:i/>
          <w:iCs/>
          <w:color w:val="222222"/>
          <w:shd w:val="clear" w:color="auto" w:fill="FFFFFF"/>
        </w:rPr>
        <w:t>28</w:t>
      </w:r>
      <w:r>
        <w:rPr>
          <w:rFonts w:ascii="Arial" w:hAnsi="Arial" w:cs="Arial"/>
          <w:color w:val="222222"/>
          <w:shd w:val="clear" w:color="auto" w:fill="FFFFFF"/>
        </w:rPr>
        <w:t>(1), pp.4-24.</w:t>
      </w:r>
    </w:p>
    <w:p w14:paraId="5BFB73B2"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Curtis, L.A. and Burns, A., (2015). </w:t>
      </w:r>
      <w:r>
        <w:rPr>
          <w:rFonts w:ascii="Arial" w:hAnsi="Arial" w:cs="Arial"/>
          <w:i/>
          <w:iCs/>
          <w:color w:val="222222"/>
          <w:shd w:val="clear" w:color="auto" w:fill="FFFFFF"/>
        </w:rPr>
        <w:t>Unit costs of health and social care (2015)</w:t>
      </w:r>
      <w:r>
        <w:rPr>
          <w:rFonts w:ascii="Arial" w:hAnsi="Arial" w:cs="Arial"/>
          <w:color w:val="222222"/>
          <w:shd w:val="clear" w:color="auto" w:fill="FFFFFF"/>
        </w:rPr>
        <w:t>. Personal Social Services Research Unit.</w:t>
      </w:r>
    </w:p>
    <w:p w14:paraId="58926C73"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 xml:space="preserve">Department of Health and Social Care (2022) People at the Heart of Care: </w:t>
      </w:r>
      <w:r>
        <w:rPr>
          <w:rFonts w:ascii="Arial" w:hAnsi="Arial" w:cs="Arial"/>
          <w:i/>
          <w:iCs/>
          <w:color w:val="222222"/>
          <w:shd w:val="clear" w:color="auto" w:fill="FFFFFF"/>
        </w:rPr>
        <w:t>Adult Social Care Reform White Paper</w:t>
      </w:r>
      <w:r>
        <w:rPr>
          <w:rFonts w:ascii="Arial" w:hAnsi="Arial" w:cs="Arial"/>
          <w:color w:val="222222"/>
          <w:shd w:val="clear" w:color="auto" w:fill="FFFFFF"/>
        </w:rPr>
        <w:t>. London: DHSC.</w:t>
      </w:r>
    </w:p>
    <w:p w14:paraId="04574A21"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Gibbs, G., (1988). Learning by doing: A guide to teaching and learning methods. </w:t>
      </w:r>
      <w:r>
        <w:rPr>
          <w:rFonts w:ascii="Arial" w:hAnsi="Arial" w:cs="Arial"/>
          <w:i/>
          <w:iCs/>
          <w:color w:val="222222"/>
          <w:shd w:val="clear" w:color="auto" w:fill="FFFFFF"/>
        </w:rPr>
        <w:t>Further Education Unit</w:t>
      </w:r>
      <w:r>
        <w:rPr>
          <w:rFonts w:ascii="Arial" w:hAnsi="Arial" w:cs="Arial"/>
          <w:color w:val="222222"/>
          <w:shd w:val="clear" w:color="auto" w:fill="FFFFFF"/>
        </w:rPr>
        <w:t>.</w:t>
      </w:r>
    </w:p>
    <w:p w14:paraId="23C37901"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rPr>
        <w:t xml:space="preserve">Great Britain (2014) Care Act (2014). London: The Stationery Office. </w:t>
      </w:r>
      <w:hyperlink r:id="rId10" w:history="1">
        <w:r>
          <w:rPr>
            <w:rStyle w:val="Hyperlink"/>
            <w:rFonts w:ascii="Arial" w:hAnsi="Arial" w:cs="Arial"/>
          </w:rPr>
          <w:t>https://www.legislation.gov.uk/ukpga/(2014)/23/contents</w:t>
        </w:r>
      </w:hyperlink>
      <w:r>
        <w:rPr>
          <w:rFonts w:ascii="Arial" w:hAnsi="Arial" w:cs="Arial"/>
        </w:rPr>
        <w:t xml:space="preserve"> </w:t>
      </w:r>
    </w:p>
    <w:p w14:paraId="1D05EADD" w14:textId="77777777" w:rsidR="00200631" w:rsidRPr="00BE4A9A" w:rsidRDefault="00200631" w:rsidP="00BD68AF">
      <w:pPr>
        <w:spacing w:line="240" w:lineRule="auto"/>
        <w:ind w:left="720" w:hanging="720"/>
        <w:jc w:val="both"/>
        <w:rPr>
          <w:rFonts w:ascii="Arial" w:hAnsi="Arial" w:cs="Arial"/>
        </w:rPr>
      </w:pPr>
      <w:r>
        <w:rPr>
          <w:rFonts w:ascii="Arial" w:hAnsi="Arial" w:cs="Arial"/>
        </w:rPr>
        <w:t xml:space="preserve">Great Britain (2022) Health and Care Act 2022. London: The Stationery Office. </w:t>
      </w:r>
      <w:hyperlink r:id="rId11" w:history="1">
        <w:r>
          <w:rPr>
            <w:rStyle w:val="Hyperlink"/>
            <w:rFonts w:ascii="Arial" w:hAnsi="Arial" w:cs="Arial"/>
          </w:rPr>
          <w:t>https://www.legislation.gov.uk/ukpga/2022/31/contents</w:t>
        </w:r>
      </w:hyperlink>
      <w:r>
        <w:rPr>
          <w:rFonts w:ascii="Arial" w:hAnsi="Arial" w:cs="Arial"/>
        </w:rPr>
        <w:t xml:space="preserve"> </w:t>
      </w:r>
    </w:p>
    <w:p w14:paraId="070FEF6A"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Health &amp; Care Professions Council, (2024). </w:t>
      </w:r>
      <w:r>
        <w:rPr>
          <w:rFonts w:ascii="Arial" w:hAnsi="Arial" w:cs="Arial"/>
          <w:i/>
          <w:iCs/>
          <w:color w:val="222222"/>
          <w:shd w:val="clear" w:color="auto" w:fill="FFFFFF"/>
        </w:rPr>
        <w:t>Standards of conduct, performance and ethics</w:t>
      </w:r>
      <w:r>
        <w:rPr>
          <w:rFonts w:ascii="Arial" w:hAnsi="Arial" w:cs="Arial"/>
          <w:color w:val="222222"/>
          <w:shd w:val="clear" w:color="auto" w:fill="FFFFFF"/>
        </w:rPr>
        <w:t>. Health &amp; Care Professions Council.</w:t>
      </w:r>
    </w:p>
    <w:p w14:paraId="096061CB" w14:textId="77777777" w:rsidR="00200631" w:rsidRDefault="00200631" w:rsidP="00BD68AF">
      <w:pPr>
        <w:spacing w:line="240" w:lineRule="auto"/>
        <w:ind w:left="720" w:hanging="720"/>
        <w:jc w:val="both"/>
        <w:rPr>
          <w:rFonts w:ascii="Arial" w:hAnsi="Arial" w:cs="Arial"/>
          <w:color w:val="222222"/>
          <w:shd w:val="clear" w:color="auto" w:fill="FFFFFF"/>
        </w:rPr>
      </w:pPr>
      <w:r w:rsidRPr="00795316">
        <w:rPr>
          <w:rFonts w:ascii="Arial" w:hAnsi="Arial" w:cs="Arial"/>
          <w:color w:val="222222"/>
          <w:shd w:val="clear" w:color="auto" w:fill="FFFFFF"/>
        </w:rPr>
        <w:t>Health and Social Care Act 2012, c.7. London: The Stationery Office.</w:t>
      </w:r>
    </w:p>
    <w:p w14:paraId="519469A2"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Kitson, A., Marshall, A., Bassett, K. and Zeitz, K., (2013). What are the core elements of patient</w:t>
      </w:r>
      <w:r>
        <w:rPr>
          <w:rFonts w:ascii="Cambria Math" w:hAnsi="Cambria Math" w:cs="Cambria Math"/>
          <w:color w:val="222222"/>
          <w:shd w:val="clear" w:color="auto" w:fill="FFFFFF"/>
        </w:rPr>
        <w:t>‐</w:t>
      </w:r>
      <w:proofErr w:type="spellStart"/>
      <w:r>
        <w:rPr>
          <w:rFonts w:ascii="Arial" w:hAnsi="Arial" w:cs="Arial"/>
          <w:color w:val="222222"/>
          <w:shd w:val="clear" w:color="auto" w:fill="FFFFFF"/>
        </w:rPr>
        <w:t>centred</w:t>
      </w:r>
      <w:proofErr w:type="spellEnd"/>
      <w:r>
        <w:rPr>
          <w:rFonts w:ascii="Arial" w:hAnsi="Arial" w:cs="Arial"/>
          <w:color w:val="222222"/>
          <w:shd w:val="clear" w:color="auto" w:fill="FFFFFF"/>
        </w:rPr>
        <w:t xml:space="preserve"> care? A narrative review and synthesis of the literature from health policy, medicine and nursing. </w:t>
      </w:r>
      <w:r>
        <w:rPr>
          <w:rFonts w:ascii="Arial" w:hAnsi="Arial" w:cs="Arial"/>
          <w:i/>
          <w:iCs/>
          <w:color w:val="222222"/>
          <w:shd w:val="clear" w:color="auto" w:fill="FFFFFF"/>
        </w:rPr>
        <w:t>Journal of advanced nursing</w:t>
      </w:r>
      <w:r>
        <w:rPr>
          <w:rFonts w:ascii="Arial" w:hAnsi="Arial" w:cs="Arial"/>
          <w:color w:val="222222"/>
          <w:shd w:val="clear" w:color="auto" w:fill="FFFFFF"/>
        </w:rPr>
        <w:t>, </w:t>
      </w:r>
      <w:r>
        <w:rPr>
          <w:rFonts w:ascii="Arial" w:hAnsi="Arial" w:cs="Arial"/>
          <w:i/>
          <w:iCs/>
          <w:color w:val="222222"/>
          <w:shd w:val="clear" w:color="auto" w:fill="FFFFFF"/>
        </w:rPr>
        <w:t>69</w:t>
      </w:r>
      <w:r>
        <w:rPr>
          <w:rFonts w:ascii="Arial" w:hAnsi="Arial" w:cs="Arial"/>
          <w:color w:val="222222"/>
          <w:shd w:val="clear" w:color="auto" w:fill="FFFFFF"/>
        </w:rPr>
        <w:t>(1), pp.4-15.</w:t>
      </w:r>
    </w:p>
    <w:p w14:paraId="45A5513B"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Marczak, J., Fernandez, J.L., Manthorpe, J., Brimblecombe, N., Moriarty, J., Knapp, M. and Snell, T., 2022. How have the Care Act (2014) ambitions to support carers translated into local practice? Findings from a process evaluation study of local stakeholders' perceptions of Care Act implementation. </w:t>
      </w:r>
      <w:r>
        <w:rPr>
          <w:rFonts w:ascii="Arial" w:hAnsi="Arial" w:cs="Arial"/>
          <w:i/>
          <w:iCs/>
          <w:color w:val="222222"/>
          <w:shd w:val="clear" w:color="auto" w:fill="FFFFFF"/>
        </w:rPr>
        <w:t>Health &amp; Social Care in the Community</w:t>
      </w:r>
      <w:r>
        <w:rPr>
          <w:rFonts w:ascii="Arial" w:hAnsi="Arial" w:cs="Arial"/>
          <w:color w:val="222222"/>
          <w:shd w:val="clear" w:color="auto" w:fill="FFFFFF"/>
        </w:rPr>
        <w:t>, </w:t>
      </w:r>
      <w:r>
        <w:rPr>
          <w:rFonts w:ascii="Arial" w:hAnsi="Arial" w:cs="Arial"/>
          <w:i/>
          <w:iCs/>
          <w:color w:val="222222"/>
          <w:shd w:val="clear" w:color="auto" w:fill="FFFFFF"/>
        </w:rPr>
        <w:t>30</w:t>
      </w:r>
      <w:r>
        <w:rPr>
          <w:rFonts w:ascii="Arial" w:hAnsi="Arial" w:cs="Arial"/>
          <w:color w:val="222222"/>
          <w:shd w:val="clear" w:color="auto" w:fill="FFFFFF"/>
        </w:rPr>
        <w:t xml:space="preserve">(5), </w:t>
      </w:r>
      <w:proofErr w:type="gramStart"/>
      <w:r>
        <w:rPr>
          <w:rFonts w:ascii="Arial" w:hAnsi="Arial" w:cs="Arial"/>
          <w:color w:val="222222"/>
          <w:shd w:val="clear" w:color="auto" w:fill="FFFFFF"/>
        </w:rPr>
        <w:t>pp.e</w:t>
      </w:r>
      <w:proofErr w:type="gramEnd"/>
      <w:r>
        <w:rPr>
          <w:rFonts w:ascii="Arial" w:hAnsi="Arial" w:cs="Arial"/>
          <w:color w:val="222222"/>
          <w:shd w:val="clear" w:color="auto" w:fill="FFFFFF"/>
        </w:rPr>
        <w:t>1711-e1720.</w:t>
      </w:r>
    </w:p>
    <w:p w14:paraId="722A150E"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Maslow, A.H., 1943. A theory of human motivation. </w:t>
      </w:r>
      <w:r>
        <w:rPr>
          <w:rFonts w:ascii="Arial" w:hAnsi="Arial" w:cs="Arial"/>
          <w:i/>
          <w:iCs/>
          <w:color w:val="222222"/>
          <w:shd w:val="clear" w:color="auto" w:fill="FFFFFF"/>
        </w:rPr>
        <w:t>Psychological review</w:t>
      </w:r>
      <w:r>
        <w:rPr>
          <w:rFonts w:ascii="Arial" w:hAnsi="Arial" w:cs="Arial"/>
          <w:color w:val="222222"/>
          <w:shd w:val="clear" w:color="auto" w:fill="FFFFFF"/>
        </w:rPr>
        <w:t>, </w:t>
      </w:r>
      <w:r>
        <w:rPr>
          <w:rFonts w:ascii="Arial" w:hAnsi="Arial" w:cs="Arial"/>
          <w:i/>
          <w:iCs/>
          <w:color w:val="222222"/>
          <w:shd w:val="clear" w:color="auto" w:fill="FFFFFF"/>
        </w:rPr>
        <w:t>50</w:t>
      </w:r>
      <w:r>
        <w:rPr>
          <w:rFonts w:ascii="Arial" w:hAnsi="Arial" w:cs="Arial"/>
          <w:color w:val="222222"/>
          <w:shd w:val="clear" w:color="auto" w:fill="FFFFFF"/>
        </w:rPr>
        <w:t>(4), p.370.</w:t>
      </w:r>
    </w:p>
    <w:p w14:paraId="5376A502" w14:textId="77777777" w:rsidR="00200631" w:rsidRPr="00BE4A9A" w:rsidRDefault="00200631" w:rsidP="00BD68AF">
      <w:pPr>
        <w:spacing w:line="240" w:lineRule="auto"/>
        <w:ind w:left="720" w:hanging="720"/>
        <w:jc w:val="both"/>
        <w:rPr>
          <w:rFonts w:ascii="Arial" w:hAnsi="Arial" w:cs="Arial"/>
          <w:color w:val="222222"/>
          <w:shd w:val="clear" w:color="auto" w:fill="FFFFFF"/>
        </w:rPr>
      </w:pPr>
      <w:bookmarkStart w:id="5" w:name="_Hlk234042247"/>
      <w:r>
        <w:rPr>
          <w:rFonts w:ascii="Arial" w:hAnsi="Arial" w:cs="Arial"/>
          <w:color w:val="222222"/>
          <w:shd w:val="clear" w:color="auto" w:fill="FFFFFF"/>
        </w:rPr>
        <w:t>Mid Staffordshire</w:t>
      </w:r>
      <w:bookmarkEnd w:id="5"/>
      <w:r>
        <w:rPr>
          <w:rFonts w:ascii="Arial" w:hAnsi="Arial" w:cs="Arial"/>
          <w:color w:val="222222"/>
          <w:shd w:val="clear" w:color="auto" w:fill="FFFFFF"/>
        </w:rPr>
        <w:t>, N.H.S., (2013). </w:t>
      </w:r>
      <w:r>
        <w:rPr>
          <w:rFonts w:ascii="Arial" w:hAnsi="Arial" w:cs="Arial"/>
          <w:i/>
          <w:iCs/>
          <w:color w:val="222222"/>
          <w:shd w:val="clear" w:color="auto" w:fill="FFFFFF"/>
        </w:rPr>
        <w:t>Report of the Mid Staffordshire NHS foundation trust public inquiry</w:t>
      </w:r>
      <w:r>
        <w:rPr>
          <w:rFonts w:ascii="Arial" w:hAnsi="Arial" w:cs="Arial"/>
          <w:color w:val="222222"/>
          <w:shd w:val="clear" w:color="auto" w:fill="FFFFFF"/>
        </w:rPr>
        <w:t>. Stationery Office.</w:t>
      </w:r>
    </w:p>
    <w:p w14:paraId="09A51F5D"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Nursing and Midwifery Council (Great Britain), (2018). </w:t>
      </w:r>
      <w:r>
        <w:rPr>
          <w:rFonts w:ascii="Arial" w:hAnsi="Arial" w:cs="Arial"/>
          <w:i/>
          <w:iCs/>
          <w:color w:val="222222"/>
          <w:shd w:val="clear" w:color="auto" w:fill="FFFFFF"/>
        </w:rPr>
        <w:t xml:space="preserve">The code: professional standards of practice and </w:t>
      </w:r>
      <w:proofErr w:type="spellStart"/>
      <w:r>
        <w:rPr>
          <w:rFonts w:ascii="Arial" w:hAnsi="Arial" w:cs="Arial"/>
          <w:i/>
          <w:iCs/>
          <w:color w:val="222222"/>
          <w:shd w:val="clear" w:color="auto" w:fill="FFFFFF"/>
        </w:rPr>
        <w:t>behaviour</w:t>
      </w:r>
      <w:proofErr w:type="spellEnd"/>
      <w:r>
        <w:rPr>
          <w:rFonts w:ascii="Arial" w:hAnsi="Arial" w:cs="Arial"/>
          <w:i/>
          <w:iCs/>
          <w:color w:val="222222"/>
          <w:shd w:val="clear" w:color="auto" w:fill="FFFFFF"/>
        </w:rPr>
        <w:t xml:space="preserve"> for nurses, midwives and nursing associates</w:t>
      </w:r>
      <w:r>
        <w:rPr>
          <w:rFonts w:ascii="Arial" w:hAnsi="Arial" w:cs="Arial"/>
          <w:color w:val="222222"/>
          <w:shd w:val="clear" w:color="auto" w:fill="FFFFFF"/>
        </w:rPr>
        <w:t>. NMC.</w:t>
      </w:r>
    </w:p>
    <w:p w14:paraId="1EB0D9E6"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Rayner, M., (2022). The care quality commission: a regulatory evolution. </w:t>
      </w:r>
      <w:r>
        <w:rPr>
          <w:rFonts w:ascii="Arial" w:hAnsi="Arial" w:cs="Arial"/>
          <w:i/>
          <w:iCs/>
          <w:color w:val="222222"/>
          <w:shd w:val="clear" w:color="auto" w:fill="FFFFFF"/>
        </w:rPr>
        <w:t>Judicial Review</w:t>
      </w:r>
      <w:r>
        <w:rPr>
          <w:rFonts w:ascii="Arial" w:hAnsi="Arial" w:cs="Arial"/>
          <w:color w:val="222222"/>
          <w:shd w:val="clear" w:color="auto" w:fill="FFFFFF"/>
        </w:rPr>
        <w:t>, </w:t>
      </w:r>
      <w:r>
        <w:rPr>
          <w:rFonts w:ascii="Arial" w:hAnsi="Arial" w:cs="Arial"/>
          <w:i/>
          <w:iCs/>
          <w:color w:val="222222"/>
          <w:shd w:val="clear" w:color="auto" w:fill="FFFFFF"/>
        </w:rPr>
        <w:t>27</w:t>
      </w:r>
      <w:r>
        <w:rPr>
          <w:rFonts w:ascii="Arial" w:hAnsi="Arial" w:cs="Arial"/>
          <w:color w:val="222222"/>
          <w:shd w:val="clear" w:color="auto" w:fill="FFFFFF"/>
        </w:rPr>
        <w:t>(2), pp.126-131.</w:t>
      </w:r>
    </w:p>
    <w:p w14:paraId="01A41F5B" w14:textId="77777777" w:rsidR="00200631" w:rsidRPr="00BE4A9A" w:rsidRDefault="00200631" w:rsidP="00BD68AF">
      <w:pPr>
        <w:spacing w:line="240" w:lineRule="auto"/>
        <w:ind w:left="720" w:hanging="720"/>
        <w:jc w:val="both"/>
        <w:rPr>
          <w:rFonts w:ascii="Arial" w:hAnsi="Arial" w:cs="Arial"/>
          <w:color w:val="222222"/>
          <w:shd w:val="clear" w:color="auto" w:fill="FFFFFF"/>
        </w:rPr>
      </w:pPr>
      <w:bookmarkStart w:id="6" w:name="_Hlk234042054"/>
      <w:bookmarkStart w:id="7" w:name="_Hlk234144123"/>
      <w:r>
        <w:rPr>
          <w:rFonts w:ascii="Arial" w:hAnsi="Arial" w:cs="Arial"/>
          <w:color w:val="222222"/>
          <w:shd w:val="clear" w:color="auto" w:fill="FFFFFF"/>
        </w:rPr>
        <w:lastRenderedPageBreak/>
        <w:t>Sanderson</w:t>
      </w:r>
      <w:bookmarkEnd w:id="6"/>
      <w:r>
        <w:rPr>
          <w:rFonts w:ascii="Arial" w:hAnsi="Arial" w:cs="Arial"/>
          <w:color w:val="222222"/>
          <w:shd w:val="clear" w:color="auto" w:fill="FFFFFF"/>
        </w:rPr>
        <w:t xml:space="preserve">, </w:t>
      </w:r>
      <w:bookmarkEnd w:id="7"/>
      <w:r>
        <w:rPr>
          <w:rFonts w:ascii="Arial" w:hAnsi="Arial" w:cs="Arial"/>
          <w:color w:val="222222"/>
          <w:shd w:val="clear" w:color="auto" w:fill="FFFFFF"/>
        </w:rPr>
        <w:t xml:space="preserve">M., Allen, P., Osipovic, D., </w:t>
      </w:r>
      <w:proofErr w:type="spellStart"/>
      <w:r>
        <w:rPr>
          <w:rFonts w:ascii="Arial" w:hAnsi="Arial" w:cs="Arial"/>
          <w:color w:val="222222"/>
          <w:shd w:val="clear" w:color="auto" w:fill="FFFFFF"/>
        </w:rPr>
        <w:t>Petsoulas</w:t>
      </w:r>
      <w:proofErr w:type="spellEnd"/>
      <w:r>
        <w:rPr>
          <w:rFonts w:ascii="Arial" w:hAnsi="Arial" w:cs="Arial"/>
          <w:color w:val="222222"/>
          <w:shd w:val="clear" w:color="auto" w:fill="FFFFFF"/>
        </w:rPr>
        <w:t>, C., Boiko, O. and Lorne, C., (2023). Developing architecture of system management in the English NHS: evidence from a qualitative study of three Integrated Care Systems. </w:t>
      </w:r>
      <w:r>
        <w:rPr>
          <w:rFonts w:ascii="Arial" w:hAnsi="Arial" w:cs="Arial"/>
          <w:i/>
          <w:iCs/>
          <w:color w:val="222222"/>
          <w:shd w:val="clear" w:color="auto" w:fill="FFFFFF"/>
        </w:rPr>
        <w:t>BMJ open</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(2), p.e065993.</w:t>
      </w:r>
    </w:p>
    <w:p w14:paraId="10538E86"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 xml:space="preserve">Skills for Care (2025) </w:t>
      </w:r>
      <w:r>
        <w:rPr>
          <w:rFonts w:ascii="Arial" w:hAnsi="Arial" w:cs="Arial"/>
          <w:i/>
          <w:iCs/>
          <w:color w:val="222222"/>
          <w:shd w:val="clear" w:color="auto" w:fill="FFFFFF"/>
        </w:rPr>
        <w:t>The state of the adult social care sector and workforce in England 2025: Executive Summary</w:t>
      </w:r>
      <w:r>
        <w:rPr>
          <w:rFonts w:ascii="Arial" w:hAnsi="Arial" w:cs="Arial"/>
          <w:color w:val="222222"/>
          <w:shd w:val="clear" w:color="auto" w:fill="FFFFFF"/>
        </w:rPr>
        <w:t xml:space="preserve">. Available at: </w:t>
      </w:r>
      <w:hyperlink r:id="rId12" w:tgtFrame="_blank" w:history="1">
        <w:r>
          <w:rPr>
            <w:rStyle w:val="Hyperlink"/>
            <w:rFonts w:ascii="Arial" w:hAnsi="Arial" w:cs="Arial"/>
            <w:shd w:val="clear" w:color="auto" w:fill="FFFFFF"/>
          </w:rPr>
          <w:t>https://www.skillsforcare.org.uk/Adult-Social-Care-Workforce-Data/workforceintelligence/resources/Reports/National/The-state-of-the-adult-social-care-sector-and-workforce-in-England-2025-Executive-Summary.pdf</w:t>
        </w:r>
      </w:hyperlink>
    </w:p>
    <w:p w14:paraId="708F6173"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 xml:space="preserve">Social Care Institute for Excellence (2022) </w:t>
      </w:r>
      <w:r>
        <w:rPr>
          <w:rFonts w:ascii="Arial" w:hAnsi="Arial" w:cs="Arial"/>
          <w:i/>
          <w:iCs/>
          <w:color w:val="222222"/>
          <w:shd w:val="clear" w:color="auto" w:fill="FFFFFF"/>
        </w:rPr>
        <w:t>Hospital discharge and preventing unnecessary hospital admissions (COVID-19)</w:t>
      </w:r>
      <w:r>
        <w:rPr>
          <w:rFonts w:ascii="Arial" w:hAnsi="Arial" w:cs="Arial"/>
          <w:color w:val="222222"/>
          <w:shd w:val="clear" w:color="auto" w:fill="FFFFFF"/>
        </w:rPr>
        <w:t xml:space="preserve">. Available at: </w:t>
      </w:r>
      <w:hyperlink r:id="rId13" w:tgtFrame="_blank" w:history="1">
        <w:r>
          <w:rPr>
            <w:rStyle w:val="Hyperlink"/>
            <w:rFonts w:ascii="Arial" w:hAnsi="Arial" w:cs="Arial"/>
            <w:shd w:val="clear" w:color="auto" w:fill="FFFFFF"/>
          </w:rPr>
          <w:t>https://www.scie.org.uk/providing-care/commissioning/hospital-discharge-admissions/</w:t>
        </w:r>
      </w:hyperlink>
      <w:r>
        <w:rPr>
          <w:rFonts w:ascii="Arial" w:hAnsi="Arial" w:cs="Arial"/>
          <w:color w:val="222222"/>
          <w:shd w:val="clear" w:color="auto" w:fill="FFFFFF"/>
        </w:rPr>
        <w:t xml:space="preserve"> </w:t>
      </w:r>
    </w:p>
    <w:p w14:paraId="479A7C04"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Thomson, L.J. and Chatterjee, H.J., (2024). Barriers and enablers of integrated care in the UK: a rapid evidence review of review articles and grey literature 2018–2022. </w:t>
      </w:r>
      <w:r>
        <w:rPr>
          <w:rFonts w:ascii="Arial" w:hAnsi="Arial" w:cs="Arial"/>
          <w:i/>
          <w:iCs/>
          <w:color w:val="222222"/>
          <w:shd w:val="clear" w:color="auto" w:fill="FFFFFF"/>
        </w:rPr>
        <w:t>Frontiers in Public Health</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 p.1286479.</w:t>
      </w:r>
    </w:p>
    <w:p w14:paraId="0C9471A9" w14:textId="77777777" w:rsidR="00200631" w:rsidRPr="00BE4A9A" w:rsidRDefault="00200631" w:rsidP="00BD68AF">
      <w:pPr>
        <w:spacing w:line="240" w:lineRule="auto"/>
        <w:ind w:left="720" w:hanging="720"/>
        <w:jc w:val="both"/>
        <w:rPr>
          <w:rFonts w:ascii="Arial" w:hAnsi="Arial" w:cs="Arial"/>
          <w:color w:val="222222"/>
          <w:shd w:val="clear" w:color="auto" w:fill="FFFFFF"/>
        </w:rPr>
      </w:pPr>
      <w:r>
        <w:rPr>
          <w:rFonts w:ascii="Arial" w:hAnsi="Arial" w:cs="Arial"/>
          <w:color w:val="222222"/>
          <w:shd w:val="clear" w:color="auto" w:fill="FFFFFF"/>
        </w:rPr>
        <w:t>World Health Organization, (2010). </w:t>
      </w:r>
      <w:r>
        <w:rPr>
          <w:rFonts w:ascii="Arial" w:hAnsi="Arial" w:cs="Arial"/>
          <w:i/>
          <w:iCs/>
          <w:color w:val="222222"/>
          <w:shd w:val="clear" w:color="auto" w:fill="FFFFFF"/>
        </w:rPr>
        <w:t>Framework for action on interprofessional education and collaborative practice</w:t>
      </w:r>
      <w:r>
        <w:rPr>
          <w:rFonts w:ascii="Arial" w:hAnsi="Arial" w:cs="Arial"/>
          <w:color w:val="222222"/>
          <w:shd w:val="clear" w:color="auto" w:fill="FFFFFF"/>
        </w:rPr>
        <w:t> (No. WHO/HRH/HPN/10.3). World Health Organization.</w:t>
      </w:r>
    </w:p>
    <w:p w14:paraId="618F27B7" w14:textId="77777777" w:rsidR="00BD68AF" w:rsidRPr="00BE4A9A" w:rsidRDefault="00BD68AF" w:rsidP="00194362">
      <w:pPr>
        <w:spacing w:line="360" w:lineRule="auto"/>
        <w:jc w:val="both"/>
        <w:rPr>
          <w:rFonts w:ascii="Arial" w:hAnsi="Arial" w:cs="Arial"/>
        </w:rPr>
      </w:pPr>
    </w:p>
    <w:p w14:paraId="0D17A732" w14:textId="77777777" w:rsidR="003D409E" w:rsidRPr="00BE4A9A" w:rsidRDefault="003D409E" w:rsidP="00194362">
      <w:pPr>
        <w:spacing w:line="360" w:lineRule="auto"/>
        <w:jc w:val="both"/>
        <w:rPr>
          <w:rFonts w:ascii="Arial" w:hAnsi="Arial" w:cs="Arial"/>
        </w:rPr>
      </w:pPr>
    </w:p>
    <w:p w14:paraId="2EA9CA51" w14:textId="77777777" w:rsidR="003D409E" w:rsidRPr="00BE4A9A" w:rsidRDefault="003D409E" w:rsidP="00194362">
      <w:pPr>
        <w:spacing w:line="360" w:lineRule="auto"/>
        <w:jc w:val="both"/>
        <w:rPr>
          <w:rFonts w:ascii="Arial" w:hAnsi="Arial" w:cs="Arial"/>
        </w:rPr>
      </w:pPr>
    </w:p>
    <w:p w14:paraId="06BD2D02" w14:textId="333669F1" w:rsidR="006B6864" w:rsidRDefault="006B6864">
      <w:pPr>
        <w:rPr>
          <w:rFonts w:ascii="Arial" w:hAnsi="Arial" w:cs="Arial"/>
        </w:rPr>
      </w:pPr>
    </w:p>
    <w:sectPr w:rsidR="006B6864">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07793" w14:textId="77777777" w:rsidR="008062FE" w:rsidRDefault="008062FE" w:rsidP="00194362">
      <w:pPr>
        <w:spacing w:after="0" w:line="240" w:lineRule="auto"/>
      </w:pPr>
      <w:r>
        <w:separator/>
      </w:r>
    </w:p>
  </w:endnote>
  <w:endnote w:type="continuationSeparator" w:id="0">
    <w:p w14:paraId="228A528B" w14:textId="77777777" w:rsidR="008062FE" w:rsidRDefault="008062FE" w:rsidP="00194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431341"/>
      <w:docPartObj>
        <w:docPartGallery w:val="Page Numbers (Bottom of Page)"/>
        <w:docPartUnique/>
      </w:docPartObj>
    </w:sdtPr>
    <w:sdtEndPr>
      <w:rPr>
        <w:rFonts w:ascii="Arial" w:hAnsi="Arial" w:cs="Arial"/>
        <w:noProof/>
      </w:rPr>
    </w:sdtEndPr>
    <w:sdtContent>
      <w:p w14:paraId="5EADF9DE" w14:textId="6331E387" w:rsidR="00194362" w:rsidRPr="00194362" w:rsidRDefault="00194362">
        <w:pPr>
          <w:pStyle w:val="Footer"/>
          <w:rPr>
            <w:rFonts w:ascii="Arial" w:hAnsi="Arial" w:cs="Arial"/>
          </w:rPr>
        </w:pPr>
        <w:r w:rsidRPr="00194362">
          <w:rPr>
            <w:rFonts w:ascii="Arial" w:hAnsi="Arial" w:cs="Arial"/>
          </w:rPr>
          <w:fldChar w:fldCharType="begin"/>
        </w:r>
        <w:r w:rsidRPr="00194362">
          <w:rPr>
            <w:rFonts w:ascii="Arial" w:hAnsi="Arial" w:cs="Arial"/>
          </w:rPr>
          <w:instrText xml:space="preserve"> PAGE   \* MERGEFORMAT </w:instrText>
        </w:r>
        <w:r w:rsidRPr="00194362">
          <w:rPr>
            <w:rFonts w:ascii="Arial" w:hAnsi="Arial" w:cs="Arial"/>
          </w:rPr>
          <w:fldChar w:fldCharType="separate"/>
        </w:r>
        <w:r w:rsidRPr="00194362">
          <w:rPr>
            <w:rFonts w:ascii="Arial" w:hAnsi="Arial" w:cs="Arial"/>
            <w:noProof/>
          </w:rPr>
          <w:t>2</w:t>
        </w:r>
        <w:r w:rsidRPr="00194362">
          <w:rPr>
            <w:rFonts w:ascii="Arial" w:hAnsi="Arial" w:cs="Arial"/>
            <w:noProof/>
          </w:rPr>
          <w:fldChar w:fldCharType="end"/>
        </w:r>
      </w:p>
    </w:sdtContent>
  </w:sdt>
  <w:p w14:paraId="542ADDDD" w14:textId="77777777" w:rsidR="00194362" w:rsidRDefault="00194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75F5F" w14:textId="77777777" w:rsidR="008062FE" w:rsidRDefault="008062FE" w:rsidP="00194362">
      <w:pPr>
        <w:spacing w:after="0" w:line="240" w:lineRule="auto"/>
      </w:pPr>
      <w:r>
        <w:separator/>
      </w:r>
    </w:p>
  </w:footnote>
  <w:footnote w:type="continuationSeparator" w:id="0">
    <w:p w14:paraId="0423D6C9" w14:textId="77777777" w:rsidR="008062FE" w:rsidRDefault="008062FE" w:rsidP="001943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E85665"/>
    <w:multiLevelType w:val="hybridMultilevel"/>
    <w:tmpl w:val="B3962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4241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09E"/>
    <w:rsid w:val="00095DCA"/>
    <w:rsid w:val="00194362"/>
    <w:rsid w:val="0019797E"/>
    <w:rsid w:val="00200631"/>
    <w:rsid w:val="00241437"/>
    <w:rsid w:val="00326B48"/>
    <w:rsid w:val="003D409E"/>
    <w:rsid w:val="006B6864"/>
    <w:rsid w:val="00731E4E"/>
    <w:rsid w:val="00795316"/>
    <w:rsid w:val="008062FE"/>
    <w:rsid w:val="008F63EB"/>
    <w:rsid w:val="009A13DB"/>
    <w:rsid w:val="009C5A71"/>
    <w:rsid w:val="009F0BC7"/>
    <w:rsid w:val="00AA17C3"/>
    <w:rsid w:val="00AB760C"/>
    <w:rsid w:val="00BD68AF"/>
    <w:rsid w:val="00BE4A9A"/>
    <w:rsid w:val="00DB210D"/>
    <w:rsid w:val="00E41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2FFA0"/>
  <w15:chartTrackingRefBased/>
  <w15:docId w15:val="{60C6A5D4-9286-4190-B099-25B62FB42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A71"/>
    <w:pPr>
      <w:keepNext/>
      <w:keepLines/>
      <w:spacing w:before="240" w:after="0" w:line="360" w:lineRule="auto"/>
      <w:jc w:val="both"/>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4362"/>
  </w:style>
  <w:style w:type="paragraph" w:styleId="Footer">
    <w:name w:val="footer"/>
    <w:basedOn w:val="Normal"/>
    <w:link w:val="FooterChar"/>
    <w:uiPriority w:val="99"/>
    <w:unhideWhenUsed/>
    <w:rsid w:val="00194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4362"/>
  </w:style>
  <w:style w:type="character" w:customStyle="1" w:styleId="Heading1Char">
    <w:name w:val="Heading 1 Char"/>
    <w:basedOn w:val="DefaultParagraphFont"/>
    <w:link w:val="Heading1"/>
    <w:uiPriority w:val="9"/>
    <w:rsid w:val="009C5A71"/>
    <w:rPr>
      <w:rFonts w:ascii="Arial" w:eastAsiaTheme="majorEastAsia" w:hAnsi="Arial" w:cstheme="majorBidi"/>
      <w:b/>
      <w:szCs w:val="32"/>
    </w:rPr>
  </w:style>
  <w:style w:type="paragraph" w:styleId="TOCHeading">
    <w:name w:val="TOC Heading"/>
    <w:basedOn w:val="Heading1"/>
    <w:next w:val="Normal"/>
    <w:uiPriority w:val="39"/>
    <w:unhideWhenUsed/>
    <w:qFormat/>
    <w:rsid w:val="009C5A7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C5A71"/>
    <w:pPr>
      <w:spacing w:after="100"/>
    </w:pPr>
  </w:style>
  <w:style w:type="character" w:styleId="Hyperlink">
    <w:name w:val="Hyperlink"/>
    <w:basedOn w:val="DefaultParagraphFont"/>
    <w:uiPriority w:val="99"/>
    <w:unhideWhenUsed/>
    <w:rsid w:val="009C5A71"/>
    <w:rPr>
      <w:color w:val="0563C1" w:themeColor="hyperlink"/>
      <w:u w:val="single"/>
    </w:rPr>
  </w:style>
  <w:style w:type="paragraph" w:styleId="BalloonText">
    <w:name w:val="Balloon Text"/>
    <w:basedOn w:val="Normal"/>
    <w:link w:val="BalloonTextChar"/>
    <w:uiPriority w:val="99"/>
    <w:semiHidden/>
    <w:unhideWhenUsed/>
    <w:rsid w:val="00BE4A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A9A"/>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7953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org.uk/providing-care/commissioning/hospital-discharge-admiss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https%3A%2F%2Fwww.skillsforcare.org.uk%2FAdult-Social-Care-Workforce-Data%2Fworkforceintelligence%2Fresources%2FReports%2FNational%2FThe-state-of-the-adult-social-care-sector-and-workforce-in-England-2025-Executive-Summary.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2/31/conten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lation.gov.uk/ukpga/2014/23/contents" TargetMode="External"/><Relationship Id="rId4" Type="http://schemas.openxmlformats.org/officeDocument/2006/relationships/settings" Target="settings.xml"/><Relationship Id="rId9" Type="http://schemas.openxmlformats.org/officeDocument/2006/relationships/hyperlink" Target="https://www.cqc.org.uk/sites/default/files/2023-09/CM092341_4.1b_PerformanceSummary_report.od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58D96-A6F4-4970-8080-B46C64044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2843</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HAK</dc:creator>
  <cp:keywords/>
  <dc:description/>
  <cp:lastModifiedBy>elisha HAK</cp:lastModifiedBy>
  <cp:revision>3</cp:revision>
  <dcterms:created xsi:type="dcterms:W3CDTF">2026-07-31T14:07:00Z</dcterms:created>
  <dcterms:modified xsi:type="dcterms:W3CDTF">2026-07-31T14:07:00Z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191ae653-552a-472d-8be1-3d6eaf296567</vt:lpwstr>
  </property>
</Properties>
</file>