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73821" w14:textId="77777777" w:rsidR="00C740F9" w:rsidRPr="00A0270A" w:rsidRDefault="00C740F9" w:rsidP="00C740F9">
      <w:pPr>
        <w:rPr>
          <w:rFonts w:ascii="Arial" w:hAnsi="Arial" w:cs="Arial"/>
          <w:color w:val="000000" w:themeColor="text1"/>
        </w:rPr>
      </w:pPr>
      <w:r w:rsidRPr="00A0270A">
        <w:rPr>
          <w:rFonts w:ascii="Arial" w:hAnsi="Arial" w:cs="Arial"/>
          <w:noProof/>
          <w:color w:val="000000" w:themeColor="text1"/>
        </w:rPr>
        <w:drawing>
          <wp:inline distT="0" distB="0" distL="0" distR="0" wp14:anchorId="0BBDD2BC" wp14:editId="1CE398CB">
            <wp:extent cx="5678322" cy="2527443"/>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9619" cy="2594786"/>
                    </a:xfrm>
                    <a:prstGeom prst="rect">
                      <a:avLst/>
                    </a:prstGeom>
                    <a:noFill/>
                  </pic:spPr>
                </pic:pic>
              </a:graphicData>
            </a:graphic>
          </wp:inline>
        </w:drawing>
      </w:r>
    </w:p>
    <w:p w14:paraId="2430FF44" w14:textId="77777777" w:rsidR="00C740F9" w:rsidRPr="00A0270A" w:rsidRDefault="00C740F9" w:rsidP="00C740F9">
      <w:pPr>
        <w:rPr>
          <w:rFonts w:ascii="Arial" w:hAnsi="Arial" w:cs="Arial"/>
          <w:color w:val="000000" w:themeColor="text1"/>
          <w:sz w:val="28"/>
          <w:szCs w:val="28"/>
        </w:rPr>
      </w:pPr>
    </w:p>
    <w:p w14:paraId="06BD8CCD" w14:textId="5A8D9C74" w:rsidR="00C740F9" w:rsidRPr="00E81910" w:rsidRDefault="00C740F9" w:rsidP="00372C57">
      <w:pPr>
        <w:spacing w:line="276" w:lineRule="auto"/>
        <w:rPr>
          <w:rFonts w:ascii="Arial" w:hAnsi="Arial" w:cs="Arial"/>
          <w:color w:val="000000" w:themeColor="text1"/>
          <w:sz w:val="28"/>
          <w:szCs w:val="28"/>
        </w:rPr>
      </w:pPr>
      <w:r w:rsidRPr="00E81910">
        <w:rPr>
          <w:rFonts w:ascii="Arial" w:hAnsi="Arial" w:cs="Arial"/>
          <w:b/>
          <w:bCs/>
          <w:color w:val="000000" w:themeColor="text1"/>
          <w:sz w:val="28"/>
          <w:szCs w:val="28"/>
        </w:rPr>
        <w:t>Name</w:t>
      </w:r>
      <w:r w:rsidRPr="00E81910">
        <w:rPr>
          <w:rFonts w:ascii="Arial" w:hAnsi="Arial" w:cs="Arial"/>
          <w:color w:val="000000" w:themeColor="text1"/>
          <w:sz w:val="28"/>
          <w:szCs w:val="28"/>
        </w:rPr>
        <w:t xml:space="preserve">: </w:t>
      </w:r>
      <w:r w:rsidR="00E81910" w:rsidRPr="00E81910">
        <w:rPr>
          <w:rFonts w:ascii="Arial" w:hAnsi="Arial" w:cs="Arial"/>
          <w:color w:val="000000" w:themeColor="text1"/>
          <w:sz w:val="28"/>
          <w:szCs w:val="28"/>
        </w:rPr>
        <w:t>Ruby Ana Geli</w:t>
      </w:r>
    </w:p>
    <w:p w14:paraId="43D19B18" w14:textId="63844E96" w:rsidR="00222EA0" w:rsidRPr="00E81910" w:rsidRDefault="00C740F9" w:rsidP="00372C57">
      <w:pPr>
        <w:spacing w:line="276" w:lineRule="auto"/>
        <w:rPr>
          <w:rFonts w:ascii="Arial" w:hAnsi="Arial" w:cs="Arial"/>
          <w:sz w:val="28"/>
          <w:szCs w:val="28"/>
        </w:rPr>
      </w:pPr>
      <w:r w:rsidRPr="00E81910">
        <w:rPr>
          <w:rFonts w:ascii="Arial" w:hAnsi="Arial" w:cs="Arial"/>
          <w:b/>
          <w:bCs/>
          <w:sz w:val="28"/>
          <w:szCs w:val="28"/>
        </w:rPr>
        <w:t>Student ID</w:t>
      </w:r>
      <w:r w:rsidRPr="00E81910">
        <w:rPr>
          <w:rFonts w:ascii="Arial" w:hAnsi="Arial" w:cs="Arial"/>
          <w:sz w:val="28"/>
          <w:szCs w:val="28"/>
        </w:rPr>
        <w:t xml:space="preserve">: </w:t>
      </w:r>
      <w:r w:rsidR="00E86C23" w:rsidRPr="00E81910">
        <w:rPr>
          <w:rFonts w:ascii="Arial" w:hAnsi="Arial" w:cs="Arial"/>
          <w:color w:val="1D2125"/>
          <w:kern w:val="24"/>
          <w:sz w:val="28"/>
          <w:szCs w:val="28"/>
        </w:rPr>
        <w:t>2515868</w:t>
      </w:r>
    </w:p>
    <w:p w14:paraId="1D63ABCB" w14:textId="3AABDC87" w:rsidR="00C740F9" w:rsidRPr="00E81910" w:rsidRDefault="00C740F9" w:rsidP="00372C57">
      <w:pPr>
        <w:spacing w:line="276" w:lineRule="auto"/>
        <w:rPr>
          <w:rFonts w:ascii="Arial" w:hAnsi="Arial" w:cs="Arial"/>
          <w:sz w:val="28"/>
          <w:szCs w:val="28"/>
        </w:rPr>
      </w:pPr>
      <w:r w:rsidRPr="00E81910">
        <w:rPr>
          <w:rFonts w:ascii="Arial" w:hAnsi="Arial" w:cs="Arial"/>
          <w:b/>
          <w:bCs/>
          <w:sz w:val="28"/>
          <w:szCs w:val="28"/>
        </w:rPr>
        <w:t>Module Code</w:t>
      </w:r>
      <w:r w:rsidRPr="00E81910">
        <w:rPr>
          <w:rFonts w:ascii="Arial" w:hAnsi="Arial" w:cs="Arial"/>
          <w:sz w:val="28"/>
          <w:szCs w:val="28"/>
        </w:rPr>
        <w:t>: LCHS400</w:t>
      </w:r>
      <w:r w:rsidR="0073357A" w:rsidRPr="00E81910">
        <w:rPr>
          <w:rFonts w:ascii="Arial" w:hAnsi="Arial" w:cs="Arial"/>
          <w:sz w:val="28"/>
          <w:szCs w:val="28"/>
        </w:rPr>
        <w:t>8</w:t>
      </w:r>
    </w:p>
    <w:p w14:paraId="13C24EB6" w14:textId="607F1001" w:rsidR="00C740F9" w:rsidRPr="00E81910" w:rsidRDefault="00C740F9" w:rsidP="00372C57">
      <w:pPr>
        <w:spacing w:line="276" w:lineRule="auto"/>
        <w:rPr>
          <w:rFonts w:ascii="Arial" w:eastAsia="Times New Roman" w:hAnsi="Arial" w:cs="Arial"/>
          <w:kern w:val="36"/>
          <w:sz w:val="28"/>
          <w:szCs w:val="28"/>
          <w:lang w:eastAsia="en-GB"/>
          <w14:ligatures w14:val="none"/>
        </w:rPr>
      </w:pPr>
      <w:r w:rsidRPr="00E81910">
        <w:rPr>
          <w:rFonts w:ascii="Arial" w:hAnsi="Arial" w:cs="Arial"/>
          <w:b/>
          <w:bCs/>
          <w:sz w:val="28"/>
          <w:szCs w:val="28"/>
        </w:rPr>
        <w:t>Module</w:t>
      </w:r>
      <w:r w:rsidRPr="00E81910">
        <w:rPr>
          <w:rFonts w:ascii="Arial" w:hAnsi="Arial" w:cs="Arial"/>
          <w:sz w:val="28"/>
          <w:szCs w:val="28"/>
        </w:rPr>
        <w:t xml:space="preserve">: </w:t>
      </w:r>
      <w:r w:rsidR="00CD06BB" w:rsidRPr="00E81910">
        <w:rPr>
          <w:rFonts w:ascii="Arial" w:hAnsi="Arial" w:cs="Arial"/>
          <w:color w:val="000000" w:themeColor="text1"/>
          <w:kern w:val="24"/>
          <w:sz w:val="28"/>
          <w:szCs w:val="28"/>
        </w:rPr>
        <w:t>Introduction to Health and Social Care</w:t>
      </w:r>
    </w:p>
    <w:p w14:paraId="205245EE" w14:textId="1442BEC4" w:rsidR="00C740F9" w:rsidRPr="00E81910" w:rsidRDefault="00C740F9" w:rsidP="00372C57">
      <w:pPr>
        <w:spacing w:line="276" w:lineRule="auto"/>
        <w:rPr>
          <w:rFonts w:ascii="Arial" w:hAnsi="Arial" w:cs="Arial"/>
          <w:sz w:val="28"/>
          <w:szCs w:val="28"/>
        </w:rPr>
      </w:pPr>
      <w:r w:rsidRPr="00E81910">
        <w:rPr>
          <w:rFonts w:ascii="Arial" w:hAnsi="Arial" w:cs="Arial"/>
          <w:b/>
          <w:bCs/>
          <w:sz w:val="28"/>
          <w:szCs w:val="28"/>
        </w:rPr>
        <w:t>Lecturer</w:t>
      </w:r>
      <w:r w:rsidRPr="00E81910">
        <w:rPr>
          <w:rFonts w:ascii="Arial" w:hAnsi="Arial" w:cs="Arial"/>
          <w:sz w:val="28"/>
          <w:szCs w:val="28"/>
        </w:rPr>
        <w:t xml:space="preserve">: </w:t>
      </w:r>
      <w:r w:rsidR="00E81910" w:rsidRPr="00E81910">
        <w:rPr>
          <w:rFonts w:ascii="Arial" w:hAnsi="Arial" w:cs="Arial"/>
          <w:color w:val="000000" w:themeColor="text1"/>
          <w:kern w:val="24"/>
          <w:sz w:val="28"/>
          <w:szCs w:val="28"/>
        </w:rPr>
        <w:t>Muhammad Aliyu</w:t>
      </w:r>
      <w:r w:rsidR="00E81910" w:rsidRPr="00E81910">
        <w:rPr>
          <w:rFonts w:ascii="Arial" w:hAnsi="Arial" w:cs="Arial"/>
          <w:b/>
          <w:bCs/>
          <w:color w:val="000000" w:themeColor="text1"/>
          <w:kern w:val="24"/>
          <w:sz w:val="28"/>
          <w:szCs w:val="28"/>
        </w:rPr>
        <w:t> </w:t>
      </w:r>
    </w:p>
    <w:p w14:paraId="02105A28" w14:textId="77777777" w:rsidR="00C740F9" w:rsidRDefault="00C740F9" w:rsidP="00372C57">
      <w:pPr>
        <w:spacing w:line="276" w:lineRule="auto"/>
        <w:rPr>
          <w:rFonts w:ascii="Arial" w:hAnsi="Arial" w:cs="Arial"/>
          <w:sz w:val="28"/>
          <w:szCs w:val="28"/>
        </w:rPr>
      </w:pPr>
    </w:p>
    <w:p w14:paraId="0298D794" w14:textId="32C4A952" w:rsidR="00621D49" w:rsidRPr="00621D49" w:rsidRDefault="00C740F9" w:rsidP="00621D49">
      <w:pPr>
        <w:spacing w:line="276" w:lineRule="auto"/>
        <w:rPr>
          <w:rFonts w:ascii="Arial" w:hAnsi="Arial" w:cs="Arial"/>
          <w:sz w:val="28"/>
          <w:szCs w:val="28"/>
        </w:rPr>
      </w:pPr>
      <w:r>
        <w:rPr>
          <w:rFonts w:ascii="Arial" w:hAnsi="Arial" w:cs="Arial"/>
          <w:sz w:val="28"/>
          <w:szCs w:val="28"/>
        </w:rPr>
        <w:br w:type="page"/>
      </w:r>
    </w:p>
    <w:p w14:paraId="6FEED0A8" w14:textId="155E57DC"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lastRenderedPageBreak/>
        <w:t>Effective care delivery within health and social care settings relies on clear communication, accurate administrative practice, and strong multidisciplinary collaboration. This report focuses on the case of Mr Ahmed, a 68-year-old man recovering from a stroke who receives domiciliary care and support from a range of healthcare professionals. His situation highlights key challenges, including language barriers, reliance on family members for communication, and concerns regarding missed care visits. These factors emphasise the importance of adopting a person-centred approach that promotes safety, dignity, and equality. Legislative frameworks such as the Equality Act 2010 (Equality Act, 2010) and the Data Protection Act 2018 (Department of Health and Social Care, 2018) underpin professional responsibilities, ensuring that care is inclusive, confidential, and effectively managed. This report will explore the role of communication in meeting Mr Ahmed’s needs, examine the importance of administrative skills such as record keeping, and analyse the value of collaborative working in delivering safe, high-quality care (NHS England, 2019; Department of Health and Social Care, 2021).</w:t>
      </w:r>
    </w:p>
    <w:p w14:paraId="37C7BEA8" w14:textId="3DA085EE" w:rsidR="00621D49" w:rsidRPr="00621D49" w:rsidRDefault="00621D49" w:rsidP="00621D49">
      <w:pPr>
        <w:autoSpaceDE w:val="0"/>
        <w:autoSpaceDN w:val="0"/>
        <w:adjustRightInd w:val="0"/>
        <w:spacing w:after="0" w:line="276" w:lineRule="auto"/>
        <w:rPr>
          <w:rFonts w:ascii="Arial" w:hAnsi="Arial" w:cs="Arial"/>
          <w:kern w:val="0"/>
        </w:rPr>
      </w:pPr>
    </w:p>
    <w:p w14:paraId="04EA1604" w14:textId="77777777" w:rsidR="00621D49" w:rsidRPr="00621D49" w:rsidRDefault="00621D49" w:rsidP="00621D49">
      <w:pPr>
        <w:autoSpaceDE w:val="0"/>
        <w:autoSpaceDN w:val="0"/>
        <w:adjustRightInd w:val="0"/>
        <w:spacing w:after="0" w:line="276" w:lineRule="auto"/>
        <w:rPr>
          <w:rFonts w:ascii="Arial" w:hAnsi="Arial" w:cs="Arial"/>
          <w:kern w:val="0"/>
        </w:rPr>
      </w:pPr>
    </w:p>
    <w:p w14:paraId="235B48E8" w14:textId="27056772"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b/>
          <w:bCs/>
          <w:kern w:val="0"/>
        </w:rPr>
        <w:t xml:space="preserve">Effective Communication </w:t>
      </w:r>
    </w:p>
    <w:p w14:paraId="0008C1A1" w14:textId="77777777" w:rsidR="00621D49" w:rsidRPr="00621D49" w:rsidRDefault="00621D49" w:rsidP="00621D49">
      <w:pPr>
        <w:autoSpaceDE w:val="0"/>
        <w:autoSpaceDN w:val="0"/>
        <w:adjustRightInd w:val="0"/>
        <w:spacing w:after="0" w:line="276" w:lineRule="auto"/>
        <w:rPr>
          <w:rFonts w:ascii="Arial" w:hAnsi="Arial" w:cs="Arial"/>
          <w:kern w:val="0"/>
        </w:rPr>
      </w:pPr>
    </w:p>
    <w:p w14:paraId="6AF8ECB1"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Effective communication is a fundamental component of safe and person-centred care, particularly in complex cases such as Mr Ahmed’s. Following a stroke, individuals may experience communication difficulties, making it essential for healthcare professionals to adapt their approach to ensure understanding, safety, and dignity. In Mr Ahmed’s case, his limited English proficiency presents a significant barrier, increasing the risk of misunderstandings that could compromise his care, as seen in the missed domiciliary visit and delayed medication administration. Clear communication supports accurate information exchange, reduces errors, and promotes better health outcomes (NMC, 2018).</w:t>
      </w:r>
    </w:p>
    <w:p w14:paraId="6A9D2CC6" w14:textId="77777777" w:rsidR="00621D49" w:rsidRPr="00621D49" w:rsidRDefault="00621D49" w:rsidP="00621D49">
      <w:pPr>
        <w:autoSpaceDE w:val="0"/>
        <w:autoSpaceDN w:val="0"/>
        <w:adjustRightInd w:val="0"/>
        <w:spacing w:after="0" w:line="276" w:lineRule="auto"/>
        <w:rPr>
          <w:rFonts w:ascii="Arial" w:hAnsi="Arial" w:cs="Arial"/>
          <w:kern w:val="0"/>
        </w:rPr>
      </w:pPr>
    </w:p>
    <w:p w14:paraId="2ACB93C1"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To communicate effectively with Mr Ahmed, healthcare professionals should use simple, clear language and avoid medical jargon. Non-verbal communication methods, such as gestures, visual aids, and written prompts, can enhance understanding. Additionally, involving a professional interpreter or translation service is crucial to ensure that Mr Ahmed fully comprehends his care and can express his needs independently. While his wife plays an important supportive role, over-reliance on family members for interpretation may undermine his autonomy and confidentiality. Therefore, care providers must balance family involvement with the need to communicate directly with Mr Ahmed wherever possible (Royal College of Nursing, 2021).</w:t>
      </w:r>
    </w:p>
    <w:p w14:paraId="5EF01533" w14:textId="77777777" w:rsidR="00621D49" w:rsidRPr="00621D49" w:rsidRDefault="00621D49" w:rsidP="00621D49">
      <w:pPr>
        <w:autoSpaceDE w:val="0"/>
        <w:autoSpaceDN w:val="0"/>
        <w:adjustRightInd w:val="0"/>
        <w:spacing w:after="0" w:line="276" w:lineRule="auto"/>
        <w:rPr>
          <w:rFonts w:ascii="Arial" w:hAnsi="Arial" w:cs="Arial"/>
          <w:kern w:val="0"/>
        </w:rPr>
      </w:pPr>
    </w:p>
    <w:p w14:paraId="3B6A274F"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 xml:space="preserve">The principles of the Equality Act 2010 are highly relevant in this context, as the legislation requires healthcare services to make reasonable adjustments to ensure individuals are not disadvantaged due to protected characteristics, including race and language. Providing access to interpreters and culturally appropriate care </w:t>
      </w:r>
      <w:r w:rsidRPr="00621D49">
        <w:rPr>
          <w:rFonts w:ascii="Arial" w:hAnsi="Arial" w:cs="Arial"/>
          <w:kern w:val="0"/>
        </w:rPr>
        <w:lastRenderedPageBreak/>
        <w:t>demonstrates compliance with this legal duty and promotes inclusivity. Failure to make such adjustments could result in discriminatory practice and negatively impact the quality of care (Equality Act, 2010).</w:t>
      </w:r>
    </w:p>
    <w:p w14:paraId="7272DD1C" w14:textId="77777777" w:rsidR="00621D49" w:rsidRPr="00621D49" w:rsidRDefault="00621D49" w:rsidP="00621D49">
      <w:pPr>
        <w:autoSpaceDE w:val="0"/>
        <w:autoSpaceDN w:val="0"/>
        <w:adjustRightInd w:val="0"/>
        <w:spacing w:after="0" w:line="276" w:lineRule="auto"/>
        <w:rPr>
          <w:rFonts w:ascii="Arial" w:hAnsi="Arial" w:cs="Arial"/>
          <w:kern w:val="0"/>
        </w:rPr>
      </w:pPr>
    </w:p>
    <w:p w14:paraId="3B996C17"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One useful framework for understanding communication in this scenario is the Shannon and Weaver Model of Communication. This model describes communication as a process involving a sender, message, channel, receiver, and feedback, with potential ‘noise’ disrupting the message. In Mr Ahmed’s case, the language barrier acts as noise, interfering with the accurate transmission of information between healthcare professionals and the patient. By introducing strategies such as interpreters or simplified communication methods, this ‘noise’ can be reduced, improving understanding and feedback (Arnold and Boggs, 2020).</w:t>
      </w:r>
    </w:p>
    <w:p w14:paraId="07D47E02" w14:textId="77777777" w:rsidR="00621D49" w:rsidRPr="00621D49" w:rsidRDefault="00621D49" w:rsidP="00621D49">
      <w:pPr>
        <w:autoSpaceDE w:val="0"/>
        <w:autoSpaceDN w:val="0"/>
        <w:adjustRightInd w:val="0"/>
        <w:spacing w:after="0" w:line="276" w:lineRule="auto"/>
        <w:rPr>
          <w:rFonts w:ascii="Arial" w:hAnsi="Arial" w:cs="Arial"/>
          <w:kern w:val="0"/>
        </w:rPr>
      </w:pPr>
    </w:p>
    <w:p w14:paraId="7DF2C96C"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Furthermore, effective communication must be underpinned by professional standards, such as those outlined in the NMC Code (2018), which emphasises the need for nurses to communicate clearly, compassionately, and respectfully. This includes listening actively, checking understanding, and adapting communication styles to meet individual needs. In conclusion, effective communication is essential in ensuring that Mr Ahmed receives safe, equitable, and high-quality care, while also supporting his independence and overall wellbeing (Royal College of Nursing, 2021).</w:t>
      </w:r>
    </w:p>
    <w:p w14:paraId="51741334" w14:textId="183D2A69" w:rsidR="00621D49" w:rsidRPr="00621D49" w:rsidRDefault="00621D49" w:rsidP="00621D49">
      <w:pPr>
        <w:autoSpaceDE w:val="0"/>
        <w:autoSpaceDN w:val="0"/>
        <w:adjustRightInd w:val="0"/>
        <w:spacing w:after="0" w:line="276" w:lineRule="auto"/>
        <w:rPr>
          <w:rFonts w:ascii="Arial" w:hAnsi="Arial" w:cs="Arial"/>
          <w:kern w:val="0"/>
        </w:rPr>
      </w:pPr>
    </w:p>
    <w:p w14:paraId="353138F5" w14:textId="77777777" w:rsidR="00621D49" w:rsidRPr="00621D49" w:rsidRDefault="00621D49" w:rsidP="00621D49">
      <w:pPr>
        <w:autoSpaceDE w:val="0"/>
        <w:autoSpaceDN w:val="0"/>
        <w:adjustRightInd w:val="0"/>
        <w:spacing w:after="0" w:line="276" w:lineRule="auto"/>
        <w:rPr>
          <w:rFonts w:ascii="Arial" w:hAnsi="Arial" w:cs="Arial"/>
          <w:kern w:val="0"/>
        </w:rPr>
      </w:pPr>
    </w:p>
    <w:p w14:paraId="6D11A1E8" w14:textId="4E58701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b/>
          <w:bCs/>
          <w:kern w:val="0"/>
        </w:rPr>
        <w:t xml:space="preserve">Administrative Skills </w:t>
      </w:r>
    </w:p>
    <w:p w14:paraId="587D3053" w14:textId="77777777" w:rsidR="00621D49" w:rsidRPr="00621D49" w:rsidRDefault="00621D49" w:rsidP="00621D49">
      <w:pPr>
        <w:autoSpaceDE w:val="0"/>
        <w:autoSpaceDN w:val="0"/>
        <w:adjustRightInd w:val="0"/>
        <w:spacing w:after="0" w:line="276" w:lineRule="auto"/>
        <w:rPr>
          <w:rFonts w:ascii="Arial" w:hAnsi="Arial" w:cs="Arial"/>
          <w:kern w:val="0"/>
        </w:rPr>
      </w:pPr>
    </w:p>
    <w:p w14:paraId="55B3C155"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Good administrative skills are essential in health and social care practice, as they underpin safe, effective, and accountable service delivery. Within the context of Mr Ahmed’s care, administrative responsibilities such as accurate record keeping, timely documentation, and effective information management are critical in ensuring continuity of care and preventing errors. The recent incident involving a missed domiciliary visit, which resulted in delayed medication administration, highlights how poor administrative processes can negatively impact patient safety and wellbeing.</w:t>
      </w:r>
    </w:p>
    <w:p w14:paraId="6C0CCA45" w14:textId="77777777" w:rsidR="00621D49" w:rsidRPr="00621D49" w:rsidRDefault="00621D49" w:rsidP="00621D49">
      <w:pPr>
        <w:autoSpaceDE w:val="0"/>
        <w:autoSpaceDN w:val="0"/>
        <w:adjustRightInd w:val="0"/>
        <w:spacing w:after="0" w:line="276" w:lineRule="auto"/>
        <w:rPr>
          <w:rFonts w:ascii="Arial" w:hAnsi="Arial" w:cs="Arial"/>
          <w:kern w:val="0"/>
        </w:rPr>
      </w:pPr>
    </w:p>
    <w:p w14:paraId="41B8A497"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Record keeping is a fundamental aspect of professional practice and involves documenting all relevant aspects of a patient’s care in a clear, accurate, and timely manner. According to professional standards, records should be factual, up-to-date, and written in a way that can be easily understood by other members of the multidisciplinary team. In Mr Ahmed’s case, this includes documenting his medication schedule, communication needs, input from the speech and language therapist, and any changes in his condition. Accurate records ensure that all professionals involved in his care have access to consistent information, enabling them to make informed decisions and provide coordinated support (NMC, 2018; Griffith, 2020).</w:t>
      </w:r>
    </w:p>
    <w:p w14:paraId="638F0181" w14:textId="77777777" w:rsidR="00621D49" w:rsidRPr="00621D49" w:rsidRDefault="00621D49" w:rsidP="00621D49">
      <w:pPr>
        <w:autoSpaceDE w:val="0"/>
        <w:autoSpaceDN w:val="0"/>
        <w:adjustRightInd w:val="0"/>
        <w:spacing w:after="0" w:line="276" w:lineRule="auto"/>
        <w:rPr>
          <w:rFonts w:ascii="Arial" w:hAnsi="Arial" w:cs="Arial"/>
          <w:kern w:val="0"/>
        </w:rPr>
      </w:pPr>
    </w:p>
    <w:p w14:paraId="0039AB1A"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lastRenderedPageBreak/>
        <w:t>The principles of the Data Protection Act 2018 (Department of Health and Social Care, 2018) are also central to administrative practice. This legislation governs how personal data is collected, stored, and shared, ensuring that individuals’ information is handled lawfully, fairly, and securely. Healthcare professionals must ensure that Mr Ahmed’s personal and medical information is kept confidential and only shared with authorised individuals involved in his care on a need-to-know basis. Secure storage systems, whether electronic or paper-based, must be used to prevent data breaches (NHS Digital, 2021).</w:t>
      </w:r>
    </w:p>
    <w:p w14:paraId="3F65B3E0" w14:textId="77777777" w:rsidR="00621D49" w:rsidRPr="00621D49" w:rsidRDefault="00621D49" w:rsidP="00621D49">
      <w:pPr>
        <w:autoSpaceDE w:val="0"/>
        <w:autoSpaceDN w:val="0"/>
        <w:adjustRightInd w:val="0"/>
        <w:spacing w:after="0" w:line="276" w:lineRule="auto"/>
        <w:rPr>
          <w:rFonts w:ascii="Arial" w:hAnsi="Arial" w:cs="Arial"/>
          <w:kern w:val="0"/>
        </w:rPr>
      </w:pPr>
    </w:p>
    <w:p w14:paraId="3BB27164"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In addition, policy frameworks such as the NHS Records Management Code of Practice (NHS Digital, 2021) and the Caldicott Principles (Caldicott, 2020) provide guidance on maintaining confidentiality and ensuring appropriate information sharing. The Caldicott Principles emphasise that patient information should only be used when necessary and that the minimum amount of identifiable data should be shared. Applying these principles to Mr Ahmed’s case ensures that his privacy is respected while still enabling effective communication between professionals.</w:t>
      </w:r>
    </w:p>
    <w:p w14:paraId="47B4E976" w14:textId="77777777" w:rsidR="00621D49" w:rsidRPr="00621D49" w:rsidRDefault="00621D49" w:rsidP="00621D49">
      <w:pPr>
        <w:autoSpaceDE w:val="0"/>
        <w:autoSpaceDN w:val="0"/>
        <w:adjustRightInd w:val="0"/>
        <w:spacing w:after="0" w:line="276" w:lineRule="auto"/>
        <w:rPr>
          <w:rFonts w:ascii="Arial" w:hAnsi="Arial" w:cs="Arial"/>
          <w:kern w:val="0"/>
        </w:rPr>
      </w:pPr>
    </w:p>
    <w:p w14:paraId="026D2F6F"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Strong administrative skills also support accountability and legal protection for healthcare professionals. Inaccurate or incomplete documentation can lead to serious consequences, including compromised patient safety and potential legal action. Therefore, maintaining high standards of record keeping and data management is essential (Griffith, 2020).</w:t>
      </w:r>
    </w:p>
    <w:p w14:paraId="31C16774" w14:textId="77777777" w:rsidR="00621D49" w:rsidRPr="00621D49" w:rsidRDefault="00621D49" w:rsidP="00621D49">
      <w:pPr>
        <w:autoSpaceDE w:val="0"/>
        <w:autoSpaceDN w:val="0"/>
        <w:adjustRightInd w:val="0"/>
        <w:spacing w:after="0" w:line="276" w:lineRule="auto"/>
        <w:rPr>
          <w:rFonts w:ascii="Arial" w:hAnsi="Arial" w:cs="Arial"/>
          <w:kern w:val="0"/>
        </w:rPr>
      </w:pPr>
    </w:p>
    <w:p w14:paraId="63AA9479"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In conclusion, effective administrative skills, particularly in record keeping and data protection, play a vital role in delivering safe, coordinated, and legally compliant care for Mr Ahmed.</w:t>
      </w:r>
    </w:p>
    <w:p w14:paraId="1F952535" w14:textId="77777777" w:rsidR="00621D49" w:rsidRPr="00621D49" w:rsidRDefault="00621D49" w:rsidP="00621D49">
      <w:pPr>
        <w:autoSpaceDE w:val="0"/>
        <w:autoSpaceDN w:val="0"/>
        <w:adjustRightInd w:val="0"/>
        <w:spacing w:after="0" w:line="276" w:lineRule="auto"/>
        <w:rPr>
          <w:rFonts w:ascii="Arial" w:hAnsi="Arial" w:cs="Arial"/>
          <w:kern w:val="0"/>
        </w:rPr>
      </w:pPr>
    </w:p>
    <w:p w14:paraId="0A847DE5" w14:textId="77777777" w:rsidR="00621D49" w:rsidRPr="00621D49" w:rsidRDefault="00621D49" w:rsidP="00621D49">
      <w:pPr>
        <w:autoSpaceDE w:val="0"/>
        <w:autoSpaceDN w:val="0"/>
        <w:adjustRightInd w:val="0"/>
        <w:spacing w:after="0" w:line="276" w:lineRule="auto"/>
        <w:rPr>
          <w:rFonts w:ascii="Arial" w:hAnsi="Arial" w:cs="Arial"/>
          <w:kern w:val="0"/>
        </w:rPr>
      </w:pPr>
    </w:p>
    <w:p w14:paraId="1C0A00BA" w14:textId="4C63FC4F"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b/>
          <w:bCs/>
          <w:kern w:val="0"/>
        </w:rPr>
        <w:t xml:space="preserve">Collaborative Working </w:t>
      </w:r>
    </w:p>
    <w:p w14:paraId="46CA97C4" w14:textId="77777777" w:rsidR="00621D49" w:rsidRPr="00621D49" w:rsidRDefault="00621D49" w:rsidP="00621D49">
      <w:pPr>
        <w:autoSpaceDE w:val="0"/>
        <w:autoSpaceDN w:val="0"/>
        <w:adjustRightInd w:val="0"/>
        <w:spacing w:after="0" w:line="276" w:lineRule="auto"/>
        <w:rPr>
          <w:rFonts w:ascii="Arial" w:hAnsi="Arial" w:cs="Arial"/>
          <w:kern w:val="0"/>
        </w:rPr>
      </w:pPr>
    </w:p>
    <w:p w14:paraId="652D1CE2"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Collaborative working is essential in health and social care, particularly for individuals with complex needs such as Mr Ahmed. Following his stroke, he requires support from a range of professionals, including his GP, district nurse, speech and language therapist (SALT), and domiciliary care workers. Effective multidisciplinary collaboration ensures that care is holistic, coordinated, and tailored to meet his physical, emotional, and communication needs. Without clear collaboration, there is an increased risk of fragmented care, duplication of tasks, or critical omissions, such as the missed home visit that led to delayed medication administration (Reeves et al., 2017).</w:t>
      </w:r>
    </w:p>
    <w:p w14:paraId="0EB9EC69" w14:textId="77777777" w:rsidR="00621D49" w:rsidRPr="00621D49" w:rsidRDefault="00621D49" w:rsidP="00621D49">
      <w:pPr>
        <w:autoSpaceDE w:val="0"/>
        <w:autoSpaceDN w:val="0"/>
        <w:adjustRightInd w:val="0"/>
        <w:spacing w:after="0" w:line="276" w:lineRule="auto"/>
        <w:rPr>
          <w:rFonts w:ascii="Arial" w:hAnsi="Arial" w:cs="Arial"/>
          <w:kern w:val="0"/>
        </w:rPr>
      </w:pPr>
    </w:p>
    <w:p w14:paraId="0DAF379D"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 xml:space="preserve">Several approaches can be used to foster effective collaboration within Mr Ahmed’s care team. Regular multidisciplinary team (MDT) meetings enable professionals to share updates, review progress, and make joint decisions about care planning. The use of shared care plans and electronic health records also supports continuity, </w:t>
      </w:r>
      <w:r w:rsidRPr="00621D49">
        <w:rPr>
          <w:rFonts w:ascii="Arial" w:hAnsi="Arial" w:cs="Arial"/>
          <w:kern w:val="0"/>
        </w:rPr>
        <w:lastRenderedPageBreak/>
        <w:t>ensuring that all team members have access to up-to-date information. Clear role definition is equally important, as it helps each professional understand their responsibilities, reducing confusion and promoting accountability. Additionally, effective communication strategies, including the use of interpreters where necessary, ensure that Mr Ahmed remains at the centre of decision-making (NHS England, 2019).</w:t>
      </w:r>
    </w:p>
    <w:p w14:paraId="15F52FBF" w14:textId="77777777" w:rsidR="00621D49" w:rsidRPr="00621D49" w:rsidRDefault="00621D49" w:rsidP="00621D49">
      <w:pPr>
        <w:autoSpaceDE w:val="0"/>
        <w:autoSpaceDN w:val="0"/>
        <w:adjustRightInd w:val="0"/>
        <w:spacing w:after="0" w:line="276" w:lineRule="auto"/>
        <w:rPr>
          <w:rFonts w:ascii="Arial" w:hAnsi="Arial" w:cs="Arial"/>
          <w:kern w:val="0"/>
        </w:rPr>
      </w:pPr>
    </w:p>
    <w:p w14:paraId="7A355E37"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However, collaborative working can present challenges. Differences in professional perspectives, communication barriers, and organisational constraints may hinder effective teamwork. In Mr Ahmed’s case, language barriers and reliance on multiple services increase the potential for miscommunication. Time pressures and workload within domiciliary care services may also contribute to errors, such as missed visits.</w:t>
      </w:r>
    </w:p>
    <w:p w14:paraId="6C6C6E25" w14:textId="77777777" w:rsidR="00621D49" w:rsidRPr="00621D49" w:rsidRDefault="00621D49" w:rsidP="00621D49">
      <w:pPr>
        <w:autoSpaceDE w:val="0"/>
        <w:autoSpaceDN w:val="0"/>
        <w:adjustRightInd w:val="0"/>
        <w:spacing w:after="0" w:line="276" w:lineRule="auto"/>
        <w:rPr>
          <w:rFonts w:ascii="Arial" w:hAnsi="Arial" w:cs="Arial"/>
          <w:kern w:val="0"/>
        </w:rPr>
      </w:pPr>
    </w:p>
    <w:p w14:paraId="16CA7F8C"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To overcome these challenges, strategies such as clear escalation procedures, consistent documentation, and the use of integrated digital systems are essential. Promoting mutual respect and understanding between professionals, alongside a shared commitment to person-centred care, further strengthens teamwork. In conclusion, effective collaborative working is vital in ensuring that Mr Ahmed receives safe, coordinated, and high-quality care, ultimately improving his health outcomes and quality of life (World Health Organization, 2016; Reeves et al., 2017).</w:t>
      </w:r>
    </w:p>
    <w:p w14:paraId="1FF5735C" w14:textId="1449DDA2" w:rsidR="00621D49" w:rsidRPr="00621D49" w:rsidRDefault="00621D49" w:rsidP="00621D49">
      <w:pPr>
        <w:autoSpaceDE w:val="0"/>
        <w:autoSpaceDN w:val="0"/>
        <w:adjustRightInd w:val="0"/>
        <w:spacing w:after="0" w:line="276" w:lineRule="auto"/>
        <w:rPr>
          <w:rFonts w:ascii="Arial" w:hAnsi="Arial" w:cs="Arial"/>
          <w:kern w:val="0"/>
        </w:rPr>
      </w:pPr>
    </w:p>
    <w:p w14:paraId="2657500A" w14:textId="77777777" w:rsidR="00621D49" w:rsidRPr="00621D49" w:rsidRDefault="00621D49" w:rsidP="00621D49">
      <w:pPr>
        <w:autoSpaceDE w:val="0"/>
        <w:autoSpaceDN w:val="0"/>
        <w:adjustRightInd w:val="0"/>
        <w:spacing w:after="0" w:line="276" w:lineRule="auto"/>
        <w:rPr>
          <w:rFonts w:ascii="Arial" w:hAnsi="Arial" w:cs="Arial"/>
          <w:kern w:val="0"/>
        </w:rPr>
      </w:pPr>
    </w:p>
    <w:p w14:paraId="7EA64B46" w14:textId="6C870EA6"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b/>
          <w:bCs/>
          <w:kern w:val="0"/>
        </w:rPr>
        <w:t xml:space="preserve">Conclusion </w:t>
      </w:r>
    </w:p>
    <w:p w14:paraId="4CA2ACBF" w14:textId="77777777" w:rsidR="00621D49" w:rsidRPr="00621D49" w:rsidRDefault="00621D49" w:rsidP="00621D49">
      <w:pPr>
        <w:autoSpaceDE w:val="0"/>
        <w:autoSpaceDN w:val="0"/>
        <w:adjustRightInd w:val="0"/>
        <w:spacing w:after="0" w:line="276" w:lineRule="auto"/>
        <w:rPr>
          <w:rFonts w:ascii="Arial" w:hAnsi="Arial" w:cs="Arial"/>
          <w:kern w:val="0"/>
        </w:rPr>
      </w:pPr>
    </w:p>
    <w:p w14:paraId="17CA0005" w14:textId="77777777" w:rsidR="00621D49" w:rsidRPr="00621D49" w:rsidRDefault="00621D49" w:rsidP="00621D49">
      <w:pPr>
        <w:autoSpaceDE w:val="0"/>
        <w:autoSpaceDN w:val="0"/>
        <w:adjustRightInd w:val="0"/>
        <w:spacing w:after="0" w:line="276" w:lineRule="auto"/>
        <w:rPr>
          <w:rFonts w:ascii="Arial" w:hAnsi="Arial" w:cs="Arial"/>
          <w:kern w:val="0"/>
        </w:rPr>
      </w:pPr>
      <w:r w:rsidRPr="00621D49">
        <w:rPr>
          <w:rFonts w:ascii="Arial" w:hAnsi="Arial" w:cs="Arial"/>
          <w:kern w:val="0"/>
        </w:rPr>
        <w:t>In conclusion, the case of Mr Ahmed highlights the critical importance of effective communication, strong administrative skills, and collaborative working in delivering safe and person-centred care. Clear and adaptable communication strategies are essential to overcome language barriers and ensure that Mr Ahmed remains actively involved in his care, in line with the principles of the Equality Act 2010 (Equality Act, 2010). Equally, accurate record keeping and adherence to the Data Protection Act 2018 (Department of Health and Social Care, 2018) are fundamental in maintaining confidentiality, ensuring continuity of care, and supporting professional accountability. The missed domiciliary visit demonstrates how failures in administrative processes and communication can directly impact patient safety. Furthermore, collaborative working between the multidisciplinary team is vital in providing coordinated and holistic care that meets Mr Ahmed’s complex needs (NHS England, 2019; Reeves et al., 2017). Overall, integrating these elements within professional practice supports high-quality care delivery and improves health outcomes.</w:t>
      </w:r>
    </w:p>
    <w:p w14:paraId="48AADAA2" w14:textId="0F04012D" w:rsidR="00F11385" w:rsidRPr="00621D49" w:rsidRDefault="00F11385" w:rsidP="00621D49">
      <w:pPr>
        <w:autoSpaceDE w:val="0"/>
        <w:autoSpaceDN w:val="0"/>
        <w:adjustRightInd w:val="0"/>
        <w:spacing w:after="0" w:line="276" w:lineRule="auto"/>
        <w:rPr>
          <w:rFonts w:ascii="Arial" w:hAnsi="Arial" w:cs="Arial"/>
          <w:kern w:val="0"/>
        </w:rPr>
      </w:pPr>
      <w:r w:rsidRPr="00621D49">
        <w:rPr>
          <w:rFonts w:ascii="Arial" w:hAnsi="Arial" w:cs="Arial"/>
          <w:kern w:val="0"/>
        </w:rPr>
        <w:br w:type="page"/>
      </w:r>
    </w:p>
    <w:p w14:paraId="708FED31" w14:textId="420B5AE5" w:rsidR="00F11385" w:rsidRPr="00411C3B" w:rsidRDefault="00F11385" w:rsidP="00411C3B">
      <w:pPr>
        <w:autoSpaceDE w:val="0"/>
        <w:autoSpaceDN w:val="0"/>
        <w:adjustRightInd w:val="0"/>
        <w:spacing w:after="0" w:line="276" w:lineRule="auto"/>
        <w:rPr>
          <w:rFonts w:ascii="Arial" w:hAnsi="Arial" w:cs="Arial"/>
          <w:kern w:val="0"/>
        </w:rPr>
      </w:pPr>
      <w:r w:rsidRPr="00411C3B">
        <w:rPr>
          <w:rFonts w:ascii="Arial" w:hAnsi="Arial" w:cs="Arial"/>
          <w:b/>
          <w:bCs/>
          <w:kern w:val="0"/>
        </w:rPr>
        <w:lastRenderedPageBreak/>
        <w:t>References</w:t>
      </w:r>
      <w:r w:rsidRPr="00411C3B">
        <w:rPr>
          <w:rFonts w:ascii="Arial" w:hAnsi="Arial" w:cs="Arial"/>
          <w:kern w:val="0"/>
        </w:rPr>
        <w:t>:</w:t>
      </w:r>
    </w:p>
    <w:p w14:paraId="5C8B5BCC" w14:textId="77777777" w:rsidR="00F11385" w:rsidRPr="00411C3B" w:rsidRDefault="00F11385" w:rsidP="00411C3B">
      <w:pPr>
        <w:autoSpaceDE w:val="0"/>
        <w:autoSpaceDN w:val="0"/>
        <w:adjustRightInd w:val="0"/>
        <w:spacing w:after="0" w:line="276" w:lineRule="auto"/>
        <w:rPr>
          <w:rFonts w:ascii="Arial" w:hAnsi="Arial" w:cs="Arial"/>
          <w:kern w:val="0"/>
        </w:rPr>
      </w:pPr>
    </w:p>
    <w:p w14:paraId="500CC089" w14:textId="77777777" w:rsidR="00E021BC" w:rsidRPr="00E021BC" w:rsidRDefault="00E021BC" w:rsidP="00E021BC">
      <w:pPr>
        <w:autoSpaceDE w:val="0"/>
        <w:autoSpaceDN w:val="0"/>
        <w:adjustRightInd w:val="0"/>
        <w:spacing w:after="0" w:line="276" w:lineRule="auto"/>
        <w:rPr>
          <w:rFonts w:ascii="Arial" w:hAnsi="Arial" w:cs="Arial"/>
          <w:kern w:val="0"/>
        </w:rPr>
      </w:pPr>
      <w:r w:rsidRPr="00E021BC">
        <w:rPr>
          <w:rFonts w:ascii="Arial" w:hAnsi="Arial" w:cs="Arial"/>
          <w:kern w:val="0"/>
        </w:rPr>
        <w:t>Arnold, E.C. and Boggs, K.U. (2020) Interpersonal Relationships: Professional Communication Skills for Nurses. 8th edn. St Louis: Elsevier.</w:t>
      </w:r>
    </w:p>
    <w:p w14:paraId="14431D7E" w14:textId="77777777" w:rsidR="00E021BC" w:rsidRPr="00E021BC" w:rsidRDefault="00E021BC" w:rsidP="00E021BC">
      <w:pPr>
        <w:autoSpaceDE w:val="0"/>
        <w:autoSpaceDN w:val="0"/>
        <w:adjustRightInd w:val="0"/>
        <w:spacing w:after="0" w:line="276" w:lineRule="auto"/>
        <w:rPr>
          <w:rFonts w:ascii="Arial" w:hAnsi="Arial" w:cs="Arial"/>
          <w:kern w:val="0"/>
        </w:rPr>
      </w:pPr>
    </w:p>
    <w:p w14:paraId="6DCF1674" w14:textId="77777777" w:rsidR="00E021BC" w:rsidRPr="00E021BC" w:rsidRDefault="00E021BC" w:rsidP="00E021BC">
      <w:pPr>
        <w:autoSpaceDE w:val="0"/>
        <w:autoSpaceDN w:val="0"/>
        <w:adjustRightInd w:val="0"/>
        <w:spacing w:after="0" w:line="276" w:lineRule="auto"/>
        <w:rPr>
          <w:rFonts w:ascii="Arial" w:hAnsi="Arial" w:cs="Arial"/>
          <w:kern w:val="0"/>
        </w:rPr>
      </w:pPr>
      <w:r w:rsidRPr="00E021BC">
        <w:rPr>
          <w:rFonts w:ascii="Arial" w:hAnsi="Arial" w:cs="Arial"/>
          <w:kern w:val="0"/>
        </w:rPr>
        <w:t>Caldicott, F. (2020) Information Governance Review. London: Department of Health and Social Care.</w:t>
      </w:r>
    </w:p>
    <w:p w14:paraId="3C9D5C5F" w14:textId="77777777" w:rsidR="00E021BC" w:rsidRPr="00E021BC" w:rsidRDefault="00E021BC" w:rsidP="00E021BC">
      <w:pPr>
        <w:autoSpaceDE w:val="0"/>
        <w:autoSpaceDN w:val="0"/>
        <w:adjustRightInd w:val="0"/>
        <w:spacing w:after="0" w:line="276" w:lineRule="auto"/>
        <w:rPr>
          <w:rFonts w:ascii="Arial" w:hAnsi="Arial" w:cs="Arial"/>
          <w:kern w:val="0"/>
        </w:rPr>
      </w:pPr>
    </w:p>
    <w:p w14:paraId="7BED887E" w14:textId="33E0FAD6" w:rsidR="00E021BC" w:rsidRPr="00E021BC" w:rsidRDefault="00E021BC" w:rsidP="00E021BC">
      <w:pPr>
        <w:autoSpaceDE w:val="0"/>
        <w:autoSpaceDN w:val="0"/>
        <w:adjustRightInd w:val="0"/>
        <w:spacing w:after="0" w:line="276" w:lineRule="auto"/>
        <w:rPr>
          <w:rFonts w:ascii="Arial" w:hAnsi="Arial" w:cs="Arial"/>
          <w:kern w:val="0"/>
        </w:rPr>
      </w:pPr>
      <w:r w:rsidRPr="00E021BC">
        <w:rPr>
          <w:rFonts w:ascii="Arial" w:hAnsi="Arial" w:cs="Arial"/>
          <w:kern w:val="0"/>
        </w:rPr>
        <w:t xml:space="preserve">Department of Health and Social Care (2018). Data Protection Act 2018. [online] legislation.gov.uk. Available at: </w:t>
      </w:r>
      <w:hyperlink r:id="rId9" w:history="1">
        <w:r w:rsidRPr="001C038C">
          <w:rPr>
            <w:rStyle w:val="Hyperlink"/>
            <w:rFonts w:ascii="Arial" w:hAnsi="Arial" w:cs="Arial"/>
            <w:kern w:val="0"/>
          </w:rPr>
          <w:t>https://www.legislation.gov.uk/ukpga/2018/12/contents</w:t>
        </w:r>
      </w:hyperlink>
      <w:r>
        <w:rPr>
          <w:rFonts w:ascii="Arial" w:hAnsi="Arial" w:cs="Arial"/>
          <w:kern w:val="0"/>
        </w:rPr>
        <w:t xml:space="preserve">  </w:t>
      </w:r>
      <w:r w:rsidRPr="00E021BC">
        <w:rPr>
          <w:rFonts w:ascii="Arial" w:hAnsi="Arial" w:cs="Arial"/>
          <w:kern w:val="0"/>
        </w:rPr>
        <w:t>.</w:t>
      </w:r>
    </w:p>
    <w:p w14:paraId="629A3DC3" w14:textId="77777777" w:rsidR="00E021BC" w:rsidRPr="00E021BC" w:rsidRDefault="00E021BC" w:rsidP="00E021BC">
      <w:pPr>
        <w:autoSpaceDE w:val="0"/>
        <w:autoSpaceDN w:val="0"/>
        <w:adjustRightInd w:val="0"/>
        <w:spacing w:after="0" w:line="276" w:lineRule="auto"/>
        <w:rPr>
          <w:rFonts w:ascii="Arial" w:hAnsi="Arial" w:cs="Arial"/>
          <w:kern w:val="0"/>
        </w:rPr>
      </w:pPr>
    </w:p>
    <w:p w14:paraId="52404292" w14:textId="183A2FEB" w:rsidR="00E021BC" w:rsidRPr="00E021BC" w:rsidRDefault="00E021BC" w:rsidP="00E021BC">
      <w:pPr>
        <w:autoSpaceDE w:val="0"/>
        <w:autoSpaceDN w:val="0"/>
        <w:adjustRightInd w:val="0"/>
        <w:spacing w:after="0" w:line="276" w:lineRule="auto"/>
        <w:rPr>
          <w:rFonts w:ascii="Arial" w:hAnsi="Arial" w:cs="Arial"/>
          <w:kern w:val="0"/>
        </w:rPr>
      </w:pPr>
      <w:r w:rsidRPr="00E021BC">
        <w:rPr>
          <w:rFonts w:ascii="Arial" w:hAnsi="Arial" w:cs="Arial"/>
          <w:kern w:val="0"/>
        </w:rPr>
        <w:t xml:space="preserve">Department of Health and Social Care (2021). Department of Health and Social Care Outcome Delivery Plan: 2021 to 2022. [online] GOV.UK. Available at: </w:t>
      </w:r>
      <w:hyperlink r:id="rId10" w:history="1">
        <w:r w:rsidRPr="001C038C">
          <w:rPr>
            <w:rStyle w:val="Hyperlink"/>
            <w:rFonts w:ascii="Arial" w:hAnsi="Arial" w:cs="Arial"/>
            <w:kern w:val="0"/>
          </w:rPr>
          <w:t>https://www.gov.uk/government/publications/department-of-health-and-social-care-outcome-delivery-plan/department-of-health-and-social-care-outcome-delivery-plan-2021-to-2022</w:t>
        </w:r>
      </w:hyperlink>
      <w:r w:rsidRPr="00E021BC">
        <w:rPr>
          <w:rFonts w:ascii="Arial" w:hAnsi="Arial" w:cs="Arial"/>
          <w:kern w:val="0"/>
        </w:rPr>
        <w:t>.</w:t>
      </w:r>
      <w:r>
        <w:rPr>
          <w:rFonts w:ascii="Arial" w:hAnsi="Arial" w:cs="Arial"/>
          <w:kern w:val="0"/>
        </w:rPr>
        <w:t xml:space="preserve"> </w:t>
      </w:r>
    </w:p>
    <w:p w14:paraId="0646C7FD" w14:textId="77777777" w:rsidR="00E021BC" w:rsidRPr="00E021BC" w:rsidRDefault="00E021BC" w:rsidP="00E021BC">
      <w:pPr>
        <w:autoSpaceDE w:val="0"/>
        <w:autoSpaceDN w:val="0"/>
        <w:adjustRightInd w:val="0"/>
        <w:spacing w:after="0" w:line="276" w:lineRule="auto"/>
        <w:rPr>
          <w:rFonts w:ascii="Arial" w:hAnsi="Arial" w:cs="Arial"/>
          <w:kern w:val="0"/>
        </w:rPr>
      </w:pPr>
    </w:p>
    <w:p w14:paraId="6472EC6E" w14:textId="3C2EBF64" w:rsidR="00E021BC" w:rsidRPr="00E021BC" w:rsidRDefault="00E021BC" w:rsidP="00E021BC">
      <w:pPr>
        <w:autoSpaceDE w:val="0"/>
        <w:autoSpaceDN w:val="0"/>
        <w:adjustRightInd w:val="0"/>
        <w:spacing w:after="0" w:line="276" w:lineRule="auto"/>
        <w:rPr>
          <w:rFonts w:ascii="Arial" w:hAnsi="Arial" w:cs="Arial"/>
          <w:kern w:val="0"/>
        </w:rPr>
      </w:pPr>
      <w:r w:rsidRPr="00E021BC">
        <w:rPr>
          <w:rFonts w:ascii="Arial" w:hAnsi="Arial" w:cs="Arial"/>
          <w:kern w:val="0"/>
        </w:rPr>
        <w:t xml:space="preserve">Equality Act (2010). Equality Act 2010. [online] Legislation.gov.uk. Available at: </w:t>
      </w:r>
      <w:hyperlink r:id="rId11" w:history="1">
        <w:r w:rsidRPr="001C038C">
          <w:rPr>
            <w:rStyle w:val="Hyperlink"/>
            <w:rFonts w:ascii="Arial" w:hAnsi="Arial" w:cs="Arial"/>
            <w:kern w:val="0"/>
          </w:rPr>
          <w:t>https://www.legislation.gov.uk/ukpga/2010/15/contents</w:t>
        </w:r>
      </w:hyperlink>
      <w:r w:rsidRPr="00E021BC">
        <w:rPr>
          <w:rFonts w:ascii="Arial" w:hAnsi="Arial" w:cs="Arial"/>
          <w:kern w:val="0"/>
        </w:rPr>
        <w:t>.</w:t>
      </w:r>
      <w:r>
        <w:rPr>
          <w:rFonts w:ascii="Arial" w:hAnsi="Arial" w:cs="Arial"/>
          <w:kern w:val="0"/>
        </w:rPr>
        <w:t xml:space="preserve"> </w:t>
      </w:r>
    </w:p>
    <w:p w14:paraId="775CEFA7" w14:textId="77777777" w:rsidR="00E021BC" w:rsidRDefault="00E021BC" w:rsidP="00E021BC">
      <w:pPr>
        <w:autoSpaceDE w:val="0"/>
        <w:autoSpaceDN w:val="0"/>
        <w:adjustRightInd w:val="0"/>
        <w:spacing w:after="0" w:line="276" w:lineRule="auto"/>
        <w:rPr>
          <w:rFonts w:ascii="Arial" w:hAnsi="Arial" w:cs="Arial"/>
          <w:kern w:val="0"/>
        </w:rPr>
      </w:pPr>
    </w:p>
    <w:p w14:paraId="27E528A8" w14:textId="6B42A911" w:rsidR="00E021BC" w:rsidRPr="00E021BC" w:rsidRDefault="00E021BC" w:rsidP="00E021BC">
      <w:pPr>
        <w:autoSpaceDE w:val="0"/>
        <w:autoSpaceDN w:val="0"/>
        <w:adjustRightInd w:val="0"/>
        <w:spacing w:after="0" w:line="276" w:lineRule="auto"/>
        <w:rPr>
          <w:rFonts w:ascii="Arial" w:hAnsi="Arial" w:cs="Arial"/>
          <w:kern w:val="0"/>
        </w:rPr>
      </w:pPr>
      <w:r w:rsidRPr="00E021BC">
        <w:rPr>
          <w:rFonts w:ascii="Arial" w:hAnsi="Arial" w:cs="Arial"/>
          <w:kern w:val="0"/>
        </w:rPr>
        <w:t>Griffith, R. (2020) ‘Legal aspects of record keeping’, British Journal of Nursing, 29(6), pp. 354–356.</w:t>
      </w:r>
    </w:p>
    <w:p w14:paraId="400E2BA0" w14:textId="77777777" w:rsidR="00E021BC" w:rsidRDefault="00E021BC" w:rsidP="00E021BC">
      <w:pPr>
        <w:autoSpaceDE w:val="0"/>
        <w:autoSpaceDN w:val="0"/>
        <w:adjustRightInd w:val="0"/>
        <w:spacing w:after="0" w:line="276" w:lineRule="auto"/>
        <w:rPr>
          <w:rFonts w:ascii="Arial" w:hAnsi="Arial" w:cs="Arial"/>
          <w:kern w:val="0"/>
        </w:rPr>
      </w:pPr>
    </w:p>
    <w:p w14:paraId="1D556FB4" w14:textId="39DD2CA4" w:rsidR="00E021BC" w:rsidRPr="00E021BC" w:rsidRDefault="00E021BC" w:rsidP="00E021BC">
      <w:pPr>
        <w:autoSpaceDE w:val="0"/>
        <w:autoSpaceDN w:val="0"/>
        <w:adjustRightInd w:val="0"/>
        <w:spacing w:after="0" w:line="276" w:lineRule="auto"/>
        <w:rPr>
          <w:rFonts w:ascii="Arial" w:hAnsi="Arial" w:cs="Arial"/>
          <w:kern w:val="0"/>
        </w:rPr>
      </w:pPr>
      <w:r w:rsidRPr="00E021BC">
        <w:rPr>
          <w:rFonts w:ascii="Arial" w:hAnsi="Arial" w:cs="Arial"/>
          <w:kern w:val="0"/>
        </w:rPr>
        <w:t xml:space="preserve">NHS Digital (2021). Records Management Code of Practice 2021. [online] Available at: </w:t>
      </w:r>
      <w:hyperlink r:id="rId12" w:history="1">
        <w:r w:rsidRPr="001C038C">
          <w:rPr>
            <w:rStyle w:val="Hyperlink"/>
            <w:rFonts w:ascii="Arial" w:hAnsi="Arial" w:cs="Arial"/>
            <w:kern w:val="0"/>
          </w:rPr>
          <w:t>https://transform.england.nhs.uk/media/documents/NHSX_Records_Management_CoP_V7.pdf</w:t>
        </w:r>
      </w:hyperlink>
      <w:r w:rsidRPr="00E021BC">
        <w:rPr>
          <w:rFonts w:ascii="Arial" w:hAnsi="Arial" w:cs="Arial"/>
          <w:kern w:val="0"/>
        </w:rPr>
        <w:t>.</w:t>
      </w:r>
      <w:r>
        <w:rPr>
          <w:rFonts w:ascii="Arial" w:hAnsi="Arial" w:cs="Arial"/>
          <w:kern w:val="0"/>
        </w:rPr>
        <w:t xml:space="preserve"> </w:t>
      </w:r>
    </w:p>
    <w:p w14:paraId="25234D63" w14:textId="77777777" w:rsidR="00E021BC" w:rsidRDefault="00E021BC" w:rsidP="00E021BC">
      <w:pPr>
        <w:autoSpaceDE w:val="0"/>
        <w:autoSpaceDN w:val="0"/>
        <w:adjustRightInd w:val="0"/>
        <w:spacing w:after="0" w:line="276" w:lineRule="auto"/>
        <w:rPr>
          <w:rFonts w:ascii="Arial" w:hAnsi="Arial" w:cs="Arial"/>
          <w:kern w:val="0"/>
        </w:rPr>
      </w:pPr>
    </w:p>
    <w:p w14:paraId="71AB087B" w14:textId="32E9E781" w:rsidR="00E021BC" w:rsidRPr="00E021BC" w:rsidRDefault="00E021BC" w:rsidP="00E021BC">
      <w:pPr>
        <w:autoSpaceDE w:val="0"/>
        <w:autoSpaceDN w:val="0"/>
        <w:adjustRightInd w:val="0"/>
        <w:spacing w:after="0" w:line="276" w:lineRule="auto"/>
        <w:rPr>
          <w:rFonts w:ascii="Arial" w:hAnsi="Arial" w:cs="Arial"/>
          <w:kern w:val="0"/>
        </w:rPr>
      </w:pPr>
      <w:r w:rsidRPr="00E021BC">
        <w:rPr>
          <w:rFonts w:ascii="Arial" w:hAnsi="Arial" w:cs="Arial"/>
          <w:kern w:val="0"/>
        </w:rPr>
        <w:t xml:space="preserve">NHS England (2019). UK Government Web Archive. [online] Nationalarchives.gov.uk. Available at: </w:t>
      </w:r>
      <w:hyperlink r:id="rId13" w:history="1">
        <w:r w:rsidRPr="001C038C">
          <w:rPr>
            <w:rStyle w:val="Hyperlink"/>
            <w:rFonts w:ascii="Arial" w:hAnsi="Arial" w:cs="Arial"/>
            <w:kern w:val="0"/>
          </w:rPr>
          <w:t>https://webarchive.nationalarchives.gov.uk/ukgwa/20250707103655/https://www.longtermplan.nhs.uk/wp-content/uploads/2019/01/nhs-long-term-plan-june-2019.pdf</w:t>
        </w:r>
      </w:hyperlink>
      <w:r w:rsidRPr="00E021BC">
        <w:rPr>
          <w:rFonts w:ascii="Arial" w:hAnsi="Arial" w:cs="Arial"/>
          <w:kern w:val="0"/>
        </w:rPr>
        <w:t>.</w:t>
      </w:r>
      <w:r>
        <w:rPr>
          <w:rFonts w:ascii="Arial" w:hAnsi="Arial" w:cs="Arial"/>
          <w:kern w:val="0"/>
        </w:rPr>
        <w:t xml:space="preserve"> </w:t>
      </w:r>
    </w:p>
    <w:p w14:paraId="09E6CCDF" w14:textId="77777777" w:rsidR="00E021BC" w:rsidRDefault="00E021BC" w:rsidP="00E021BC">
      <w:pPr>
        <w:autoSpaceDE w:val="0"/>
        <w:autoSpaceDN w:val="0"/>
        <w:adjustRightInd w:val="0"/>
        <w:spacing w:after="0" w:line="276" w:lineRule="auto"/>
        <w:rPr>
          <w:rFonts w:ascii="Arial" w:hAnsi="Arial" w:cs="Arial"/>
          <w:kern w:val="0"/>
        </w:rPr>
      </w:pPr>
    </w:p>
    <w:p w14:paraId="49714A73" w14:textId="12926C5E" w:rsidR="00E021BC" w:rsidRPr="00E021BC" w:rsidRDefault="00E021BC" w:rsidP="00E021BC">
      <w:pPr>
        <w:autoSpaceDE w:val="0"/>
        <w:autoSpaceDN w:val="0"/>
        <w:adjustRightInd w:val="0"/>
        <w:spacing w:after="0" w:line="276" w:lineRule="auto"/>
        <w:rPr>
          <w:rFonts w:ascii="Arial" w:hAnsi="Arial" w:cs="Arial"/>
          <w:kern w:val="0"/>
        </w:rPr>
      </w:pPr>
      <w:r w:rsidRPr="00E021BC">
        <w:rPr>
          <w:rFonts w:ascii="Arial" w:hAnsi="Arial" w:cs="Arial"/>
          <w:kern w:val="0"/>
        </w:rPr>
        <w:t xml:space="preserve">Nursing and Midwifery Council (2018). The Code: Professional Standards of Practice and Behaviour for nurses, Midwives and Nursing Associates. [online] Nursing and Midwifery council. Available at: </w:t>
      </w:r>
      <w:hyperlink r:id="rId14" w:history="1">
        <w:r w:rsidRPr="001C038C">
          <w:rPr>
            <w:rStyle w:val="Hyperlink"/>
            <w:rFonts w:ascii="Arial" w:hAnsi="Arial" w:cs="Arial"/>
            <w:kern w:val="0"/>
          </w:rPr>
          <w:t>https://www.nmc.org.uk/standards/code/</w:t>
        </w:r>
      </w:hyperlink>
      <w:r w:rsidRPr="00E021BC">
        <w:rPr>
          <w:rFonts w:ascii="Arial" w:hAnsi="Arial" w:cs="Arial"/>
          <w:kern w:val="0"/>
        </w:rPr>
        <w:t>.</w:t>
      </w:r>
      <w:r>
        <w:rPr>
          <w:rFonts w:ascii="Arial" w:hAnsi="Arial" w:cs="Arial"/>
          <w:kern w:val="0"/>
        </w:rPr>
        <w:t xml:space="preserve"> </w:t>
      </w:r>
    </w:p>
    <w:p w14:paraId="29BB0DF1" w14:textId="77777777" w:rsidR="00E021BC" w:rsidRDefault="00E021BC" w:rsidP="00E021BC">
      <w:pPr>
        <w:autoSpaceDE w:val="0"/>
        <w:autoSpaceDN w:val="0"/>
        <w:adjustRightInd w:val="0"/>
        <w:spacing w:after="0" w:line="276" w:lineRule="auto"/>
        <w:rPr>
          <w:rFonts w:ascii="Arial" w:hAnsi="Arial" w:cs="Arial"/>
          <w:kern w:val="0"/>
        </w:rPr>
      </w:pPr>
    </w:p>
    <w:p w14:paraId="1A41E9AF" w14:textId="63C222B9" w:rsidR="00E021BC" w:rsidRPr="00E021BC" w:rsidRDefault="00E021BC" w:rsidP="00E021BC">
      <w:pPr>
        <w:autoSpaceDE w:val="0"/>
        <w:autoSpaceDN w:val="0"/>
        <w:adjustRightInd w:val="0"/>
        <w:spacing w:after="0" w:line="276" w:lineRule="auto"/>
        <w:rPr>
          <w:rFonts w:ascii="Arial" w:hAnsi="Arial" w:cs="Arial"/>
          <w:kern w:val="0"/>
        </w:rPr>
      </w:pPr>
      <w:r w:rsidRPr="00E021BC">
        <w:rPr>
          <w:rFonts w:ascii="Arial" w:hAnsi="Arial" w:cs="Arial"/>
          <w:kern w:val="0"/>
        </w:rPr>
        <w:t>Reeves, S., Lewin, S., Espin, S. and Zwarenstein, M. (2017) Interprofessional Teamwork in Health and Social Care. 2nd edn. Oxford: Wiley-Blackwell.</w:t>
      </w:r>
    </w:p>
    <w:p w14:paraId="1E0C160C" w14:textId="77777777" w:rsidR="00E021BC" w:rsidRDefault="00E021BC" w:rsidP="00E021BC">
      <w:pPr>
        <w:autoSpaceDE w:val="0"/>
        <w:autoSpaceDN w:val="0"/>
        <w:adjustRightInd w:val="0"/>
        <w:spacing w:after="0" w:line="276" w:lineRule="auto"/>
        <w:rPr>
          <w:rFonts w:ascii="Arial" w:hAnsi="Arial" w:cs="Arial"/>
          <w:kern w:val="0"/>
        </w:rPr>
      </w:pPr>
      <w:r w:rsidRPr="00E021BC">
        <w:rPr>
          <w:rFonts w:ascii="Arial" w:hAnsi="Arial" w:cs="Arial"/>
          <w:kern w:val="0"/>
        </w:rPr>
        <w:t>Royal College of Nursing (2021) Principles of Effective Communication in Nursing. London: RCN.</w:t>
      </w:r>
    </w:p>
    <w:p w14:paraId="29C048BB" w14:textId="0F8C8D0E" w:rsidR="006A7611" w:rsidRPr="00E021BC" w:rsidRDefault="00E021BC" w:rsidP="00E021BC">
      <w:pPr>
        <w:autoSpaceDE w:val="0"/>
        <w:autoSpaceDN w:val="0"/>
        <w:adjustRightInd w:val="0"/>
        <w:spacing w:after="0" w:line="276" w:lineRule="auto"/>
        <w:rPr>
          <w:rFonts w:ascii="Arial" w:hAnsi="Arial" w:cs="Arial"/>
          <w:kern w:val="0"/>
        </w:rPr>
      </w:pPr>
      <w:r w:rsidRPr="00E021BC">
        <w:rPr>
          <w:rFonts w:ascii="Arial" w:hAnsi="Arial" w:cs="Arial"/>
          <w:kern w:val="0"/>
        </w:rPr>
        <w:lastRenderedPageBreak/>
        <w:t xml:space="preserve">World Health Organisation (2016). Framework on integrated, people-centred Health Services Report by the Secretariat. [online] Available at: </w:t>
      </w:r>
      <w:hyperlink r:id="rId15" w:history="1">
        <w:r w:rsidRPr="001C038C">
          <w:rPr>
            <w:rStyle w:val="Hyperlink"/>
            <w:rFonts w:ascii="Arial" w:hAnsi="Arial" w:cs="Arial"/>
            <w:kern w:val="0"/>
          </w:rPr>
          <w:t>https://apps.who.int/gb/ebwha/pdf_files/WHA69/A69_39-en.pdf</w:t>
        </w:r>
      </w:hyperlink>
      <w:r w:rsidRPr="00E021BC">
        <w:rPr>
          <w:rFonts w:ascii="Arial" w:hAnsi="Arial" w:cs="Arial"/>
          <w:kern w:val="0"/>
        </w:rPr>
        <w:t>.</w:t>
      </w:r>
      <w:r>
        <w:rPr>
          <w:rFonts w:ascii="Arial" w:hAnsi="Arial" w:cs="Arial"/>
          <w:kern w:val="0"/>
        </w:rPr>
        <w:t xml:space="preserve"> </w:t>
      </w:r>
    </w:p>
    <w:sectPr w:rsidR="006A7611" w:rsidRPr="00E021BC">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C0B18" w14:textId="77777777" w:rsidR="00A34ED7" w:rsidRDefault="00A34ED7" w:rsidP="00A239A5">
      <w:pPr>
        <w:spacing w:after="0" w:line="240" w:lineRule="auto"/>
      </w:pPr>
      <w:r>
        <w:separator/>
      </w:r>
    </w:p>
  </w:endnote>
  <w:endnote w:type="continuationSeparator" w:id="0">
    <w:p w14:paraId="7A4B37D0" w14:textId="77777777" w:rsidR="00A34ED7" w:rsidRDefault="00A34ED7" w:rsidP="00A23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81253833"/>
      <w:docPartObj>
        <w:docPartGallery w:val="Page Numbers (Bottom of Page)"/>
        <w:docPartUnique/>
      </w:docPartObj>
    </w:sdtPr>
    <w:sdtEndPr>
      <w:rPr>
        <w:rStyle w:val="PageNumber"/>
      </w:rPr>
    </w:sdtEndPr>
    <w:sdtContent>
      <w:p w14:paraId="33F0777A" w14:textId="2D9B051F" w:rsidR="00A239A5" w:rsidRDefault="00A239A5" w:rsidP="00B81F8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09374B2" w14:textId="77777777" w:rsidR="00A239A5" w:rsidRDefault="00A239A5" w:rsidP="00A239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F78CD" w14:textId="77777777" w:rsidR="00A239A5" w:rsidRDefault="00A239A5" w:rsidP="00A239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A8D34" w14:textId="77777777" w:rsidR="00A34ED7" w:rsidRDefault="00A34ED7" w:rsidP="00A239A5">
      <w:pPr>
        <w:spacing w:after="0" w:line="240" w:lineRule="auto"/>
      </w:pPr>
      <w:r>
        <w:separator/>
      </w:r>
    </w:p>
  </w:footnote>
  <w:footnote w:type="continuationSeparator" w:id="0">
    <w:p w14:paraId="481A5ECB" w14:textId="77777777" w:rsidR="00A34ED7" w:rsidRDefault="00A34ED7" w:rsidP="00A239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4C5B2C"/>
    <w:multiLevelType w:val="hybridMultilevel"/>
    <w:tmpl w:val="808026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91563DA"/>
    <w:multiLevelType w:val="hybridMultilevel"/>
    <w:tmpl w:val="FC90D6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43618139">
    <w:abstractNumId w:val="1"/>
  </w:num>
  <w:num w:numId="2" w16cid:durableId="910231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35D"/>
    <w:rsid w:val="000522EF"/>
    <w:rsid w:val="00073A84"/>
    <w:rsid w:val="00082A19"/>
    <w:rsid w:val="00091362"/>
    <w:rsid w:val="000E6280"/>
    <w:rsid w:val="001801C3"/>
    <w:rsid w:val="001C54FB"/>
    <w:rsid w:val="00222EA0"/>
    <w:rsid w:val="00230027"/>
    <w:rsid w:val="0023072C"/>
    <w:rsid w:val="002912C6"/>
    <w:rsid w:val="00372C57"/>
    <w:rsid w:val="003B0C09"/>
    <w:rsid w:val="00411C3B"/>
    <w:rsid w:val="0041375F"/>
    <w:rsid w:val="0041575F"/>
    <w:rsid w:val="00442B8A"/>
    <w:rsid w:val="004C659F"/>
    <w:rsid w:val="0053414F"/>
    <w:rsid w:val="00547FA0"/>
    <w:rsid w:val="005550BC"/>
    <w:rsid w:val="005A0EC2"/>
    <w:rsid w:val="005D3872"/>
    <w:rsid w:val="00621D49"/>
    <w:rsid w:val="006A7611"/>
    <w:rsid w:val="0073357A"/>
    <w:rsid w:val="00781D59"/>
    <w:rsid w:val="007B29C8"/>
    <w:rsid w:val="0080418F"/>
    <w:rsid w:val="00816ACE"/>
    <w:rsid w:val="00886DF5"/>
    <w:rsid w:val="00923F9B"/>
    <w:rsid w:val="00924E26"/>
    <w:rsid w:val="00950455"/>
    <w:rsid w:val="0096454A"/>
    <w:rsid w:val="00982DD9"/>
    <w:rsid w:val="009B7543"/>
    <w:rsid w:val="00A239A5"/>
    <w:rsid w:val="00A34ED7"/>
    <w:rsid w:val="00A3778D"/>
    <w:rsid w:val="00AE135D"/>
    <w:rsid w:val="00B4054A"/>
    <w:rsid w:val="00B42078"/>
    <w:rsid w:val="00B62432"/>
    <w:rsid w:val="00BC4A7F"/>
    <w:rsid w:val="00BD1C25"/>
    <w:rsid w:val="00BE2305"/>
    <w:rsid w:val="00C50643"/>
    <w:rsid w:val="00C740F9"/>
    <w:rsid w:val="00C94DFB"/>
    <w:rsid w:val="00CD06BB"/>
    <w:rsid w:val="00D21EC5"/>
    <w:rsid w:val="00E021BC"/>
    <w:rsid w:val="00E43E2B"/>
    <w:rsid w:val="00E81910"/>
    <w:rsid w:val="00E86C23"/>
    <w:rsid w:val="00F11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24DC30"/>
  <w15:chartTrackingRefBased/>
  <w15:docId w15:val="{83D0F02B-90E1-A943-9ED0-2A67E540F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385"/>
  </w:style>
  <w:style w:type="paragraph" w:styleId="Heading1">
    <w:name w:val="heading 1"/>
    <w:basedOn w:val="Normal"/>
    <w:next w:val="Normal"/>
    <w:link w:val="Heading1Char"/>
    <w:uiPriority w:val="9"/>
    <w:qFormat/>
    <w:rsid w:val="00AE13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13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13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13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13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13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13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3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3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3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13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13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13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13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13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3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3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35D"/>
    <w:rPr>
      <w:rFonts w:eastAsiaTheme="majorEastAsia" w:cstheme="majorBidi"/>
      <w:color w:val="272727" w:themeColor="text1" w:themeTint="D8"/>
    </w:rPr>
  </w:style>
  <w:style w:type="paragraph" w:styleId="Title">
    <w:name w:val="Title"/>
    <w:basedOn w:val="Normal"/>
    <w:next w:val="Normal"/>
    <w:link w:val="TitleChar"/>
    <w:uiPriority w:val="10"/>
    <w:qFormat/>
    <w:rsid w:val="00AE13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3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3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3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35D"/>
    <w:pPr>
      <w:spacing w:before="160"/>
      <w:jc w:val="center"/>
    </w:pPr>
    <w:rPr>
      <w:i/>
      <w:iCs/>
      <w:color w:val="404040" w:themeColor="text1" w:themeTint="BF"/>
    </w:rPr>
  </w:style>
  <w:style w:type="character" w:customStyle="1" w:styleId="QuoteChar">
    <w:name w:val="Quote Char"/>
    <w:basedOn w:val="DefaultParagraphFont"/>
    <w:link w:val="Quote"/>
    <w:uiPriority w:val="29"/>
    <w:rsid w:val="00AE135D"/>
    <w:rPr>
      <w:i/>
      <w:iCs/>
      <w:color w:val="404040" w:themeColor="text1" w:themeTint="BF"/>
    </w:rPr>
  </w:style>
  <w:style w:type="paragraph" w:styleId="ListParagraph">
    <w:name w:val="List Paragraph"/>
    <w:basedOn w:val="Normal"/>
    <w:uiPriority w:val="34"/>
    <w:qFormat/>
    <w:rsid w:val="00AE135D"/>
    <w:pPr>
      <w:ind w:left="720"/>
      <w:contextualSpacing/>
    </w:pPr>
  </w:style>
  <w:style w:type="character" w:styleId="IntenseEmphasis">
    <w:name w:val="Intense Emphasis"/>
    <w:basedOn w:val="DefaultParagraphFont"/>
    <w:uiPriority w:val="21"/>
    <w:qFormat/>
    <w:rsid w:val="00AE135D"/>
    <w:rPr>
      <w:i/>
      <w:iCs/>
      <w:color w:val="0F4761" w:themeColor="accent1" w:themeShade="BF"/>
    </w:rPr>
  </w:style>
  <w:style w:type="paragraph" w:styleId="IntenseQuote">
    <w:name w:val="Intense Quote"/>
    <w:basedOn w:val="Normal"/>
    <w:next w:val="Normal"/>
    <w:link w:val="IntenseQuoteChar"/>
    <w:uiPriority w:val="30"/>
    <w:qFormat/>
    <w:rsid w:val="00AE13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35D"/>
    <w:rPr>
      <w:i/>
      <w:iCs/>
      <w:color w:val="0F4761" w:themeColor="accent1" w:themeShade="BF"/>
    </w:rPr>
  </w:style>
  <w:style w:type="character" w:styleId="IntenseReference">
    <w:name w:val="Intense Reference"/>
    <w:basedOn w:val="DefaultParagraphFont"/>
    <w:uiPriority w:val="32"/>
    <w:qFormat/>
    <w:rsid w:val="00AE135D"/>
    <w:rPr>
      <w:b/>
      <w:bCs/>
      <w:smallCaps/>
      <w:color w:val="0F4761" w:themeColor="accent1" w:themeShade="BF"/>
      <w:spacing w:val="5"/>
    </w:rPr>
  </w:style>
  <w:style w:type="paragraph" w:styleId="TOCHeading">
    <w:name w:val="TOC Heading"/>
    <w:basedOn w:val="Heading1"/>
    <w:next w:val="Normal"/>
    <w:uiPriority w:val="39"/>
    <w:unhideWhenUsed/>
    <w:qFormat/>
    <w:rsid w:val="00C740F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740F9"/>
    <w:pPr>
      <w:pBdr>
        <w:between w:val="double" w:sz="6" w:space="0" w:color="auto"/>
      </w:pBdr>
      <w:spacing w:before="120" w:after="120"/>
      <w:jc w:val="center"/>
    </w:pPr>
    <w:rPr>
      <w:b/>
      <w:bCs/>
      <w:i/>
      <w:iCs/>
    </w:rPr>
  </w:style>
  <w:style w:type="paragraph" w:styleId="TOC2">
    <w:name w:val="toc 2"/>
    <w:basedOn w:val="Normal"/>
    <w:next w:val="Normal"/>
    <w:autoRedefine/>
    <w:uiPriority w:val="39"/>
    <w:semiHidden/>
    <w:unhideWhenUsed/>
    <w:rsid w:val="00C740F9"/>
    <w:pPr>
      <w:pBdr>
        <w:between w:val="double" w:sz="6" w:space="0" w:color="auto"/>
      </w:pBdr>
      <w:spacing w:before="120" w:after="120"/>
      <w:jc w:val="center"/>
    </w:pPr>
    <w:rPr>
      <w:i/>
      <w:iCs/>
      <w:sz w:val="20"/>
      <w:szCs w:val="20"/>
    </w:rPr>
  </w:style>
  <w:style w:type="paragraph" w:styleId="TOC3">
    <w:name w:val="toc 3"/>
    <w:basedOn w:val="Normal"/>
    <w:next w:val="Normal"/>
    <w:autoRedefine/>
    <w:uiPriority w:val="39"/>
    <w:semiHidden/>
    <w:unhideWhenUsed/>
    <w:rsid w:val="00C740F9"/>
    <w:pPr>
      <w:pBdr>
        <w:between w:val="double" w:sz="6" w:space="0" w:color="auto"/>
      </w:pBdr>
      <w:spacing w:before="120" w:after="120"/>
      <w:ind w:left="240"/>
      <w:jc w:val="center"/>
    </w:pPr>
    <w:rPr>
      <w:sz w:val="20"/>
      <w:szCs w:val="20"/>
    </w:rPr>
  </w:style>
  <w:style w:type="paragraph" w:styleId="TOC4">
    <w:name w:val="toc 4"/>
    <w:basedOn w:val="Normal"/>
    <w:next w:val="Normal"/>
    <w:autoRedefine/>
    <w:uiPriority w:val="39"/>
    <w:semiHidden/>
    <w:unhideWhenUsed/>
    <w:rsid w:val="00C740F9"/>
    <w:pPr>
      <w:pBdr>
        <w:between w:val="double" w:sz="6" w:space="0" w:color="auto"/>
      </w:pBdr>
      <w:spacing w:before="120" w:after="120"/>
      <w:ind w:left="480"/>
      <w:jc w:val="center"/>
    </w:pPr>
    <w:rPr>
      <w:sz w:val="20"/>
      <w:szCs w:val="20"/>
    </w:rPr>
  </w:style>
  <w:style w:type="paragraph" w:styleId="TOC5">
    <w:name w:val="toc 5"/>
    <w:basedOn w:val="Normal"/>
    <w:next w:val="Normal"/>
    <w:autoRedefine/>
    <w:uiPriority w:val="39"/>
    <w:semiHidden/>
    <w:unhideWhenUsed/>
    <w:rsid w:val="00C740F9"/>
    <w:pPr>
      <w:pBdr>
        <w:between w:val="double" w:sz="6" w:space="0" w:color="auto"/>
      </w:pBdr>
      <w:spacing w:before="120" w:after="120"/>
      <w:ind w:left="720"/>
      <w:jc w:val="center"/>
    </w:pPr>
    <w:rPr>
      <w:sz w:val="20"/>
      <w:szCs w:val="20"/>
    </w:rPr>
  </w:style>
  <w:style w:type="paragraph" w:styleId="TOC6">
    <w:name w:val="toc 6"/>
    <w:basedOn w:val="Normal"/>
    <w:next w:val="Normal"/>
    <w:autoRedefine/>
    <w:uiPriority w:val="39"/>
    <w:semiHidden/>
    <w:unhideWhenUsed/>
    <w:rsid w:val="00C740F9"/>
    <w:pPr>
      <w:pBdr>
        <w:between w:val="double" w:sz="6" w:space="0" w:color="auto"/>
      </w:pBdr>
      <w:spacing w:before="120" w:after="120"/>
      <w:ind w:left="960"/>
      <w:jc w:val="center"/>
    </w:pPr>
    <w:rPr>
      <w:sz w:val="20"/>
      <w:szCs w:val="20"/>
    </w:rPr>
  </w:style>
  <w:style w:type="paragraph" w:styleId="TOC7">
    <w:name w:val="toc 7"/>
    <w:basedOn w:val="Normal"/>
    <w:next w:val="Normal"/>
    <w:autoRedefine/>
    <w:uiPriority w:val="39"/>
    <w:semiHidden/>
    <w:unhideWhenUsed/>
    <w:rsid w:val="00C740F9"/>
    <w:pPr>
      <w:pBdr>
        <w:between w:val="double" w:sz="6" w:space="0" w:color="auto"/>
      </w:pBdr>
      <w:spacing w:before="120" w:after="120"/>
      <w:ind w:left="1200"/>
      <w:jc w:val="center"/>
    </w:pPr>
    <w:rPr>
      <w:sz w:val="20"/>
      <w:szCs w:val="20"/>
    </w:rPr>
  </w:style>
  <w:style w:type="paragraph" w:styleId="TOC8">
    <w:name w:val="toc 8"/>
    <w:basedOn w:val="Normal"/>
    <w:next w:val="Normal"/>
    <w:autoRedefine/>
    <w:uiPriority w:val="39"/>
    <w:semiHidden/>
    <w:unhideWhenUsed/>
    <w:rsid w:val="00C740F9"/>
    <w:pPr>
      <w:pBdr>
        <w:between w:val="double" w:sz="6" w:space="0" w:color="auto"/>
      </w:pBdr>
      <w:spacing w:before="120" w:after="120"/>
      <w:ind w:left="1440"/>
      <w:jc w:val="center"/>
    </w:pPr>
    <w:rPr>
      <w:sz w:val="20"/>
      <w:szCs w:val="20"/>
    </w:rPr>
  </w:style>
  <w:style w:type="paragraph" w:styleId="TOC9">
    <w:name w:val="toc 9"/>
    <w:basedOn w:val="Normal"/>
    <w:next w:val="Normal"/>
    <w:autoRedefine/>
    <w:uiPriority w:val="39"/>
    <w:semiHidden/>
    <w:unhideWhenUsed/>
    <w:rsid w:val="00C740F9"/>
    <w:pPr>
      <w:pBdr>
        <w:between w:val="double" w:sz="6" w:space="0" w:color="auto"/>
      </w:pBdr>
      <w:spacing w:before="120" w:after="120"/>
      <w:ind w:left="1680"/>
      <w:jc w:val="center"/>
    </w:pPr>
    <w:rPr>
      <w:sz w:val="20"/>
      <w:szCs w:val="20"/>
    </w:rPr>
  </w:style>
  <w:style w:type="paragraph" w:styleId="Footer">
    <w:name w:val="footer"/>
    <w:basedOn w:val="Normal"/>
    <w:link w:val="FooterChar"/>
    <w:uiPriority w:val="99"/>
    <w:unhideWhenUsed/>
    <w:rsid w:val="00A239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9A5"/>
  </w:style>
  <w:style w:type="character" w:styleId="PageNumber">
    <w:name w:val="page number"/>
    <w:basedOn w:val="DefaultParagraphFont"/>
    <w:uiPriority w:val="99"/>
    <w:semiHidden/>
    <w:unhideWhenUsed/>
    <w:rsid w:val="00A239A5"/>
  </w:style>
  <w:style w:type="character" w:styleId="Hyperlink">
    <w:name w:val="Hyperlink"/>
    <w:basedOn w:val="DefaultParagraphFont"/>
    <w:uiPriority w:val="99"/>
    <w:unhideWhenUsed/>
    <w:rsid w:val="00442B8A"/>
    <w:rPr>
      <w:color w:val="467886" w:themeColor="hyperlink"/>
      <w:u w:val="single"/>
    </w:rPr>
  </w:style>
  <w:style w:type="paragraph" w:styleId="NormalWeb">
    <w:name w:val="Normal (Web)"/>
    <w:basedOn w:val="Normal"/>
    <w:uiPriority w:val="99"/>
    <w:semiHidden/>
    <w:unhideWhenUsed/>
    <w:rsid w:val="00E021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021BC"/>
  </w:style>
  <w:style w:type="character" w:styleId="UnresolvedMention">
    <w:name w:val="Unresolved Mention"/>
    <w:basedOn w:val="DefaultParagraphFont"/>
    <w:uiPriority w:val="99"/>
    <w:semiHidden/>
    <w:unhideWhenUsed/>
    <w:rsid w:val="00E02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ebarchive.nationalarchives.gov.uk/ukgwa/20250707103655/https://www.longtermplan.nhs.uk/wp-content/uploads/2019/01/nhs-long-term-plan-june-2019.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ansform.england.nhs.uk/media/documents/NHSX_Records_Management_CoP_V7.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0/15/contents" TargetMode="External"/><Relationship Id="rId5" Type="http://schemas.openxmlformats.org/officeDocument/2006/relationships/webSettings" Target="webSettings.xml"/><Relationship Id="rId15" Type="http://schemas.openxmlformats.org/officeDocument/2006/relationships/hyperlink" Target="https://apps.who.int/gb/ebwha/pdf_files/WHA69/A69_39-en.pdf" TargetMode="External"/><Relationship Id="rId10" Type="http://schemas.openxmlformats.org/officeDocument/2006/relationships/hyperlink" Target="https://www.gov.uk/government/publications/department-of-health-and-social-care-outcome-delivery-plan/department-of-health-and-social-care-outcome-delivery-plan-2021-to-202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lation.gov.uk/ukpga/2018/12/contents" TargetMode="External"/><Relationship Id="rId14" Type="http://schemas.openxmlformats.org/officeDocument/2006/relationships/hyperlink" Target="https://www.nmc.org.uk/standard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B71E4-E47C-4749-9082-A80F0E9E8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2084</Words>
  <Characters>11884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Ana Geli (2515868)</dc:creator>
  <cp:keywords/>
  <dc:description/>
  <cp:lastModifiedBy>Ruby Ana Geli (2515868)</cp:lastModifiedBy>
  <cp:revision>2</cp:revision>
  <dcterms:created xsi:type="dcterms:W3CDTF">2026-04-25T22:25:00Z</dcterms:created>
  <dcterms:modified xsi:type="dcterms:W3CDTF">2026-04-25T22:25:00Z</dcterms:modified>
</cp:coreProperties>
</file>