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90285DB" w14:paraId="3AAA0061" wp14:textId="13AB0B5F">
      <w:pPr>
        <w:jc w:val="both"/>
        <w:rPr>
          <w:rFonts w:ascii="Times New Roman" w:hAnsi="Times New Roman" w:eastAsia="Times New Roman" w:cs="Times New Roman"/>
          <w:b w:val="1"/>
          <w:bCs w:val="1"/>
          <w:noProof w:val="0"/>
          <w:sz w:val="22"/>
          <w:szCs w:val="22"/>
          <w:lang w:val="en-GB"/>
        </w:rPr>
      </w:pPr>
      <w:r w:rsidRPr="690285DB" w:rsidR="2E42340E">
        <w:rPr>
          <w:rFonts w:ascii="Times New Roman" w:hAnsi="Times New Roman" w:eastAsia="Times New Roman" w:cs="Times New Roman"/>
          <w:b w:val="1"/>
          <w:bCs w:val="1"/>
          <w:noProof w:val="0"/>
          <w:sz w:val="22"/>
          <w:szCs w:val="22"/>
          <w:lang w:val="en-GB"/>
        </w:rPr>
        <w:t>Module:  BMLW 4006</w:t>
      </w:r>
    </w:p>
    <w:p xmlns:wp14="http://schemas.microsoft.com/office/word/2010/wordml" w:rsidP="690285DB" w14:paraId="75C91AB4" wp14:textId="3E4720EE">
      <w:pPr>
        <w:pStyle w:val="Normal"/>
        <w:jc w:val="both"/>
        <w:rPr>
          <w:rFonts w:ascii="Times New Roman" w:hAnsi="Times New Roman" w:eastAsia="Times New Roman" w:cs="Times New Roman"/>
          <w:noProof w:val="0"/>
          <w:sz w:val="22"/>
          <w:szCs w:val="22"/>
          <w:lang w:val="en-GB"/>
        </w:rPr>
      </w:pPr>
      <w:r w:rsidRPr="690285DB" w:rsidR="2E42340E">
        <w:rPr>
          <w:rFonts w:ascii="Times New Roman" w:hAnsi="Times New Roman" w:eastAsia="Times New Roman" w:cs="Times New Roman"/>
          <w:b w:val="1"/>
          <w:bCs w:val="1"/>
          <w:noProof w:val="0"/>
          <w:sz w:val="22"/>
          <w:szCs w:val="22"/>
          <w:lang w:val="en-GB"/>
        </w:rPr>
        <w:t>STUDENT ID: 2229444</w:t>
      </w:r>
    </w:p>
    <w:p xmlns:wp14="http://schemas.microsoft.com/office/word/2010/wordml" w:rsidP="690285DB" w14:paraId="5FAFC7F5" wp14:textId="31824F9B">
      <w:pPr>
        <w:jc w:val="both"/>
        <w:rPr>
          <w:rFonts w:ascii="Times New Roman" w:hAnsi="Times New Roman" w:eastAsia="Times New Roman" w:cs="Times New Roman"/>
          <w:noProof w:val="0"/>
          <w:sz w:val="22"/>
          <w:szCs w:val="22"/>
          <w:lang w:val="en-GB"/>
        </w:rPr>
      </w:pPr>
    </w:p>
    <w:p xmlns:wp14="http://schemas.microsoft.com/office/word/2010/wordml" w:rsidP="690285DB" w14:paraId="5B855C06" wp14:textId="44609EF8">
      <w:pPr>
        <w:jc w:val="both"/>
      </w:pPr>
      <w:r w:rsidRPr="690285DB" w:rsidR="02161876">
        <w:rPr>
          <w:rFonts w:ascii="Times New Roman" w:hAnsi="Times New Roman" w:eastAsia="Times New Roman" w:cs="Times New Roman"/>
          <w:noProof w:val="0"/>
          <w:sz w:val="22"/>
          <w:szCs w:val="22"/>
          <w:lang w:val="en-GB"/>
        </w:rPr>
        <w:t>According to Postema (2003), the English legal structure is primarily rooted in the common law philosophy. As a body of law, the common law does not anchor on the conventional codified rules or statutes. Rather, the common law is founded on judicial decisions (Postema, 2002). Thus, as a legal system, the common law has gradually advanced from the decisions of a myriad of court cases over time. Anghel (2017) posits that the rules and principles of common law are derivatives of the decisions taken in previous court cases. These are known as precedents (Anghel, 2017). Steilen (2011) states that this dichotomy imputes an obligation on the courts and judges to not only follow but also abide by the precedents that have been laid down in preceding court cases when determining cases before them. This phenomenon is sometimes often referred to as judge-made law on account that they originate from the results of individual cases (Steilen, 2011).</w:t>
      </w:r>
      <w:r w:rsidRPr="690285DB" w:rsidR="36C66928">
        <w:rPr>
          <w:rFonts w:ascii="Times New Roman" w:hAnsi="Times New Roman" w:eastAsia="Times New Roman" w:cs="Times New Roman"/>
          <w:noProof w:val="0"/>
          <w:sz w:val="22"/>
          <w:szCs w:val="22"/>
          <w:lang w:val="en-GB"/>
        </w:rPr>
        <w:t xml:space="preserve"> On the other hand, civil law is a legal system that is based on written codes and statutes. In a civil law system, laws are created by legislators and codified into statutes that are applied uniformly across all cases. Judges in a civil law system are expected to apply these statutes to the facts of each case, rather than relying on judicial precedent. Another </w:t>
      </w:r>
      <w:r w:rsidRPr="690285DB" w:rsidR="15416B5E">
        <w:rPr>
          <w:rFonts w:ascii="Times New Roman" w:hAnsi="Times New Roman" w:eastAsia="Times New Roman" w:cs="Times New Roman"/>
          <w:noProof w:val="0"/>
          <w:sz w:val="22"/>
          <w:szCs w:val="22"/>
          <w:lang w:val="en-GB"/>
        </w:rPr>
        <w:t>major difference</w:t>
      </w:r>
      <w:r w:rsidRPr="690285DB" w:rsidR="36C66928">
        <w:rPr>
          <w:rFonts w:ascii="Times New Roman" w:hAnsi="Times New Roman" w:eastAsia="Times New Roman" w:cs="Times New Roman"/>
          <w:noProof w:val="0"/>
          <w:sz w:val="22"/>
          <w:szCs w:val="22"/>
          <w:lang w:val="en-GB"/>
        </w:rPr>
        <w:t xml:space="preserve"> between common law and civil law is the way in which legal cases are presented and argued. In a common law system, lawyers present their arguments to a judge, who then interprets the law and makes a ruling. In a civil law system, lawyers present their arguments to a panel of judges, who then apply the law to the facts of the case and make a ruling.</w:t>
      </w:r>
      <w:r w:rsidRPr="690285DB" w:rsidR="3486C381">
        <w:rPr>
          <w:rFonts w:ascii="Times New Roman" w:hAnsi="Times New Roman" w:eastAsia="Times New Roman" w:cs="Times New Roman"/>
          <w:noProof w:val="0"/>
          <w:sz w:val="22"/>
          <w:szCs w:val="22"/>
          <w:lang w:val="en-GB"/>
        </w:rPr>
        <w:t xml:space="preserve"> Common law is primarily used in countries that have a legal system that is based on English law, such as the United Kingdom, Australia, and the United States. Civil law is primarily used in countries that have a legal system that is based on Roman law, such as France, Germany, and Spain. However, it is important to note that many countries have legal systems that are influenced by both common law and civil law.</w:t>
      </w:r>
    </w:p>
    <w:p xmlns:wp14="http://schemas.microsoft.com/office/word/2010/wordml" w:rsidP="690285DB" w14:paraId="7579DD8F" wp14:textId="556C23D9">
      <w:pPr>
        <w:pStyle w:val="Normal"/>
        <w:jc w:val="both"/>
        <w:rPr>
          <w:rFonts w:ascii="Times New Roman" w:hAnsi="Times New Roman" w:eastAsia="Times New Roman" w:cs="Times New Roman"/>
          <w:noProof w:val="0"/>
          <w:sz w:val="22"/>
          <w:szCs w:val="22"/>
          <w:lang w:val="en-GB"/>
        </w:rPr>
      </w:pPr>
    </w:p>
    <w:p xmlns:wp14="http://schemas.microsoft.com/office/word/2010/wordml" w:rsidP="690285DB" w14:paraId="091A95FD" wp14:textId="6CCF625E">
      <w:pPr>
        <w:jc w:val="both"/>
      </w:pPr>
      <w:r w:rsidRPr="690285DB" w:rsidR="02161876">
        <w:rPr>
          <w:rFonts w:ascii="Times New Roman" w:hAnsi="Times New Roman" w:eastAsia="Times New Roman" w:cs="Times New Roman"/>
          <w:noProof w:val="0"/>
          <w:sz w:val="22"/>
          <w:szCs w:val="22"/>
          <w:lang w:val="en-GB"/>
        </w:rPr>
        <w:t xml:space="preserve">As pointed out above, common law is based on the binding nature of </w:t>
      </w:r>
      <w:r w:rsidRPr="690285DB" w:rsidR="02161876">
        <w:rPr>
          <w:rFonts w:ascii="Times New Roman" w:hAnsi="Times New Roman" w:eastAsia="Times New Roman" w:cs="Times New Roman"/>
          <w:noProof w:val="0"/>
          <w:sz w:val="22"/>
          <w:szCs w:val="22"/>
          <w:lang w:val="en-GB"/>
        </w:rPr>
        <w:t>previous</w:t>
      </w:r>
      <w:r w:rsidRPr="690285DB" w:rsidR="02161876">
        <w:rPr>
          <w:rFonts w:ascii="Times New Roman" w:hAnsi="Times New Roman" w:eastAsia="Times New Roman" w:cs="Times New Roman"/>
          <w:noProof w:val="0"/>
          <w:sz w:val="22"/>
          <w:szCs w:val="22"/>
          <w:lang w:val="en-GB"/>
        </w:rPr>
        <w:t xml:space="preserve"> court decisions on the present cases before a court of law. This practice is the result of centuries-long efforts to give rise to a robust and dependable legal structure</w:t>
      </w:r>
      <w:r w:rsidRPr="690285DB" w:rsidR="64C036CD">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 xml:space="preserve">According to Dickinson (2019), the application of common law can is traceable to medieval England. During this time, the English legal structure was a rich fusion of local customs, the decisions of judges, and decrees of royal origin (Dickinson, 2019). Dickinson (2019) </w:t>
      </w:r>
      <w:r w:rsidRPr="690285DB" w:rsidR="02161876">
        <w:rPr>
          <w:rFonts w:ascii="Times New Roman" w:hAnsi="Times New Roman" w:eastAsia="Times New Roman" w:cs="Times New Roman"/>
          <w:noProof w:val="0"/>
          <w:sz w:val="22"/>
          <w:szCs w:val="22"/>
          <w:lang w:val="en-GB"/>
        </w:rPr>
        <w:t>maintains</w:t>
      </w:r>
      <w:r w:rsidRPr="690285DB" w:rsidR="02161876">
        <w:rPr>
          <w:rFonts w:ascii="Times New Roman" w:hAnsi="Times New Roman" w:eastAsia="Times New Roman" w:cs="Times New Roman"/>
          <w:noProof w:val="0"/>
          <w:sz w:val="22"/>
          <w:szCs w:val="22"/>
          <w:lang w:val="en-GB"/>
        </w:rPr>
        <w:t xml:space="preserve"> that </w:t>
      </w:r>
      <w:bookmarkStart w:name="_Int_oKZyknMG" w:id="1391082711"/>
      <w:r w:rsidRPr="690285DB" w:rsidR="02161876">
        <w:rPr>
          <w:rFonts w:ascii="Times New Roman" w:hAnsi="Times New Roman" w:eastAsia="Times New Roman" w:cs="Times New Roman"/>
          <w:noProof w:val="0"/>
          <w:sz w:val="22"/>
          <w:szCs w:val="22"/>
          <w:lang w:val="en-GB"/>
        </w:rPr>
        <w:t>as a result of</w:t>
      </w:r>
      <w:bookmarkEnd w:id="1391082711"/>
      <w:r w:rsidRPr="690285DB" w:rsidR="02161876">
        <w:rPr>
          <w:rFonts w:ascii="Times New Roman" w:hAnsi="Times New Roman" w:eastAsia="Times New Roman" w:cs="Times New Roman"/>
          <w:noProof w:val="0"/>
          <w:sz w:val="22"/>
          <w:szCs w:val="22"/>
          <w:lang w:val="en-GB"/>
        </w:rPr>
        <w:t xml:space="preserve"> the centralized courts replacing the local courts, the king’s judges were mandated to traverse the entire country </w:t>
      </w:r>
      <w:bookmarkStart w:name="_Int_dzARw7dr" w:id="1355732288"/>
      <w:r w:rsidRPr="690285DB" w:rsidR="02161876">
        <w:rPr>
          <w:rFonts w:ascii="Times New Roman" w:hAnsi="Times New Roman" w:eastAsia="Times New Roman" w:cs="Times New Roman"/>
          <w:noProof w:val="0"/>
          <w:sz w:val="22"/>
          <w:szCs w:val="22"/>
          <w:lang w:val="en-GB"/>
        </w:rPr>
        <w:t>in order to</w:t>
      </w:r>
      <w:bookmarkEnd w:id="1355732288"/>
      <w:r w:rsidRPr="690285DB" w:rsidR="02161876">
        <w:rPr>
          <w:rFonts w:ascii="Times New Roman" w:hAnsi="Times New Roman" w:eastAsia="Times New Roman" w:cs="Times New Roman"/>
          <w:noProof w:val="0"/>
          <w:sz w:val="22"/>
          <w:szCs w:val="22"/>
          <w:lang w:val="en-GB"/>
        </w:rPr>
        <w:t xml:space="preserve"> both hear and enforce the law. While this arrangement had </w:t>
      </w:r>
      <w:bookmarkStart w:name="_Int_8w7O0to1" w:id="2070397377"/>
      <w:r w:rsidRPr="690285DB" w:rsidR="02161876">
        <w:rPr>
          <w:rFonts w:ascii="Times New Roman" w:hAnsi="Times New Roman" w:eastAsia="Times New Roman" w:cs="Times New Roman"/>
          <w:noProof w:val="0"/>
          <w:sz w:val="22"/>
          <w:szCs w:val="22"/>
          <w:lang w:val="en-GB"/>
        </w:rPr>
        <w:t>a huge impact</w:t>
      </w:r>
      <w:bookmarkEnd w:id="2070397377"/>
      <w:r w:rsidRPr="690285DB" w:rsidR="02161876">
        <w:rPr>
          <w:rFonts w:ascii="Times New Roman" w:hAnsi="Times New Roman" w:eastAsia="Times New Roman" w:cs="Times New Roman"/>
          <w:noProof w:val="0"/>
          <w:sz w:val="22"/>
          <w:szCs w:val="22"/>
          <w:lang w:val="en-GB"/>
        </w:rPr>
        <w:t xml:space="preserve"> on the legal structure, it was not until the Norman Conquest of England that the common law was brought to light (</w:t>
      </w:r>
      <w:r w:rsidRPr="690285DB" w:rsidR="02161876">
        <w:rPr>
          <w:rFonts w:ascii="Times New Roman" w:hAnsi="Times New Roman" w:eastAsia="Times New Roman" w:cs="Times New Roman"/>
          <w:noProof w:val="0"/>
          <w:sz w:val="22"/>
          <w:szCs w:val="22"/>
          <w:lang w:val="en-GB"/>
        </w:rPr>
        <w:t>Christelow</w:t>
      </w:r>
      <w:r w:rsidRPr="690285DB" w:rsidR="02161876">
        <w:rPr>
          <w:rFonts w:ascii="Times New Roman" w:hAnsi="Times New Roman" w:eastAsia="Times New Roman" w:cs="Times New Roman"/>
          <w:noProof w:val="0"/>
          <w:sz w:val="22"/>
          <w:szCs w:val="22"/>
          <w:lang w:val="en-GB"/>
        </w:rPr>
        <w:t>, 2011).</w:t>
      </w:r>
    </w:p>
    <w:p xmlns:wp14="http://schemas.microsoft.com/office/word/2010/wordml" w:rsidP="690285DB" w14:paraId="2EAE7FE8" wp14:textId="65AE4E2A">
      <w:pPr>
        <w:jc w:val="both"/>
      </w:pPr>
      <w:r w:rsidRPr="690285DB" w:rsidR="02161876">
        <w:rPr>
          <w:rFonts w:ascii="Times New Roman" w:hAnsi="Times New Roman" w:eastAsia="Times New Roman" w:cs="Times New Roman"/>
          <w:noProof w:val="0"/>
          <w:sz w:val="22"/>
          <w:szCs w:val="22"/>
          <w:lang w:val="en-GB"/>
        </w:rPr>
        <w:t>This setting allowed the decisions of the king’s judges to form reliable legal rules and principles that guided subsequent court decisions (Christelow, 2011). Moreover, the system of relying on case law over time made it possible to establish substantial predictability and consistency that made the enforcement of common law effective (Thomas, 2017). Further, during the 12</w:t>
      </w:r>
      <w:r w:rsidRPr="690285DB" w:rsidR="02161876">
        <w:rPr>
          <w:rFonts w:ascii="Times New Roman" w:hAnsi="Times New Roman" w:eastAsia="Times New Roman" w:cs="Times New Roman"/>
          <w:noProof w:val="0"/>
          <w:sz w:val="22"/>
          <w:szCs w:val="22"/>
          <w:vertAlign w:val="superscript"/>
          <w:lang w:val="en-GB"/>
        </w:rPr>
        <w:t>th</w:t>
      </w:r>
      <w:r w:rsidRPr="690285DB" w:rsidR="02161876">
        <w:rPr>
          <w:rFonts w:ascii="Times New Roman" w:hAnsi="Times New Roman" w:eastAsia="Times New Roman" w:cs="Times New Roman"/>
          <w:noProof w:val="0"/>
          <w:sz w:val="22"/>
          <w:szCs w:val="22"/>
          <w:lang w:val="en-GB"/>
        </w:rPr>
        <w:t xml:space="preserve"> and 13</w:t>
      </w:r>
      <w:r w:rsidRPr="690285DB" w:rsidR="02161876">
        <w:rPr>
          <w:rFonts w:ascii="Times New Roman" w:hAnsi="Times New Roman" w:eastAsia="Times New Roman" w:cs="Times New Roman"/>
          <w:noProof w:val="0"/>
          <w:sz w:val="22"/>
          <w:szCs w:val="22"/>
          <w:vertAlign w:val="superscript"/>
          <w:lang w:val="en-GB"/>
        </w:rPr>
        <w:t>th</w:t>
      </w:r>
      <w:r w:rsidRPr="690285DB" w:rsidR="02161876">
        <w:rPr>
          <w:rFonts w:ascii="Times New Roman" w:hAnsi="Times New Roman" w:eastAsia="Times New Roman" w:cs="Times New Roman"/>
          <w:noProof w:val="0"/>
          <w:sz w:val="22"/>
          <w:szCs w:val="22"/>
          <w:lang w:val="en-GB"/>
        </w:rPr>
        <w:t xml:space="preserve"> Centuries, common law courts were created and separated from the conventional royal courts (Thomas, 2017). Consequently, this structure saw the common law courts teem with trained lawyers who contributed to the application and interpretation of legal rules and principles in a way that produced more consistency and predictability. As a result, new procedures and remedies resulted from the common law courts, including the writ system that enabled individual-individual legal actions (Morin, 2022). Altogether, the Enlightenment Era laid emphasis on the concepts of the vitality of human rights, logic, and reason as core concepts of the law. This era retrofitted the doctrine of the rule of law that championed equality before the law (Szabo, 1980).</w:t>
      </w:r>
    </w:p>
    <w:p xmlns:wp14="http://schemas.microsoft.com/office/word/2010/wordml" w:rsidP="690285DB" w14:paraId="38DF0779" wp14:textId="76FA48B7">
      <w:pPr>
        <w:jc w:val="both"/>
      </w:pPr>
      <w:r w:rsidRPr="690285DB" w:rsidR="02161876">
        <w:rPr>
          <w:rFonts w:ascii="Times New Roman" w:hAnsi="Times New Roman" w:eastAsia="Times New Roman" w:cs="Times New Roman"/>
          <w:noProof w:val="0"/>
          <w:sz w:val="22"/>
          <w:szCs w:val="22"/>
          <w:lang w:val="en-GB"/>
        </w:rPr>
        <w:t xml:space="preserve">Comparatively, common law is a complete contrast to civil law. According to </w:t>
      </w:r>
      <w:r w:rsidRPr="690285DB" w:rsidR="02161876">
        <w:rPr>
          <w:rFonts w:ascii="Times New Roman" w:hAnsi="Times New Roman" w:eastAsia="Times New Roman" w:cs="Times New Roman"/>
          <w:noProof w:val="0"/>
          <w:sz w:val="22"/>
          <w:szCs w:val="22"/>
          <w:lang w:val="en-GB"/>
        </w:rPr>
        <w:t>Dainow</w:t>
      </w:r>
      <w:r w:rsidRPr="690285DB" w:rsidR="02161876">
        <w:rPr>
          <w:rFonts w:ascii="Times New Roman" w:hAnsi="Times New Roman" w:eastAsia="Times New Roman" w:cs="Times New Roman"/>
          <w:noProof w:val="0"/>
          <w:sz w:val="22"/>
          <w:szCs w:val="22"/>
          <w:lang w:val="en-GB"/>
        </w:rPr>
        <w:t xml:space="preserve"> (1966), </w:t>
      </w:r>
      <w:r w:rsidRPr="690285DB" w:rsidR="02161876">
        <w:rPr>
          <w:rFonts w:ascii="Times New Roman" w:hAnsi="Times New Roman" w:eastAsia="Times New Roman" w:cs="Times New Roman"/>
          <w:noProof w:val="0"/>
          <w:sz w:val="22"/>
          <w:szCs w:val="22"/>
          <w:lang w:val="en-GB"/>
        </w:rPr>
        <w:t>whereas</w:t>
      </w:r>
      <w:r w:rsidRPr="690285DB" w:rsidR="02161876">
        <w:rPr>
          <w:rFonts w:ascii="Times New Roman" w:hAnsi="Times New Roman" w:eastAsia="Times New Roman" w:cs="Times New Roman"/>
          <w:noProof w:val="0"/>
          <w:sz w:val="22"/>
          <w:szCs w:val="22"/>
          <w:lang w:val="en-GB"/>
        </w:rPr>
        <w:t xml:space="preserve"> the common law is built around judicial precedents,</w:t>
      </w:r>
      <w:r w:rsidRPr="690285DB" w:rsidR="4220FCCD">
        <w:rPr>
          <w:rFonts w:ascii="Times New Roman" w:hAnsi="Times New Roman" w:eastAsia="Times New Roman" w:cs="Times New Roman"/>
          <w:noProof w:val="0"/>
          <w:sz w:val="22"/>
          <w:szCs w:val="22"/>
          <w:lang w:val="en-GB"/>
        </w:rPr>
        <w:t xml:space="preserve"> </w:t>
      </w:r>
      <w:bookmarkStart w:name="_Int_GES8J1RH" w:id="471052927"/>
      <w:r w:rsidRPr="690285DB" w:rsidR="4220FCCD">
        <w:rPr>
          <w:rFonts w:ascii="Times New Roman" w:hAnsi="Times New Roman" w:eastAsia="Times New Roman" w:cs="Times New Roman"/>
          <w:noProof w:val="0"/>
          <w:sz w:val="22"/>
          <w:szCs w:val="22"/>
          <w:lang w:val="en-GB"/>
        </w:rPr>
        <w:t>jurisdictions</w:t>
      </w:r>
      <w:bookmarkEnd w:id="471052927"/>
      <w:r w:rsidRPr="690285DB" w:rsidR="02161876">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such</w:t>
      </w:r>
      <w:r w:rsidRPr="690285DB" w:rsidR="02161876">
        <w:rPr>
          <w:rFonts w:ascii="Times New Roman" w:hAnsi="Times New Roman" w:eastAsia="Times New Roman" w:cs="Times New Roman"/>
          <w:noProof w:val="0"/>
          <w:sz w:val="22"/>
          <w:szCs w:val="22"/>
          <w:lang w:val="en-GB"/>
        </w:rPr>
        <w:t xml:space="preserve"> as Italy, Germany, and France employ civil law which is founded on a structure of codified laws. These </w:t>
      </w:r>
      <w:bookmarkStart w:name="_Int_WRNxQN5d" w:id="755689030"/>
      <w:r w:rsidRPr="690285DB" w:rsidR="02161876">
        <w:rPr>
          <w:rFonts w:ascii="Times New Roman" w:hAnsi="Times New Roman" w:eastAsia="Times New Roman" w:cs="Times New Roman"/>
          <w:noProof w:val="0"/>
          <w:sz w:val="22"/>
          <w:szCs w:val="22"/>
          <w:lang w:val="en-GB"/>
        </w:rPr>
        <w:t>jurisdictions</w:t>
      </w:r>
      <w:bookmarkEnd w:id="755689030"/>
      <w:r w:rsidRPr="690285DB" w:rsidR="02161876">
        <w:rPr>
          <w:rFonts w:ascii="Times New Roman" w:hAnsi="Times New Roman" w:eastAsia="Times New Roman" w:cs="Times New Roman"/>
          <w:noProof w:val="0"/>
          <w:sz w:val="22"/>
          <w:szCs w:val="22"/>
          <w:lang w:val="en-GB"/>
        </w:rPr>
        <w:t xml:space="preserve"> have not only written down their laws but have also structured them into a comprehensive legal body or code (</w:t>
      </w:r>
      <w:r w:rsidRPr="690285DB" w:rsidR="02161876">
        <w:rPr>
          <w:rFonts w:ascii="Times New Roman" w:hAnsi="Times New Roman" w:eastAsia="Times New Roman" w:cs="Times New Roman"/>
          <w:noProof w:val="0"/>
          <w:sz w:val="22"/>
          <w:szCs w:val="22"/>
          <w:lang w:val="en-GB"/>
        </w:rPr>
        <w:t>Dainow</w:t>
      </w:r>
      <w:r w:rsidRPr="690285DB" w:rsidR="02161876">
        <w:rPr>
          <w:rFonts w:ascii="Times New Roman" w:hAnsi="Times New Roman" w:eastAsia="Times New Roman" w:cs="Times New Roman"/>
          <w:noProof w:val="0"/>
          <w:sz w:val="22"/>
          <w:szCs w:val="22"/>
          <w:lang w:val="en-GB"/>
        </w:rPr>
        <w:t xml:space="preserve">, 1996). In the end, their legal structure </w:t>
      </w:r>
      <w:r w:rsidRPr="690285DB" w:rsidR="02161876">
        <w:rPr>
          <w:rFonts w:ascii="Times New Roman" w:hAnsi="Times New Roman" w:eastAsia="Times New Roman" w:cs="Times New Roman"/>
          <w:noProof w:val="0"/>
          <w:sz w:val="22"/>
          <w:szCs w:val="22"/>
          <w:lang w:val="en-GB"/>
        </w:rPr>
        <w:t>comprises</w:t>
      </w:r>
      <w:r w:rsidRPr="690285DB" w:rsidR="02161876">
        <w:rPr>
          <w:rFonts w:ascii="Times New Roman" w:hAnsi="Times New Roman" w:eastAsia="Times New Roman" w:cs="Times New Roman"/>
          <w:noProof w:val="0"/>
          <w:sz w:val="22"/>
          <w:szCs w:val="22"/>
          <w:lang w:val="en-GB"/>
        </w:rPr>
        <w:t xml:space="preserve"> statutory law in which </w:t>
      </w:r>
      <w:bookmarkStart w:name="_Int_5Rf8vVGB" w:id="1429321235"/>
      <w:r w:rsidRPr="690285DB" w:rsidR="02161876">
        <w:rPr>
          <w:rFonts w:ascii="Times New Roman" w:hAnsi="Times New Roman" w:eastAsia="Times New Roman" w:cs="Times New Roman"/>
          <w:noProof w:val="0"/>
          <w:sz w:val="22"/>
          <w:szCs w:val="22"/>
          <w:lang w:val="en-GB"/>
        </w:rPr>
        <w:t>is a reflection of</w:t>
      </w:r>
      <w:bookmarkEnd w:id="1429321235"/>
      <w:r w:rsidRPr="690285DB" w:rsidR="02161876">
        <w:rPr>
          <w:rFonts w:ascii="Times New Roman" w:hAnsi="Times New Roman" w:eastAsia="Times New Roman" w:cs="Times New Roman"/>
          <w:noProof w:val="0"/>
          <w:sz w:val="22"/>
          <w:szCs w:val="22"/>
          <w:lang w:val="en-GB"/>
        </w:rPr>
        <w:t xml:space="preserve"> the regulations and laws that have been articulated in writing. According to (</w:t>
      </w:r>
      <w:r w:rsidRPr="690285DB" w:rsidR="02161876">
        <w:rPr>
          <w:rFonts w:ascii="Times New Roman" w:hAnsi="Times New Roman" w:eastAsia="Times New Roman" w:cs="Times New Roman"/>
          <w:noProof w:val="0"/>
          <w:sz w:val="22"/>
          <w:szCs w:val="22"/>
          <w:lang w:val="en-GB"/>
        </w:rPr>
        <w:t>Dainow</w:t>
      </w:r>
      <w:r w:rsidRPr="690285DB" w:rsidR="02161876">
        <w:rPr>
          <w:rFonts w:ascii="Times New Roman" w:hAnsi="Times New Roman" w:eastAsia="Times New Roman" w:cs="Times New Roman"/>
          <w:noProof w:val="0"/>
          <w:sz w:val="22"/>
          <w:szCs w:val="22"/>
          <w:lang w:val="en-GB"/>
        </w:rPr>
        <w:t xml:space="preserve">, 1996) judges in civil law </w:t>
      </w:r>
      <w:bookmarkStart w:name="_Int_Xht3KOGw" w:id="123789996"/>
      <w:r w:rsidRPr="690285DB" w:rsidR="02161876">
        <w:rPr>
          <w:rFonts w:ascii="Times New Roman" w:hAnsi="Times New Roman" w:eastAsia="Times New Roman" w:cs="Times New Roman"/>
          <w:noProof w:val="0"/>
          <w:sz w:val="22"/>
          <w:szCs w:val="22"/>
          <w:lang w:val="en-GB"/>
        </w:rPr>
        <w:t>jurisdictions</w:t>
      </w:r>
      <w:bookmarkEnd w:id="123789996"/>
      <w:r w:rsidRPr="690285DB" w:rsidR="02161876">
        <w:rPr>
          <w:rFonts w:ascii="Times New Roman" w:hAnsi="Times New Roman" w:eastAsia="Times New Roman" w:cs="Times New Roman"/>
          <w:noProof w:val="0"/>
          <w:sz w:val="22"/>
          <w:szCs w:val="22"/>
          <w:lang w:val="en-GB"/>
        </w:rPr>
        <w:t xml:space="preserve"> play a more passive role in court cases. This limits the scope of their influence to merely making an application of the codified rules as opposed to common law </w:t>
      </w:r>
      <w:bookmarkStart w:name="_Int_y9e4VRtJ" w:id="2014572051"/>
      <w:r w:rsidRPr="690285DB" w:rsidR="02161876">
        <w:rPr>
          <w:rFonts w:ascii="Times New Roman" w:hAnsi="Times New Roman" w:eastAsia="Times New Roman" w:cs="Times New Roman"/>
          <w:noProof w:val="0"/>
          <w:sz w:val="22"/>
          <w:szCs w:val="22"/>
          <w:lang w:val="en-GB"/>
        </w:rPr>
        <w:t>jurisdictions</w:t>
      </w:r>
      <w:bookmarkEnd w:id="2014572051"/>
      <w:r w:rsidRPr="690285DB" w:rsidR="02161876">
        <w:rPr>
          <w:rFonts w:ascii="Times New Roman" w:hAnsi="Times New Roman" w:eastAsia="Times New Roman" w:cs="Times New Roman"/>
          <w:noProof w:val="0"/>
          <w:sz w:val="22"/>
          <w:szCs w:val="22"/>
          <w:lang w:val="en-GB"/>
        </w:rPr>
        <w:t xml:space="preserve"> where the judges interpret the law. To this end, </w:t>
      </w:r>
      <w:r w:rsidRPr="690285DB" w:rsidR="02161876">
        <w:rPr>
          <w:rFonts w:ascii="Times New Roman" w:hAnsi="Times New Roman" w:eastAsia="Times New Roman" w:cs="Times New Roman"/>
          <w:noProof w:val="0"/>
          <w:sz w:val="22"/>
          <w:szCs w:val="22"/>
          <w:lang w:val="en-GB"/>
        </w:rPr>
        <w:t>Dainow</w:t>
      </w:r>
      <w:r w:rsidRPr="690285DB" w:rsidR="02161876">
        <w:rPr>
          <w:rFonts w:ascii="Times New Roman" w:hAnsi="Times New Roman" w:eastAsia="Times New Roman" w:cs="Times New Roman"/>
          <w:noProof w:val="0"/>
          <w:sz w:val="22"/>
          <w:szCs w:val="22"/>
          <w:lang w:val="en-GB"/>
        </w:rPr>
        <w:t xml:space="preserve"> (1996) </w:t>
      </w:r>
      <w:r w:rsidRPr="690285DB" w:rsidR="02161876">
        <w:rPr>
          <w:rFonts w:ascii="Times New Roman" w:hAnsi="Times New Roman" w:eastAsia="Times New Roman" w:cs="Times New Roman"/>
          <w:noProof w:val="0"/>
          <w:sz w:val="22"/>
          <w:szCs w:val="22"/>
          <w:lang w:val="en-GB"/>
        </w:rPr>
        <w:t>observes</w:t>
      </w:r>
      <w:r w:rsidRPr="690285DB" w:rsidR="02161876">
        <w:rPr>
          <w:rFonts w:ascii="Times New Roman" w:hAnsi="Times New Roman" w:eastAsia="Times New Roman" w:cs="Times New Roman"/>
          <w:noProof w:val="0"/>
          <w:sz w:val="22"/>
          <w:szCs w:val="22"/>
          <w:lang w:val="en-GB"/>
        </w:rPr>
        <w:t xml:space="preserve"> that the specific provisions of the codified laws are more important compared to legal principles. Therefore, unlike common law, civil law reflects minimal flexibility and adaptability since it is burdensome to change or vary a comprehensive legal code to meet the demands of dynamic circumstances (</w:t>
      </w:r>
      <w:r w:rsidRPr="690285DB" w:rsidR="02161876">
        <w:rPr>
          <w:rFonts w:ascii="Times New Roman" w:hAnsi="Times New Roman" w:eastAsia="Times New Roman" w:cs="Times New Roman"/>
          <w:noProof w:val="0"/>
          <w:sz w:val="22"/>
          <w:szCs w:val="22"/>
          <w:lang w:val="en-GB"/>
        </w:rPr>
        <w:t>Dainow</w:t>
      </w:r>
      <w:r w:rsidRPr="690285DB" w:rsidR="02161876">
        <w:rPr>
          <w:rFonts w:ascii="Times New Roman" w:hAnsi="Times New Roman" w:eastAsia="Times New Roman" w:cs="Times New Roman"/>
          <w:noProof w:val="0"/>
          <w:sz w:val="22"/>
          <w:szCs w:val="22"/>
          <w:lang w:val="en-GB"/>
        </w:rPr>
        <w:t>, 1996).</w:t>
      </w:r>
    </w:p>
    <w:p xmlns:wp14="http://schemas.microsoft.com/office/word/2010/wordml" w:rsidP="690285DB" w14:paraId="10B48515" wp14:textId="69C6277F">
      <w:pPr>
        <w:jc w:val="both"/>
      </w:pPr>
      <w:r w:rsidRPr="690285DB" w:rsidR="02161876">
        <w:rPr>
          <w:rFonts w:ascii="Times New Roman" w:hAnsi="Times New Roman" w:eastAsia="Times New Roman" w:cs="Times New Roman"/>
          <w:noProof w:val="0"/>
          <w:sz w:val="22"/>
          <w:szCs w:val="22"/>
          <w:lang w:val="en-GB"/>
        </w:rPr>
        <w:t xml:space="preserve">Since common law is sometimes referred to as judge-made law (Steilen, 2011), common law comes from the comments and opinions of a judge </w:t>
      </w:r>
      <w:r w:rsidRPr="690285DB" w:rsidR="02161876">
        <w:rPr>
          <w:rFonts w:ascii="Times New Roman" w:hAnsi="Times New Roman" w:eastAsia="Times New Roman" w:cs="Times New Roman"/>
          <w:noProof w:val="0"/>
          <w:sz w:val="22"/>
          <w:szCs w:val="22"/>
          <w:lang w:val="en-GB"/>
        </w:rPr>
        <w:t>pertaining to</w:t>
      </w:r>
      <w:r w:rsidRPr="690285DB" w:rsidR="02161876">
        <w:rPr>
          <w:rFonts w:ascii="Times New Roman" w:hAnsi="Times New Roman" w:eastAsia="Times New Roman" w:cs="Times New Roman"/>
          <w:noProof w:val="0"/>
          <w:sz w:val="22"/>
          <w:szCs w:val="22"/>
          <w:lang w:val="en-GB"/>
        </w:rPr>
        <w:t xml:space="preserve"> the decision of a particular case. This binding nature of the court decisions on future cases is known as judicial precedents (Anghel, 2017). Alternatively, this principle is referred to as the doctrine of </w:t>
      </w:r>
      <w:r w:rsidRPr="690285DB" w:rsidR="02161876">
        <w:rPr>
          <w:rFonts w:ascii="Times New Roman" w:hAnsi="Times New Roman" w:eastAsia="Times New Roman" w:cs="Times New Roman"/>
          <w:i w:val="1"/>
          <w:iCs w:val="1"/>
          <w:noProof w:val="0"/>
          <w:sz w:val="22"/>
          <w:szCs w:val="22"/>
          <w:lang w:val="en-GB"/>
        </w:rPr>
        <w:t>stare decisis</w:t>
      </w:r>
      <w:r w:rsidRPr="690285DB" w:rsidR="02161876">
        <w:rPr>
          <w:rFonts w:ascii="Times New Roman" w:hAnsi="Times New Roman" w:eastAsia="Times New Roman" w:cs="Times New Roman"/>
          <w:noProof w:val="0"/>
          <w:sz w:val="22"/>
          <w:szCs w:val="22"/>
          <w:lang w:val="en-GB"/>
        </w:rPr>
        <w:t xml:space="preserve"> which denotes the concept of standing or abiding by things that have been decided or concluded (</w:t>
      </w:r>
      <w:r w:rsidRPr="690285DB" w:rsidR="02161876">
        <w:rPr>
          <w:rFonts w:ascii="Times New Roman" w:hAnsi="Times New Roman" w:eastAsia="Times New Roman" w:cs="Times New Roman"/>
          <w:noProof w:val="0"/>
          <w:sz w:val="22"/>
          <w:szCs w:val="22"/>
          <w:lang w:val="en-GB"/>
        </w:rPr>
        <w:t>Waddams</w:t>
      </w:r>
      <w:r w:rsidRPr="690285DB" w:rsidR="02161876">
        <w:rPr>
          <w:rFonts w:ascii="Times New Roman" w:hAnsi="Times New Roman" w:eastAsia="Times New Roman" w:cs="Times New Roman"/>
          <w:noProof w:val="0"/>
          <w:sz w:val="22"/>
          <w:szCs w:val="22"/>
          <w:lang w:val="en-GB"/>
        </w:rPr>
        <w:t xml:space="preserve">, 2009). According to </w:t>
      </w:r>
      <w:r w:rsidRPr="690285DB" w:rsidR="02161876">
        <w:rPr>
          <w:rFonts w:ascii="Times New Roman" w:hAnsi="Times New Roman" w:eastAsia="Times New Roman" w:cs="Times New Roman"/>
          <w:noProof w:val="0"/>
          <w:sz w:val="22"/>
          <w:szCs w:val="22"/>
          <w:lang w:val="en-GB"/>
        </w:rPr>
        <w:t>Waddams</w:t>
      </w:r>
      <w:r w:rsidRPr="690285DB" w:rsidR="02161876">
        <w:rPr>
          <w:rFonts w:ascii="Times New Roman" w:hAnsi="Times New Roman" w:eastAsia="Times New Roman" w:cs="Times New Roman"/>
          <w:noProof w:val="0"/>
          <w:sz w:val="22"/>
          <w:szCs w:val="22"/>
          <w:lang w:val="en-GB"/>
        </w:rPr>
        <w:t xml:space="preserve"> (2009), the doctrine </w:t>
      </w:r>
      <w:r w:rsidRPr="690285DB" w:rsidR="02161876">
        <w:rPr>
          <w:rFonts w:ascii="Times New Roman" w:hAnsi="Times New Roman" w:eastAsia="Times New Roman" w:cs="Times New Roman"/>
          <w:noProof w:val="0"/>
          <w:sz w:val="22"/>
          <w:szCs w:val="22"/>
          <w:lang w:val="en-GB"/>
        </w:rPr>
        <w:t>obligates</w:t>
      </w:r>
      <w:r w:rsidRPr="690285DB" w:rsidR="02161876">
        <w:rPr>
          <w:rFonts w:ascii="Times New Roman" w:hAnsi="Times New Roman" w:eastAsia="Times New Roman" w:cs="Times New Roman"/>
          <w:noProof w:val="0"/>
          <w:sz w:val="22"/>
          <w:szCs w:val="22"/>
          <w:lang w:val="en-GB"/>
        </w:rPr>
        <w:t xml:space="preserve"> courts not to </w:t>
      </w:r>
      <w:r w:rsidRPr="690285DB" w:rsidR="02161876">
        <w:rPr>
          <w:rFonts w:ascii="Times New Roman" w:hAnsi="Times New Roman" w:eastAsia="Times New Roman" w:cs="Times New Roman"/>
          <w:noProof w:val="0"/>
          <w:sz w:val="22"/>
          <w:szCs w:val="22"/>
          <w:lang w:val="en-GB"/>
        </w:rPr>
        <w:t>depart</w:t>
      </w:r>
      <w:r w:rsidRPr="690285DB" w:rsidR="02161876">
        <w:rPr>
          <w:rFonts w:ascii="Times New Roman" w:hAnsi="Times New Roman" w:eastAsia="Times New Roman" w:cs="Times New Roman"/>
          <w:noProof w:val="0"/>
          <w:sz w:val="22"/>
          <w:szCs w:val="22"/>
          <w:lang w:val="en-GB"/>
        </w:rPr>
        <w:t xml:space="preserve"> from the </w:t>
      </w:r>
      <w:r w:rsidRPr="690285DB" w:rsidR="02161876">
        <w:rPr>
          <w:rFonts w:ascii="Times New Roman" w:hAnsi="Times New Roman" w:eastAsia="Times New Roman" w:cs="Times New Roman"/>
          <w:noProof w:val="0"/>
          <w:sz w:val="22"/>
          <w:szCs w:val="22"/>
          <w:lang w:val="en-GB"/>
        </w:rPr>
        <w:t>previous</w:t>
      </w:r>
      <w:r w:rsidRPr="690285DB" w:rsidR="02161876">
        <w:rPr>
          <w:rFonts w:ascii="Times New Roman" w:hAnsi="Times New Roman" w:eastAsia="Times New Roman" w:cs="Times New Roman"/>
          <w:noProof w:val="0"/>
          <w:sz w:val="22"/>
          <w:szCs w:val="22"/>
          <w:lang w:val="en-GB"/>
        </w:rPr>
        <w:t xml:space="preserve"> court case decisions in similar cases provided they emanated from higher courts. This setting ensures that </w:t>
      </w:r>
      <w:r w:rsidRPr="690285DB" w:rsidR="02161876">
        <w:rPr>
          <w:rFonts w:ascii="Times New Roman" w:hAnsi="Times New Roman" w:eastAsia="Times New Roman" w:cs="Times New Roman"/>
          <w:noProof w:val="0"/>
          <w:sz w:val="22"/>
          <w:szCs w:val="22"/>
          <w:lang w:val="en-GB"/>
        </w:rPr>
        <w:t>in the event of</w:t>
      </w:r>
      <w:r w:rsidRPr="690285DB" w:rsidR="02161876">
        <w:rPr>
          <w:rFonts w:ascii="Times New Roman" w:hAnsi="Times New Roman" w:eastAsia="Times New Roman" w:cs="Times New Roman"/>
          <w:noProof w:val="0"/>
          <w:sz w:val="22"/>
          <w:szCs w:val="22"/>
          <w:lang w:val="en-GB"/>
        </w:rPr>
        <w:t xml:space="preserve"> a future case before the court with a similar set of facts, the court is </w:t>
      </w:r>
      <w:r w:rsidRPr="690285DB" w:rsidR="02161876">
        <w:rPr>
          <w:rFonts w:ascii="Times New Roman" w:hAnsi="Times New Roman" w:eastAsia="Times New Roman" w:cs="Times New Roman"/>
          <w:noProof w:val="0"/>
          <w:sz w:val="22"/>
          <w:szCs w:val="22"/>
          <w:lang w:val="en-GB"/>
        </w:rPr>
        <w:t>obligated</w:t>
      </w:r>
      <w:r w:rsidRPr="690285DB" w:rsidR="02161876">
        <w:rPr>
          <w:rFonts w:ascii="Times New Roman" w:hAnsi="Times New Roman" w:eastAsia="Times New Roman" w:cs="Times New Roman"/>
          <w:noProof w:val="0"/>
          <w:sz w:val="22"/>
          <w:szCs w:val="22"/>
          <w:lang w:val="en-GB"/>
        </w:rPr>
        <w:t xml:space="preserve"> to rely on or </w:t>
      </w:r>
      <w:bookmarkStart w:name="_Int_HvRmtAvc" w:id="1958321403"/>
      <w:r w:rsidRPr="690285DB" w:rsidR="02161876">
        <w:rPr>
          <w:rFonts w:ascii="Times New Roman" w:hAnsi="Times New Roman" w:eastAsia="Times New Roman" w:cs="Times New Roman"/>
          <w:noProof w:val="0"/>
          <w:sz w:val="22"/>
          <w:szCs w:val="22"/>
          <w:lang w:val="en-GB"/>
        </w:rPr>
        <w:t>make reference</w:t>
      </w:r>
      <w:bookmarkEnd w:id="1958321403"/>
      <w:r w:rsidRPr="690285DB" w:rsidR="02161876">
        <w:rPr>
          <w:rFonts w:ascii="Times New Roman" w:hAnsi="Times New Roman" w:eastAsia="Times New Roman" w:cs="Times New Roman"/>
          <w:noProof w:val="0"/>
          <w:sz w:val="22"/>
          <w:szCs w:val="22"/>
          <w:lang w:val="en-GB"/>
        </w:rPr>
        <w:t xml:space="preserve"> to the previously decided cases from a higher court or a court of the same status </w:t>
      </w:r>
      <w:bookmarkStart w:name="_Int_IFXJVKrA" w:id="27879425"/>
      <w:r w:rsidRPr="690285DB" w:rsidR="02161876">
        <w:rPr>
          <w:rFonts w:ascii="Times New Roman" w:hAnsi="Times New Roman" w:eastAsia="Times New Roman" w:cs="Times New Roman"/>
          <w:noProof w:val="0"/>
          <w:sz w:val="22"/>
          <w:szCs w:val="22"/>
          <w:lang w:val="en-GB"/>
        </w:rPr>
        <w:t>in order to</w:t>
      </w:r>
      <w:bookmarkEnd w:id="27879425"/>
      <w:r w:rsidRPr="690285DB" w:rsidR="02161876">
        <w:rPr>
          <w:rFonts w:ascii="Times New Roman" w:hAnsi="Times New Roman" w:eastAsia="Times New Roman" w:cs="Times New Roman"/>
          <w:noProof w:val="0"/>
          <w:sz w:val="22"/>
          <w:szCs w:val="22"/>
          <w:lang w:val="en-GB"/>
        </w:rPr>
        <w:t xml:space="preserve"> </w:t>
      </w:r>
      <w:bookmarkStart w:name="_Int_3WDAlIb8" w:id="1719783251"/>
      <w:r w:rsidRPr="690285DB" w:rsidR="02161876">
        <w:rPr>
          <w:rFonts w:ascii="Times New Roman" w:hAnsi="Times New Roman" w:eastAsia="Times New Roman" w:cs="Times New Roman"/>
          <w:noProof w:val="0"/>
          <w:sz w:val="22"/>
          <w:szCs w:val="22"/>
          <w:lang w:val="en-GB"/>
        </w:rPr>
        <w:t>make a decision</w:t>
      </w:r>
      <w:bookmarkEnd w:id="1719783251"/>
      <w:r w:rsidRPr="690285DB" w:rsidR="02161876">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Waddams</w:t>
      </w:r>
      <w:r w:rsidRPr="690285DB" w:rsidR="02161876">
        <w:rPr>
          <w:rFonts w:ascii="Times New Roman" w:hAnsi="Times New Roman" w:eastAsia="Times New Roman" w:cs="Times New Roman"/>
          <w:noProof w:val="0"/>
          <w:sz w:val="22"/>
          <w:szCs w:val="22"/>
          <w:lang w:val="en-GB"/>
        </w:rPr>
        <w:t>, 2009).</w:t>
      </w:r>
    </w:p>
    <w:p xmlns:wp14="http://schemas.microsoft.com/office/word/2010/wordml" w:rsidP="690285DB" w14:paraId="7F8CEA0E" wp14:textId="433B29B7">
      <w:pPr>
        <w:jc w:val="both"/>
      </w:pPr>
      <w:r w:rsidRPr="690285DB" w:rsidR="02161876">
        <w:rPr>
          <w:rFonts w:ascii="Times New Roman" w:hAnsi="Times New Roman" w:eastAsia="Times New Roman" w:cs="Times New Roman"/>
          <w:noProof w:val="0"/>
          <w:sz w:val="22"/>
          <w:szCs w:val="22"/>
          <w:lang w:val="en-GB"/>
        </w:rPr>
        <w:t xml:space="preserve">The importance of </w:t>
      </w:r>
      <w:r w:rsidRPr="690285DB" w:rsidR="02161876">
        <w:rPr>
          <w:rFonts w:ascii="Times New Roman" w:hAnsi="Times New Roman" w:eastAsia="Times New Roman" w:cs="Times New Roman"/>
          <w:i w:val="1"/>
          <w:iCs w:val="1"/>
          <w:noProof w:val="0"/>
          <w:sz w:val="22"/>
          <w:szCs w:val="22"/>
          <w:lang w:val="en-GB"/>
        </w:rPr>
        <w:t>stare decisis</w:t>
      </w:r>
      <w:r w:rsidRPr="690285DB" w:rsidR="02161876">
        <w:rPr>
          <w:rFonts w:ascii="Times New Roman" w:hAnsi="Times New Roman" w:eastAsia="Times New Roman" w:cs="Times New Roman"/>
          <w:noProof w:val="0"/>
          <w:sz w:val="22"/>
          <w:szCs w:val="22"/>
          <w:lang w:val="en-GB"/>
        </w:rPr>
        <w:t xml:space="preserve">, according to </w:t>
      </w:r>
      <w:r w:rsidRPr="690285DB" w:rsidR="02161876">
        <w:rPr>
          <w:rFonts w:ascii="Times New Roman" w:hAnsi="Times New Roman" w:eastAsia="Times New Roman" w:cs="Times New Roman"/>
          <w:noProof w:val="0"/>
          <w:sz w:val="22"/>
          <w:szCs w:val="22"/>
          <w:lang w:val="en-GB"/>
        </w:rPr>
        <w:t>Waddams</w:t>
      </w:r>
      <w:r w:rsidRPr="690285DB" w:rsidR="02161876">
        <w:rPr>
          <w:rFonts w:ascii="Times New Roman" w:hAnsi="Times New Roman" w:eastAsia="Times New Roman" w:cs="Times New Roman"/>
          <w:noProof w:val="0"/>
          <w:sz w:val="22"/>
          <w:szCs w:val="22"/>
          <w:lang w:val="en-GB"/>
        </w:rPr>
        <w:t xml:space="preserve"> (2009), is to enable the outcomes and processes of the law and interpretation of the law to be predictable, certain, and consistent. In this way, </w:t>
      </w:r>
      <w:r w:rsidRPr="690285DB" w:rsidR="02161876">
        <w:rPr>
          <w:rFonts w:ascii="Times New Roman" w:hAnsi="Times New Roman" w:eastAsia="Times New Roman" w:cs="Times New Roman"/>
          <w:i w:val="1"/>
          <w:iCs w:val="1"/>
          <w:noProof w:val="0"/>
          <w:sz w:val="22"/>
          <w:szCs w:val="22"/>
          <w:lang w:val="en-GB"/>
        </w:rPr>
        <w:t>stare decisis</w:t>
      </w:r>
      <w:r w:rsidRPr="690285DB" w:rsidR="02161876">
        <w:rPr>
          <w:rFonts w:ascii="Times New Roman" w:hAnsi="Times New Roman" w:eastAsia="Times New Roman" w:cs="Times New Roman"/>
          <w:noProof w:val="0"/>
          <w:sz w:val="22"/>
          <w:szCs w:val="22"/>
          <w:lang w:val="en-GB"/>
        </w:rPr>
        <w:t xml:space="preserve"> makes it easier for individuals and groups to rely on the law as the governing tool of conduct. In the same breath, </w:t>
      </w:r>
      <w:r w:rsidRPr="690285DB" w:rsidR="02161876">
        <w:rPr>
          <w:rFonts w:ascii="Times New Roman" w:hAnsi="Times New Roman" w:eastAsia="Times New Roman" w:cs="Times New Roman"/>
          <w:i w:val="1"/>
          <w:iCs w:val="1"/>
          <w:noProof w:val="0"/>
          <w:sz w:val="22"/>
          <w:szCs w:val="22"/>
          <w:lang w:val="en-GB"/>
        </w:rPr>
        <w:t>stare decisis</w:t>
      </w:r>
      <w:r w:rsidRPr="690285DB" w:rsidR="02161876">
        <w:rPr>
          <w:rFonts w:ascii="Times New Roman" w:hAnsi="Times New Roman" w:eastAsia="Times New Roman" w:cs="Times New Roman"/>
          <w:noProof w:val="0"/>
          <w:sz w:val="22"/>
          <w:szCs w:val="22"/>
          <w:lang w:val="en-GB"/>
        </w:rPr>
        <w:t xml:space="preserve"> is not only a safeguard but also a layer of protection </w:t>
      </w:r>
      <w:bookmarkStart w:name="_Int_9dFMuiQV" w:id="571883164"/>
      <w:r w:rsidRPr="690285DB" w:rsidR="02161876">
        <w:rPr>
          <w:rFonts w:ascii="Times New Roman" w:hAnsi="Times New Roman" w:eastAsia="Times New Roman" w:cs="Times New Roman"/>
          <w:noProof w:val="0"/>
          <w:sz w:val="22"/>
          <w:szCs w:val="22"/>
          <w:lang w:val="en-GB"/>
        </w:rPr>
        <w:t>on the basis of</w:t>
      </w:r>
      <w:bookmarkEnd w:id="571883164"/>
      <w:r w:rsidRPr="690285DB" w:rsidR="02161876">
        <w:rPr>
          <w:rFonts w:ascii="Times New Roman" w:hAnsi="Times New Roman" w:eastAsia="Times New Roman" w:cs="Times New Roman"/>
          <w:noProof w:val="0"/>
          <w:sz w:val="22"/>
          <w:szCs w:val="22"/>
          <w:lang w:val="en-GB"/>
        </w:rPr>
        <w:t xml:space="preserve"> encouraging equality and fairness when it comes to future cases of a similar set of facts by imposing the need to decide them in the same manner (George, 2012). Consequently, </w:t>
      </w:r>
      <w:r w:rsidRPr="690285DB" w:rsidR="02161876">
        <w:rPr>
          <w:rFonts w:ascii="Times New Roman" w:hAnsi="Times New Roman" w:eastAsia="Times New Roman" w:cs="Times New Roman"/>
          <w:i w:val="1"/>
          <w:iCs w:val="1"/>
          <w:noProof w:val="0"/>
          <w:sz w:val="22"/>
          <w:szCs w:val="22"/>
          <w:lang w:val="en-GB"/>
        </w:rPr>
        <w:t>stare decisis</w:t>
      </w:r>
      <w:r w:rsidRPr="690285DB" w:rsidR="02161876">
        <w:rPr>
          <w:rFonts w:ascii="Times New Roman" w:hAnsi="Times New Roman" w:eastAsia="Times New Roman" w:cs="Times New Roman"/>
          <w:noProof w:val="0"/>
          <w:sz w:val="22"/>
          <w:szCs w:val="22"/>
          <w:lang w:val="en-GB"/>
        </w:rPr>
        <w:t xml:space="preserve"> results in the furtherance of legal continuity and since the time taken to develop the legal principles aligns with a gradual process as opposed to the conventional spontaneous shifts (George, 2012). </w:t>
      </w:r>
      <w:r w:rsidRPr="690285DB" w:rsidR="02161876">
        <w:rPr>
          <w:rFonts w:ascii="Times New Roman" w:hAnsi="Times New Roman" w:eastAsia="Times New Roman" w:cs="Times New Roman"/>
          <w:noProof w:val="0"/>
          <w:sz w:val="22"/>
          <w:szCs w:val="22"/>
          <w:lang w:val="en-GB"/>
        </w:rPr>
        <w:t>Whereas this doctrine is legally sensible, it is not absolute.</w:t>
      </w:r>
      <w:r w:rsidRPr="690285DB" w:rsidR="02161876">
        <w:rPr>
          <w:rFonts w:ascii="Times New Roman" w:hAnsi="Times New Roman" w:eastAsia="Times New Roman" w:cs="Times New Roman"/>
          <w:noProof w:val="0"/>
          <w:sz w:val="22"/>
          <w:szCs w:val="22"/>
          <w:lang w:val="en-GB"/>
        </w:rPr>
        <w:t xml:space="preserve"> Precedents can be abolished in two ways. Firstly, a higher court may overturn the decision of a lower while a court may overturn its own decision on account of an incorrect decision or change of circumstances.</w:t>
      </w:r>
    </w:p>
    <w:p xmlns:wp14="http://schemas.microsoft.com/office/word/2010/wordml" w:rsidP="690285DB" w14:paraId="340630ED" wp14:textId="0CABD2E7">
      <w:pPr>
        <w:jc w:val="both"/>
      </w:pPr>
      <w:r w:rsidRPr="690285DB" w:rsidR="02161876">
        <w:rPr>
          <w:rFonts w:ascii="Times New Roman" w:hAnsi="Times New Roman" w:eastAsia="Times New Roman" w:cs="Times New Roman"/>
          <w:noProof w:val="0"/>
          <w:sz w:val="22"/>
          <w:szCs w:val="22"/>
          <w:lang w:val="en-GB"/>
        </w:rPr>
        <w:t xml:space="preserve">Carby-Hall (2002) suggests that not all comments or opinions of judges from the binding principles apply to future cases </w:t>
      </w:r>
      <w:r w:rsidRPr="690285DB" w:rsidR="02161876">
        <w:rPr>
          <w:rFonts w:ascii="Times New Roman" w:hAnsi="Times New Roman" w:eastAsia="Times New Roman" w:cs="Times New Roman"/>
          <w:noProof w:val="0"/>
          <w:sz w:val="22"/>
          <w:szCs w:val="22"/>
          <w:lang w:val="en-GB"/>
        </w:rPr>
        <w:t>exhibiting</w:t>
      </w:r>
      <w:r w:rsidRPr="690285DB" w:rsidR="02161876">
        <w:rPr>
          <w:rFonts w:ascii="Times New Roman" w:hAnsi="Times New Roman" w:eastAsia="Times New Roman" w:cs="Times New Roman"/>
          <w:noProof w:val="0"/>
          <w:sz w:val="22"/>
          <w:szCs w:val="22"/>
          <w:lang w:val="en-GB"/>
        </w:rPr>
        <w:t xml:space="preserve"> a similar set of facts. In this regard, only the </w:t>
      </w:r>
      <w:r w:rsidRPr="690285DB" w:rsidR="02161876">
        <w:rPr>
          <w:rFonts w:ascii="Times New Roman" w:hAnsi="Times New Roman" w:eastAsia="Times New Roman" w:cs="Times New Roman"/>
          <w:i w:val="1"/>
          <w:iCs w:val="1"/>
          <w:noProof w:val="0"/>
          <w:sz w:val="22"/>
          <w:szCs w:val="22"/>
          <w:lang w:val="en-GB"/>
        </w:rPr>
        <w:t>ratio decidendi</w:t>
      </w:r>
      <w:r w:rsidRPr="690285DB" w:rsidR="02161876">
        <w:rPr>
          <w:rFonts w:ascii="Times New Roman" w:hAnsi="Times New Roman" w:eastAsia="Times New Roman" w:cs="Times New Roman"/>
          <w:noProof w:val="0"/>
          <w:sz w:val="22"/>
          <w:szCs w:val="22"/>
          <w:lang w:val="en-GB"/>
        </w:rPr>
        <w:t xml:space="preserve"> is the fundamental part of a case that sets out a precedent. </w:t>
      </w:r>
      <w:r w:rsidRPr="690285DB" w:rsidR="02161876">
        <w:rPr>
          <w:rFonts w:ascii="Times New Roman" w:hAnsi="Times New Roman" w:eastAsia="Times New Roman" w:cs="Times New Roman"/>
          <w:i w:val="1"/>
          <w:iCs w:val="1"/>
          <w:noProof w:val="0"/>
          <w:sz w:val="22"/>
          <w:szCs w:val="22"/>
          <w:lang w:val="en-GB"/>
        </w:rPr>
        <w:t>Ratio decidendi</w:t>
      </w:r>
      <w:r w:rsidRPr="690285DB" w:rsidR="02161876">
        <w:rPr>
          <w:rFonts w:ascii="Times New Roman" w:hAnsi="Times New Roman" w:eastAsia="Times New Roman" w:cs="Times New Roman"/>
          <w:noProof w:val="0"/>
          <w:sz w:val="22"/>
          <w:szCs w:val="22"/>
          <w:lang w:val="en-GB"/>
        </w:rPr>
        <w:t xml:space="preserve"> denotes the legal principle or rationale that informs the decision of a court in the case before it (Carby-Hall, 2002). </w:t>
      </w:r>
      <w:bookmarkStart w:name="_Int_DuPeOivE" w:id="95152388"/>
      <w:r w:rsidRPr="690285DB" w:rsidR="02161876">
        <w:rPr>
          <w:rFonts w:ascii="Times New Roman" w:hAnsi="Times New Roman" w:eastAsia="Times New Roman" w:cs="Times New Roman"/>
          <w:noProof w:val="0"/>
          <w:sz w:val="22"/>
          <w:szCs w:val="22"/>
          <w:lang w:val="en-GB"/>
        </w:rPr>
        <w:t>Broiles (1996),</w:t>
      </w:r>
      <w:bookmarkEnd w:id="95152388"/>
      <w:r w:rsidRPr="690285DB" w:rsidR="02161876">
        <w:rPr>
          <w:rFonts w:ascii="Times New Roman" w:hAnsi="Times New Roman" w:eastAsia="Times New Roman" w:cs="Times New Roman"/>
          <w:noProof w:val="0"/>
          <w:sz w:val="22"/>
          <w:szCs w:val="22"/>
          <w:lang w:val="en-GB"/>
        </w:rPr>
        <w:t xml:space="preserve"> confirms that </w:t>
      </w:r>
      <w:r w:rsidRPr="690285DB" w:rsidR="02161876">
        <w:rPr>
          <w:rFonts w:ascii="Times New Roman" w:hAnsi="Times New Roman" w:eastAsia="Times New Roman" w:cs="Times New Roman"/>
          <w:i w:val="1"/>
          <w:iCs w:val="1"/>
          <w:noProof w:val="0"/>
          <w:sz w:val="22"/>
          <w:szCs w:val="22"/>
          <w:lang w:val="en-GB"/>
        </w:rPr>
        <w:t>ratio decidendi</w:t>
      </w:r>
      <w:r w:rsidRPr="690285DB" w:rsidR="02161876">
        <w:rPr>
          <w:rFonts w:ascii="Times New Roman" w:hAnsi="Times New Roman" w:eastAsia="Times New Roman" w:cs="Times New Roman"/>
          <w:noProof w:val="0"/>
          <w:sz w:val="22"/>
          <w:szCs w:val="22"/>
          <w:lang w:val="en-GB"/>
        </w:rPr>
        <w:t xml:space="preserve"> is the </w:t>
      </w:r>
      <w:r w:rsidRPr="690285DB" w:rsidR="02161876">
        <w:rPr>
          <w:rFonts w:ascii="Times New Roman" w:hAnsi="Times New Roman" w:eastAsia="Times New Roman" w:cs="Times New Roman"/>
          <w:noProof w:val="0"/>
          <w:sz w:val="22"/>
          <w:szCs w:val="22"/>
          <w:lang w:val="en-GB"/>
        </w:rPr>
        <w:t>portion</w:t>
      </w:r>
      <w:r w:rsidRPr="690285DB" w:rsidR="02161876">
        <w:rPr>
          <w:rFonts w:ascii="Times New Roman" w:hAnsi="Times New Roman" w:eastAsia="Times New Roman" w:cs="Times New Roman"/>
          <w:noProof w:val="0"/>
          <w:sz w:val="22"/>
          <w:szCs w:val="22"/>
          <w:lang w:val="en-GB"/>
        </w:rPr>
        <w:t xml:space="preserve"> of the decision of the court that is pivotal to its outcome and forms the legal principle applied by the court </w:t>
      </w:r>
      <w:bookmarkStart w:name="_Int_JR01Vv0c" w:id="1393393449"/>
      <w:r w:rsidRPr="690285DB" w:rsidR="02161876">
        <w:rPr>
          <w:rFonts w:ascii="Times New Roman" w:hAnsi="Times New Roman" w:eastAsia="Times New Roman" w:cs="Times New Roman"/>
          <w:noProof w:val="0"/>
          <w:sz w:val="22"/>
          <w:szCs w:val="22"/>
          <w:lang w:val="en-GB"/>
        </w:rPr>
        <w:t>in order to</w:t>
      </w:r>
      <w:bookmarkEnd w:id="1393393449"/>
      <w:r w:rsidRPr="690285DB" w:rsidR="02161876">
        <w:rPr>
          <w:rFonts w:ascii="Times New Roman" w:hAnsi="Times New Roman" w:eastAsia="Times New Roman" w:cs="Times New Roman"/>
          <w:noProof w:val="0"/>
          <w:sz w:val="22"/>
          <w:szCs w:val="22"/>
          <w:lang w:val="en-GB"/>
        </w:rPr>
        <w:t xml:space="preserve"> arrive at a decision from a particular set of facts. Thus, the </w:t>
      </w:r>
      <w:r w:rsidRPr="690285DB" w:rsidR="02161876">
        <w:rPr>
          <w:rFonts w:ascii="Times New Roman" w:hAnsi="Times New Roman" w:eastAsia="Times New Roman" w:cs="Times New Roman"/>
          <w:i w:val="1"/>
          <w:iCs w:val="1"/>
          <w:noProof w:val="0"/>
          <w:sz w:val="22"/>
          <w:szCs w:val="22"/>
          <w:lang w:val="en-GB"/>
        </w:rPr>
        <w:t>ratio decidendi</w:t>
      </w:r>
      <w:r w:rsidRPr="690285DB" w:rsidR="02161876">
        <w:rPr>
          <w:rFonts w:ascii="Times New Roman" w:hAnsi="Times New Roman" w:eastAsia="Times New Roman" w:cs="Times New Roman"/>
          <w:noProof w:val="0"/>
          <w:sz w:val="22"/>
          <w:szCs w:val="22"/>
          <w:lang w:val="en-GB"/>
        </w:rPr>
        <w:t xml:space="preserve"> is included in the written opinion of the judge (Broiles, 1996). The </w:t>
      </w:r>
      <w:r w:rsidRPr="690285DB" w:rsidR="02161876">
        <w:rPr>
          <w:rFonts w:ascii="Times New Roman" w:hAnsi="Times New Roman" w:eastAsia="Times New Roman" w:cs="Times New Roman"/>
          <w:i w:val="1"/>
          <w:iCs w:val="1"/>
          <w:noProof w:val="0"/>
          <w:sz w:val="22"/>
          <w:szCs w:val="22"/>
          <w:lang w:val="en-GB"/>
        </w:rPr>
        <w:t>ratio decidendi</w:t>
      </w:r>
      <w:r w:rsidRPr="690285DB" w:rsidR="02161876">
        <w:rPr>
          <w:rFonts w:ascii="Times New Roman" w:hAnsi="Times New Roman" w:eastAsia="Times New Roman" w:cs="Times New Roman"/>
          <w:noProof w:val="0"/>
          <w:sz w:val="22"/>
          <w:szCs w:val="22"/>
          <w:lang w:val="en-GB"/>
        </w:rPr>
        <w:t xml:space="preserve"> of a case is core to common law since it is the core of the legal principle to be applied to future cases </w:t>
      </w:r>
      <w:bookmarkStart w:name="_Int_9x4GK4sV" w:id="346620599"/>
      <w:r w:rsidRPr="690285DB" w:rsidR="02161876">
        <w:rPr>
          <w:rFonts w:ascii="Times New Roman" w:hAnsi="Times New Roman" w:eastAsia="Times New Roman" w:cs="Times New Roman"/>
          <w:noProof w:val="0"/>
          <w:sz w:val="22"/>
          <w:szCs w:val="22"/>
          <w:lang w:val="en-GB"/>
        </w:rPr>
        <w:t>on the basis of</w:t>
      </w:r>
      <w:bookmarkEnd w:id="346620599"/>
      <w:r w:rsidRPr="690285DB" w:rsidR="02161876">
        <w:rPr>
          <w:rFonts w:ascii="Times New Roman" w:hAnsi="Times New Roman" w:eastAsia="Times New Roman" w:cs="Times New Roman"/>
          <w:noProof w:val="0"/>
          <w:sz w:val="22"/>
          <w:szCs w:val="22"/>
          <w:lang w:val="en-GB"/>
        </w:rPr>
        <w:t xml:space="preserve"> a similar set of facts. It is the </w:t>
      </w:r>
      <w:r w:rsidRPr="690285DB" w:rsidR="02161876">
        <w:rPr>
          <w:rFonts w:ascii="Times New Roman" w:hAnsi="Times New Roman" w:eastAsia="Times New Roman" w:cs="Times New Roman"/>
          <w:i w:val="1"/>
          <w:iCs w:val="1"/>
          <w:noProof w:val="0"/>
          <w:sz w:val="22"/>
          <w:szCs w:val="22"/>
          <w:lang w:val="en-GB"/>
        </w:rPr>
        <w:t>ratio decidendi</w:t>
      </w:r>
      <w:r w:rsidRPr="690285DB" w:rsidR="02161876">
        <w:rPr>
          <w:rFonts w:ascii="Times New Roman" w:hAnsi="Times New Roman" w:eastAsia="Times New Roman" w:cs="Times New Roman"/>
          <w:noProof w:val="0"/>
          <w:sz w:val="22"/>
          <w:szCs w:val="22"/>
          <w:lang w:val="en-GB"/>
        </w:rPr>
        <w:t xml:space="preserve"> that produces the much-needed predictability and consistency when applying the law.</w:t>
      </w:r>
    </w:p>
    <w:p xmlns:wp14="http://schemas.microsoft.com/office/word/2010/wordml" w:rsidP="690285DB" w14:paraId="57B83619" wp14:textId="351AB557">
      <w:pPr>
        <w:jc w:val="both"/>
      </w:pPr>
      <w:r w:rsidRPr="690285DB" w:rsidR="02161876">
        <w:rPr>
          <w:rFonts w:ascii="Times New Roman" w:hAnsi="Times New Roman" w:eastAsia="Times New Roman" w:cs="Times New Roman"/>
          <w:noProof w:val="0"/>
          <w:sz w:val="22"/>
          <w:szCs w:val="22"/>
          <w:lang w:val="en-GB"/>
        </w:rPr>
        <w:t xml:space="preserve">Practically, the common law is effective in </w:t>
      </w:r>
      <w:bookmarkStart w:name="_Int_N1WYNtvw" w:id="1761286776"/>
      <w:r w:rsidRPr="690285DB" w:rsidR="2F0B609D">
        <w:rPr>
          <w:rFonts w:ascii="Times New Roman" w:hAnsi="Times New Roman" w:eastAsia="Times New Roman" w:cs="Times New Roman"/>
          <w:noProof w:val="0"/>
          <w:sz w:val="22"/>
          <w:szCs w:val="22"/>
          <w:lang w:val="en-GB"/>
        </w:rPr>
        <w:t>a number of</w:t>
      </w:r>
      <w:bookmarkEnd w:id="1761286776"/>
      <w:r w:rsidRPr="690285DB" w:rsidR="2F0B609D">
        <w:rPr>
          <w:rFonts w:ascii="Times New Roman" w:hAnsi="Times New Roman" w:eastAsia="Times New Roman" w:cs="Times New Roman"/>
          <w:noProof w:val="0"/>
          <w:sz w:val="22"/>
          <w:szCs w:val="22"/>
          <w:lang w:val="en-GB"/>
        </w:rPr>
        <w:t xml:space="preserve"> spheres </w:t>
      </w:r>
      <w:r w:rsidRPr="690285DB" w:rsidR="02161876">
        <w:rPr>
          <w:rFonts w:ascii="Times New Roman" w:hAnsi="Times New Roman" w:eastAsia="Times New Roman" w:cs="Times New Roman"/>
          <w:noProof w:val="0"/>
          <w:sz w:val="22"/>
          <w:szCs w:val="22"/>
          <w:lang w:val="en-GB"/>
        </w:rPr>
        <w:t xml:space="preserve">of law. For example, the law of torts is an umbrella body of law that includes civil injuries or wrongs to a person on account of the action of another person (Robbennolt and Hans, 2016). To this end, it </w:t>
      </w:r>
      <w:r w:rsidRPr="690285DB" w:rsidR="02161876">
        <w:rPr>
          <w:rFonts w:ascii="Times New Roman" w:hAnsi="Times New Roman" w:eastAsia="Times New Roman" w:cs="Times New Roman"/>
          <w:noProof w:val="0"/>
          <w:sz w:val="22"/>
          <w:szCs w:val="22"/>
          <w:lang w:val="en-GB"/>
        </w:rPr>
        <w:t>c</w:t>
      </w:r>
      <w:r w:rsidRPr="690285DB" w:rsidR="02161876">
        <w:rPr>
          <w:rFonts w:ascii="Times New Roman" w:hAnsi="Times New Roman" w:eastAsia="Times New Roman" w:cs="Times New Roman"/>
          <w:noProof w:val="0"/>
          <w:sz w:val="22"/>
          <w:szCs w:val="22"/>
          <w:lang w:val="en-GB"/>
        </w:rPr>
        <w:t>omprises</w:t>
      </w:r>
      <w:r w:rsidRPr="690285DB" w:rsidR="02161876">
        <w:rPr>
          <w:rFonts w:ascii="Times New Roman" w:hAnsi="Times New Roman" w:eastAsia="Times New Roman" w:cs="Times New Roman"/>
          <w:noProof w:val="0"/>
          <w:sz w:val="22"/>
          <w:szCs w:val="22"/>
          <w:lang w:val="en-GB"/>
        </w:rPr>
        <w:t xml:space="preserve"> </w:t>
      </w:r>
      <w:bookmarkStart w:name="_Int_Zn1OEaI2" w:id="1884670536"/>
      <w:r w:rsidRPr="690285DB" w:rsidR="02161876">
        <w:rPr>
          <w:rFonts w:ascii="Times New Roman" w:hAnsi="Times New Roman" w:eastAsia="Times New Roman" w:cs="Times New Roman"/>
          <w:noProof w:val="0"/>
          <w:sz w:val="22"/>
          <w:szCs w:val="22"/>
          <w:lang w:val="en-GB"/>
        </w:rPr>
        <w:t>a</w:t>
      </w:r>
      <w:r w:rsidRPr="690285DB" w:rsidR="02161876">
        <w:rPr>
          <w:rFonts w:ascii="Times New Roman" w:hAnsi="Times New Roman" w:eastAsia="Times New Roman" w:cs="Times New Roman"/>
          <w:noProof w:val="0"/>
          <w:sz w:val="22"/>
          <w:szCs w:val="22"/>
          <w:lang w:val="en-GB"/>
        </w:rPr>
        <w:t xml:space="preserve"> number of</w:t>
      </w:r>
      <w:bookmarkEnd w:id="1884670536"/>
      <w:r w:rsidRPr="690285DB" w:rsidR="02161876">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 xml:space="preserve">concepts in </w:t>
      </w:r>
      <w:r w:rsidRPr="690285DB" w:rsidR="02161876">
        <w:rPr>
          <w:rFonts w:ascii="Times New Roman" w:hAnsi="Times New Roman" w:eastAsia="Times New Roman" w:cs="Times New Roman"/>
          <w:noProof w:val="0"/>
          <w:sz w:val="22"/>
          <w:szCs w:val="22"/>
          <w:lang w:val="en-GB"/>
        </w:rPr>
        <w:t xml:space="preserve">including intentional torts, defamation, and negligence. Robbennolt and Hans (2016) </w:t>
      </w:r>
      <w:r w:rsidRPr="690285DB" w:rsidR="02161876">
        <w:rPr>
          <w:rFonts w:ascii="Times New Roman" w:hAnsi="Times New Roman" w:eastAsia="Times New Roman" w:cs="Times New Roman"/>
          <w:noProof w:val="0"/>
          <w:sz w:val="22"/>
          <w:szCs w:val="22"/>
          <w:lang w:val="en-GB"/>
        </w:rPr>
        <w:t>m</w:t>
      </w:r>
      <w:r w:rsidRPr="690285DB" w:rsidR="02161876">
        <w:rPr>
          <w:rFonts w:ascii="Times New Roman" w:hAnsi="Times New Roman" w:eastAsia="Times New Roman" w:cs="Times New Roman"/>
          <w:noProof w:val="0"/>
          <w:sz w:val="22"/>
          <w:szCs w:val="22"/>
          <w:lang w:val="en-GB"/>
        </w:rPr>
        <w:t>aintain</w:t>
      </w:r>
      <w:r w:rsidRPr="690285DB" w:rsidR="02161876">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 xml:space="preserve">that it is advisable to </w:t>
      </w:r>
      <w:r w:rsidRPr="690285DB" w:rsidR="02161876">
        <w:rPr>
          <w:rFonts w:ascii="Times New Roman" w:hAnsi="Times New Roman" w:eastAsia="Times New Roman" w:cs="Times New Roman"/>
          <w:noProof w:val="0"/>
          <w:sz w:val="22"/>
          <w:szCs w:val="22"/>
          <w:lang w:val="en-GB"/>
        </w:rPr>
        <w:t>e</w:t>
      </w:r>
      <w:r w:rsidRPr="690285DB" w:rsidR="02161876">
        <w:rPr>
          <w:rFonts w:ascii="Times New Roman" w:hAnsi="Times New Roman" w:eastAsia="Times New Roman" w:cs="Times New Roman"/>
          <w:noProof w:val="0"/>
          <w:sz w:val="22"/>
          <w:szCs w:val="22"/>
          <w:lang w:val="en-GB"/>
        </w:rPr>
        <w:t>stablish</w:t>
      </w:r>
      <w:r w:rsidRPr="690285DB" w:rsidR="02161876">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 xml:space="preserve">liability for civil wrongs prior to imposing liability for such wrongful conduct which results in the injury of another. For example, common law principles are employed </w:t>
      </w:r>
      <w:bookmarkStart w:name="_Int_jDl7I8vC" w:id="609906977"/>
      <w:r w:rsidRPr="690285DB" w:rsidR="02161876">
        <w:rPr>
          <w:rFonts w:ascii="Times New Roman" w:hAnsi="Times New Roman" w:eastAsia="Times New Roman" w:cs="Times New Roman"/>
          <w:noProof w:val="0"/>
          <w:sz w:val="22"/>
          <w:szCs w:val="22"/>
          <w:lang w:val="en-GB"/>
        </w:rPr>
        <w:t>i</w:t>
      </w:r>
      <w:r w:rsidRPr="690285DB" w:rsidR="02161876">
        <w:rPr>
          <w:rFonts w:ascii="Times New Roman" w:hAnsi="Times New Roman" w:eastAsia="Times New Roman" w:cs="Times New Roman"/>
          <w:noProof w:val="0"/>
          <w:sz w:val="22"/>
          <w:szCs w:val="22"/>
          <w:lang w:val="en-GB"/>
        </w:rPr>
        <w:t>n order to</w:t>
      </w:r>
      <w:bookmarkEnd w:id="609906977"/>
      <w:r w:rsidRPr="690285DB" w:rsidR="02161876">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a</w:t>
      </w:r>
      <w:r w:rsidRPr="690285DB" w:rsidR="02161876">
        <w:rPr>
          <w:rFonts w:ascii="Times New Roman" w:hAnsi="Times New Roman" w:eastAsia="Times New Roman" w:cs="Times New Roman"/>
          <w:noProof w:val="0"/>
          <w:sz w:val="22"/>
          <w:szCs w:val="22"/>
          <w:lang w:val="en-GB"/>
        </w:rPr>
        <w:t>scertain</w:t>
      </w:r>
      <w:r w:rsidRPr="690285DB" w:rsidR="02161876">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the liability of the defendant for negligence claims. To do so, the courts are guided by the triune criteria set out in Caparo v Dickman (1990). The guidelines of foreseeability of harm, the existence of proximity, causation, and verification as to whether the imposition of liability is reasonable, just, and fair are common law principles that apply to all cases involving negligence claims (Robbennolt and Hans, 2016).</w:t>
      </w:r>
    </w:p>
    <w:p xmlns:wp14="http://schemas.microsoft.com/office/word/2010/wordml" w:rsidP="690285DB" w14:paraId="63B2381A" wp14:textId="106027E7">
      <w:pPr>
        <w:pStyle w:val="Normal"/>
        <w:jc w:val="both"/>
        <w:rPr>
          <w:rFonts w:ascii="Times New Roman" w:hAnsi="Times New Roman" w:eastAsia="Times New Roman" w:cs="Times New Roman"/>
          <w:noProof w:val="0"/>
          <w:sz w:val="22"/>
          <w:szCs w:val="22"/>
          <w:lang w:val="en-GB"/>
        </w:rPr>
      </w:pPr>
      <w:r>
        <w:br/>
      </w:r>
    </w:p>
    <w:p xmlns:wp14="http://schemas.microsoft.com/office/word/2010/wordml" w:rsidP="690285DB" w14:paraId="1B2F98E2" wp14:textId="323621C9">
      <w:pPr>
        <w:pStyle w:val="Normal"/>
        <w:jc w:val="both"/>
        <w:rPr>
          <w:rFonts w:ascii="Times New Roman" w:hAnsi="Times New Roman" w:eastAsia="Times New Roman" w:cs="Times New Roman"/>
          <w:noProof w:val="0"/>
          <w:sz w:val="22"/>
          <w:szCs w:val="22"/>
          <w:lang w:val="en-GB"/>
        </w:rPr>
      </w:pPr>
      <w:r>
        <w:br/>
      </w:r>
    </w:p>
    <w:p xmlns:wp14="http://schemas.microsoft.com/office/word/2010/wordml" w:rsidP="690285DB" w14:paraId="7E40637E" wp14:textId="316DA207">
      <w:pPr>
        <w:pStyle w:val="Normal"/>
        <w:jc w:val="both"/>
      </w:pPr>
      <w:r w:rsidRPr="690285DB" w:rsidR="2B08FF77">
        <w:rPr>
          <w:rFonts w:ascii="Times New Roman" w:hAnsi="Times New Roman" w:eastAsia="Times New Roman" w:cs="Times New Roman"/>
          <w:noProof w:val="0"/>
          <w:sz w:val="22"/>
          <w:szCs w:val="22"/>
          <w:lang w:val="en-GB"/>
        </w:rPr>
        <w:t>To conclude this es</w:t>
      </w:r>
      <w:r w:rsidRPr="690285DB" w:rsidR="63474E44">
        <w:rPr>
          <w:rFonts w:ascii="Times New Roman" w:hAnsi="Times New Roman" w:eastAsia="Times New Roman" w:cs="Times New Roman"/>
          <w:noProof w:val="0"/>
          <w:sz w:val="22"/>
          <w:szCs w:val="22"/>
          <w:lang w:val="en-GB"/>
        </w:rPr>
        <w:t>sa</w:t>
      </w:r>
      <w:r w:rsidRPr="690285DB" w:rsidR="2B08FF77">
        <w:rPr>
          <w:rFonts w:ascii="Times New Roman" w:hAnsi="Times New Roman" w:eastAsia="Times New Roman" w:cs="Times New Roman"/>
          <w:noProof w:val="0"/>
          <w:sz w:val="22"/>
          <w:szCs w:val="22"/>
          <w:lang w:val="en-GB"/>
        </w:rPr>
        <w:t xml:space="preserve">y, </w:t>
      </w:r>
      <w:r w:rsidRPr="690285DB" w:rsidR="467AED95">
        <w:rPr>
          <w:rFonts w:ascii="Times New Roman" w:hAnsi="Times New Roman" w:eastAsia="Times New Roman" w:cs="Times New Roman"/>
          <w:noProof w:val="0"/>
          <w:sz w:val="22"/>
          <w:szCs w:val="22"/>
          <w:lang w:val="en-GB"/>
        </w:rPr>
        <w:t>t</w:t>
      </w:r>
      <w:r w:rsidRPr="690285DB" w:rsidR="02161876">
        <w:rPr>
          <w:rFonts w:ascii="Times New Roman" w:hAnsi="Times New Roman" w:eastAsia="Times New Roman" w:cs="Times New Roman"/>
          <w:noProof w:val="0"/>
          <w:sz w:val="22"/>
          <w:szCs w:val="22"/>
          <w:lang w:val="en-GB"/>
        </w:rPr>
        <w:t>h</w:t>
      </w:r>
      <w:r w:rsidRPr="690285DB" w:rsidR="02161876">
        <w:rPr>
          <w:rFonts w:ascii="Times New Roman" w:hAnsi="Times New Roman" w:eastAsia="Times New Roman" w:cs="Times New Roman"/>
          <w:noProof w:val="0"/>
          <w:sz w:val="22"/>
          <w:szCs w:val="22"/>
          <w:lang w:val="en-GB"/>
        </w:rPr>
        <w:t>e English legal structure is anchored on the pillar of common law. The common law is founded on the decisions that arise from</w:t>
      </w:r>
      <w:r w:rsidRPr="690285DB" w:rsidR="02161876">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previou</w:t>
      </w:r>
      <w:r w:rsidRPr="690285DB" w:rsidR="02161876">
        <w:rPr>
          <w:rFonts w:ascii="Times New Roman" w:hAnsi="Times New Roman" w:eastAsia="Times New Roman" w:cs="Times New Roman"/>
          <w:noProof w:val="0"/>
          <w:sz w:val="22"/>
          <w:szCs w:val="22"/>
          <w:lang w:val="en-GB"/>
        </w:rPr>
        <w:t>s</w:t>
      </w:r>
      <w:r w:rsidRPr="690285DB" w:rsidR="02161876">
        <w:rPr>
          <w:rFonts w:ascii="Times New Roman" w:hAnsi="Times New Roman" w:eastAsia="Times New Roman" w:cs="Times New Roman"/>
          <w:noProof w:val="0"/>
          <w:sz w:val="22"/>
          <w:szCs w:val="22"/>
          <w:lang w:val="en-GB"/>
        </w:rPr>
        <w:t xml:space="preserve"> court cases that have a binding effect on similar cases with a similar set of facts to courts of the same stature or lower courts. His is known as the principle of stare decisis which imputes the obligation of judges to consider and abide or stand by the decisions that have already been made. Whereas such an obligation exists, a precedent does not bear an immutable status since it can be overturned by a higher court or even the court itself on account of</w:t>
      </w:r>
      <w:r w:rsidRPr="690285DB" w:rsidR="02161876">
        <w:rPr>
          <w:rFonts w:ascii="Times New Roman" w:hAnsi="Times New Roman" w:eastAsia="Times New Roman" w:cs="Times New Roman"/>
          <w:noProof w:val="0"/>
          <w:sz w:val="22"/>
          <w:szCs w:val="22"/>
          <w:lang w:val="en-GB"/>
        </w:rPr>
        <w:t xml:space="preserve"> </w:t>
      </w:r>
      <w:r w:rsidRPr="690285DB" w:rsidR="02161876">
        <w:rPr>
          <w:rFonts w:ascii="Times New Roman" w:hAnsi="Times New Roman" w:eastAsia="Times New Roman" w:cs="Times New Roman"/>
          <w:noProof w:val="0"/>
          <w:sz w:val="22"/>
          <w:szCs w:val="22"/>
          <w:lang w:val="en-GB"/>
        </w:rPr>
        <w:t>erroneou</w:t>
      </w:r>
      <w:r w:rsidRPr="690285DB" w:rsidR="02161876">
        <w:rPr>
          <w:rFonts w:ascii="Times New Roman" w:hAnsi="Times New Roman" w:eastAsia="Times New Roman" w:cs="Times New Roman"/>
          <w:noProof w:val="0"/>
          <w:sz w:val="22"/>
          <w:szCs w:val="22"/>
          <w:lang w:val="en-GB"/>
        </w:rPr>
        <w:t>s</w:t>
      </w:r>
      <w:r w:rsidRPr="690285DB" w:rsidR="02161876">
        <w:rPr>
          <w:rFonts w:ascii="Times New Roman" w:hAnsi="Times New Roman" w:eastAsia="Times New Roman" w:cs="Times New Roman"/>
          <w:noProof w:val="0"/>
          <w:sz w:val="22"/>
          <w:szCs w:val="22"/>
          <w:lang w:val="en-GB"/>
        </w:rPr>
        <w:t xml:space="preserve"> decisions or a change in circumstances. In the end, the English common law has culminated in legal predictability, certainty, and consistency since it has advanced the robustness of the rule of law and access to justice.</w:t>
      </w:r>
    </w:p>
    <w:p xmlns:wp14="http://schemas.microsoft.com/office/word/2010/wordml" w:rsidP="690285DB" w14:paraId="2CE4B1BC" wp14:textId="69F51B8D">
      <w:pPr>
        <w:pStyle w:val="Normal"/>
        <w:jc w:val="both"/>
        <w:rPr>
          <w:rFonts w:ascii="Times New Roman" w:hAnsi="Times New Roman" w:eastAsia="Times New Roman" w:cs="Times New Roman"/>
          <w:noProof w:val="0"/>
          <w:sz w:val="22"/>
          <w:szCs w:val="22"/>
          <w:lang w:val="en-GB"/>
        </w:rPr>
      </w:pPr>
    </w:p>
    <w:p xmlns:wp14="http://schemas.microsoft.com/office/word/2010/wordml" w:rsidP="690285DB" w14:paraId="1862A9A6" wp14:textId="19BE19B9">
      <w:pPr>
        <w:pStyle w:val="Normal"/>
        <w:jc w:val="both"/>
        <w:rPr>
          <w:rFonts w:ascii="Times New Roman" w:hAnsi="Times New Roman" w:eastAsia="Times New Roman" w:cs="Times New Roman"/>
          <w:noProof w:val="0"/>
          <w:sz w:val="22"/>
          <w:szCs w:val="22"/>
          <w:lang w:val="en-GB"/>
        </w:rPr>
      </w:pPr>
      <w:r w:rsidRPr="690285DB" w:rsidR="79E6AF2C">
        <w:rPr>
          <w:rFonts w:ascii="Times New Roman" w:hAnsi="Times New Roman" w:eastAsia="Times New Roman" w:cs="Times New Roman"/>
          <w:noProof w:val="0"/>
          <w:sz w:val="22"/>
          <w:szCs w:val="22"/>
          <w:lang w:val="en-GB"/>
        </w:rPr>
        <w:t>Reference List</w:t>
      </w:r>
    </w:p>
    <w:p xmlns:wp14="http://schemas.microsoft.com/office/word/2010/wordml" w:rsidP="690285DB" w14:paraId="03EA14C4" wp14:textId="2BA1CA98">
      <w:pPr>
        <w:pStyle w:val="Normal"/>
        <w:jc w:val="both"/>
      </w:pPr>
      <w:r w:rsidRPr="690285DB" w:rsidR="79E6AF2C">
        <w:rPr>
          <w:rFonts w:ascii="Times New Roman" w:hAnsi="Times New Roman" w:eastAsia="Times New Roman" w:cs="Times New Roman"/>
          <w:noProof w:val="0"/>
          <w:sz w:val="22"/>
          <w:szCs w:val="22"/>
          <w:lang w:val="en-GB"/>
        </w:rPr>
        <w:t>Anghel, E., 2017. Judicial Precedent, a Law Source. LESIJ-Lex ET Scientia International Journal, 24(2), pp.68-76.</w:t>
      </w:r>
    </w:p>
    <w:p xmlns:wp14="http://schemas.microsoft.com/office/word/2010/wordml" w:rsidP="690285DB" w14:paraId="574AFF8F" wp14:textId="120B8388">
      <w:pPr>
        <w:pStyle w:val="Normal"/>
        <w:jc w:val="both"/>
      </w:pPr>
      <w:r w:rsidRPr="690285DB" w:rsidR="79E6AF2C">
        <w:rPr>
          <w:rFonts w:ascii="Times New Roman" w:hAnsi="Times New Roman" w:eastAsia="Times New Roman" w:cs="Times New Roman"/>
          <w:noProof w:val="0"/>
          <w:sz w:val="22"/>
          <w:szCs w:val="22"/>
          <w:lang w:val="en-GB"/>
        </w:rPr>
        <w:t>Broiles, R.D., 1966. Toward a Reasoned Judicial Decision. The Southern Journal of Philosophy, 4(1), pp.41-47.</w:t>
      </w:r>
    </w:p>
    <w:p xmlns:wp14="http://schemas.microsoft.com/office/word/2010/wordml" w:rsidP="690285DB" w14:paraId="30D59F46" wp14:textId="0A409278">
      <w:pPr>
        <w:pStyle w:val="Normal"/>
        <w:jc w:val="both"/>
      </w:pPr>
      <w:r w:rsidRPr="690285DB" w:rsidR="79E6AF2C">
        <w:rPr>
          <w:rFonts w:ascii="Times New Roman" w:hAnsi="Times New Roman" w:eastAsia="Times New Roman" w:cs="Times New Roman"/>
          <w:noProof w:val="0"/>
          <w:sz w:val="22"/>
          <w:szCs w:val="22"/>
          <w:lang w:val="en-GB"/>
        </w:rPr>
        <w:t>Caparo Industries PLC v Dickman [1990] UKHL 2.</w:t>
      </w:r>
    </w:p>
    <w:p xmlns:wp14="http://schemas.microsoft.com/office/word/2010/wordml" w:rsidP="690285DB" w14:paraId="1F68CA3D" wp14:textId="53243BEC">
      <w:pPr>
        <w:pStyle w:val="Normal"/>
        <w:jc w:val="both"/>
      </w:pPr>
      <w:r w:rsidRPr="690285DB" w:rsidR="79E6AF2C">
        <w:rPr>
          <w:rFonts w:ascii="Times New Roman" w:hAnsi="Times New Roman" w:eastAsia="Times New Roman" w:cs="Times New Roman"/>
          <w:noProof w:val="0"/>
          <w:sz w:val="22"/>
          <w:szCs w:val="22"/>
          <w:lang w:val="en-GB"/>
        </w:rPr>
        <w:t xml:space="preserve">Carby‐Hall, J., 2002. </w:t>
      </w:r>
      <w:bookmarkStart w:name="_Int_1z9h1dfn" w:id="162270720"/>
      <w:r w:rsidRPr="690285DB" w:rsidR="79E6AF2C">
        <w:rPr>
          <w:rFonts w:ascii="Times New Roman" w:hAnsi="Times New Roman" w:eastAsia="Times New Roman" w:cs="Times New Roman"/>
          <w:noProof w:val="0"/>
          <w:sz w:val="22"/>
          <w:szCs w:val="22"/>
          <w:lang w:val="en-GB"/>
        </w:rPr>
        <w:t>The Judge and Social Law: Jurisprudential Policies in Interpreting and Making Laws.</w:t>
      </w:r>
      <w:bookmarkEnd w:id="162270720"/>
      <w:r w:rsidRPr="690285DB" w:rsidR="79E6AF2C">
        <w:rPr>
          <w:rFonts w:ascii="Times New Roman" w:hAnsi="Times New Roman" w:eastAsia="Times New Roman" w:cs="Times New Roman"/>
          <w:noProof w:val="0"/>
          <w:sz w:val="22"/>
          <w:szCs w:val="22"/>
          <w:lang w:val="en-GB"/>
        </w:rPr>
        <w:t xml:space="preserve"> Managerial Law, 44(3), pp.7-26.</w:t>
      </w:r>
    </w:p>
    <w:p xmlns:wp14="http://schemas.microsoft.com/office/word/2010/wordml" w:rsidP="690285DB" w14:paraId="04B9C15F" wp14:textId="10CCFCC8">
      <w:pPr>
        <w:pStyle w:val="Normal"/>
        <w:jc w:val="both"/>
      </w:pPr>
      <w:r w:rsidRPr="690285DB" w:rsidR="79E6AF2C">
        <w:rPr>
          <w:rFonts w:ascii="Times New Roman" w:hAnsi="Times New Roman" w:eastAsia="Times New Roman" w:cs="Times New Roman"/>
          <w:noProof w:val="0"/>
          <w:sz w:val="22"/>
          <w:szCs w:val="22"/>
          <w:lang w:val="en-GB"/>
        </w:rPr>
        <w:t>Christelow, S.M., 2011. Anglo‐Norman Administrations and Their Historians. History Compass, 9(7), pp.525-536.</w:t>
      </w:r>
    </w:p>
    <w:p xmlns:wp14="http://schemas.microsoft.com/office/word/2010/wordml" w:rsidP="690285DB" w14:paraId="7E00C408" wp14:textId="38FE5E32">
      <w:pPr>
        <w:pStyle w:val="Normal"/>
        <w:jc w:val="both"/>
      </w:pPr>
      <w:r w:rsidRPr="690285DB" w:rsidR="79E6AF2C">
        <w:rPr>
          <w:rFonts w:ascii="Times New Roman" w:hAnsi="Times New Roman" w:eastAsia="Times New Roman" w:cs="Times New Roman"/>
          <w:noProof w:val="0"/>
          <w:sz w:val="22"/>
          <w:szCs w:val="22"/>
          <w:lang w:val="en-GB"/>
        </w:rPr>
        <w:t>Dainow, J., 1966. The Civil Law and the Common Law: Some Points of Comparison. Am. J. Comp. L., 15, p.419.</w:t>
      </w:r>
    </w:p>
    <w:p xmlns:wp14="http://schemas.microsoft.com/office/word/2010/wordml" w:rsidP="690285DB" w14:paraId="703FF3BC" wp14:textId="256C1673">
      <w:pPr>
        <w:pStyle w:val="Normal"/>
        <w:jc w:val="both"/>
      </w:pPr>
      <w:r w:rsidRPr="690285DB" w:rsidR="79E6AF2C">
        <w:rPr>
          <w:rFonts w:ascii="Times New Roman" w:hAnsi="Times New Roman" w:eastAsia="Times New Roman" w:cs="Times New Roman"/>
          <w:noProof w:val="0"/>
          <w:sz w:val="22"/>
          <w:szCs w:val="22"/>
          <w:lang w:val="en-GB"/>
        </w:rPr>
        <w:t>Dickinson, H.T., 2019. Comments on William Blackstone's Commentaries on the Laws of England. History, 104(362), pp.710-728.</w:t>
      </w:r>
    </w:p>
    <w:p xmlns:wp14="http://schemas.microsoft.com/office/word/2010/wordml" w:rsidP="690285DB" w14:paraId="4DDA5867" wp14:textId="6A74A052">
      <w:pPr>
        <w:pStyle w:val="Normal"/>
        <w:jc w:val="both"/>
      </w:pPr>
      <w:r w:rsidRPr="690285DB" w:rsidR="79E6AF2C">
        <w:rPr>
          <w:rFonts w:ascii="Times New Roman" w:hAnsi="Times New Roman" w:eastAsia="Times New Roman" w:cs="Times New Roman"/>
          <w:noProof w:val="0"/>
          <w:sz w:val="22"/>
          <w:szCs w:val="22"/>
          <w:lang w:val="en-GB"/>
        </w:rPr>
        <w:t>George, C., 2012. The Ecclesiastical Common Law: A Quarter-Century Retrospective. Ecclesiastical Law Journal, 14(1), pp.20-42.</w:t>
      </w:r>
    </w:p>
    <w:p xmlns:wp14="http://schemas.microsoft.com/office/word/2010/wordml" w:rsidP="690285DB" w14:paraId="5188C9C6" wp14:textId="0055A1BD">
      <w:pPr>
        <w:pStyle w:val="Normal"/>
        <w:jc w:val="both"/>
      </w:pPr>
      <w:r w:rsidRPr="690285DB" w:rsidR="79E6AF2C">
        <w:rPr>
          <w:rFonts w:ascii="Times New Roman" w:hAnsi="Times New Roman" w:eastAsia="Times New Roman" w:cs="Times New Roman"/>
          <w:noProof w:val="0"/>
          <w:sz w:val="22"/>
          <w:szCs w:val="22"/>
          <w:lang w:val="en-GB"/>
        </w:rPr>
        <w:t>Morin, M., 2022. Reinforcing the French Legacy While Borrowing from the Common Law: The Civil Code of Quebec (1991). The Making of the Civil Codes: A Twenty-First Century Perspective, pp.223-248.</w:t>
      </w:r>
    </w:p>
    <w:p xmlns:wp14="http://schemas.microsoft.com/office/word/2010/wordml" w:rsidP="690285DB" w14:paraId="0866BF79" wp14:textId="693C5B98">
      <w:pPr>
        <w:pStyle w:val="Normal"/>
        <w:jc w:val="both"/>
      </w:pPr>
      <w:r w:rsidRPr="690285DB" w:rsidR="79E6AF2C">
        <w:rPr>
          <w:rFonts w:ascii="Times New Roman" w:hAnsi="Times New Roman" w:eastAsia="Times New Roman" w:cs="Times New Roman"/>
          <w:noProof w:val="0"/>
          <w:sz w:val="22"/>
          <w:szCs w:val="22"/>
          <w:lang w:val="en-GB"/>
        </w:rPr>
        <w:t>Postema, G.J., 2002. Classical Common Law Jurisprudence (Part I). Oxford University Commonwealth Law Journal, 2(2), pp.155-180.</w:t>
      </w:r>
    </w:p>
    <w:p xmlns:wp14="http://schemas.microsoft.com/office/word/2010/wordml" w:rsidP="690285DB" w14:paraId="25458C62" wp14:textId="7CF8E1B5">
      <w:pPr>
        <w:pStyle w:val="Normal"/>
        <w:jc w:val="both"/>
      </w:pPr>
      <w:r w:rsidRPr="690285DB" w:rsidR="79E6AF2C">
        <w:rPr>
          <w:rFonts w:ascii="Times New Roman" w:hAnsi="Times New Roman" w:eastAsia="Times New Roman" w:cs="Times New Roman"/>
          <w:noProof w:val="0"/>
          <w:sz w:val="22"/>
          <w:szCs w:val="22"/>
          <w:lang w:val="en-GB"/>
        </w:rPr>
        <w:t>Postema, G.J., 2003. Classical Common Law Jurisprudence (Part II). Oxford University Commonwealth Law Journal, 3(1), pp.1-28.</w:t>
      </w:r>
    </w:p>
    <w:p xmlns:wp14="http://schemas.microsoft.com/office/word/2010/wordml" w:rsidP="690285DB" w14:paraId="06160BE7" wp14:textId="15EDD660">
      <w:pPr>
        <w:pStyle w:val="Normal"/>
        <w:jc w:val="both"/>
      </w:pPr>
      <w:r w:rsidRPr="690285DB" w:rsidR="79E6AF2C">
        <w:rPr>
          <w:rFonts w:ascii="Times New Roman" w:hAnsi="Times New Roman" w:eastAsia="Times New Roman" w:cs="Times New Roman"/>
          <w:noProof w:val="0"/>
          <w:sz w:val="22"/>
          <w:szCs w:val="22"/>
          <w:lang w:val="en-GB"/>
        </w:rPr>
        <w:t>Robbennolt, J.K. and Hans, V.P., 2016. The Psychology of Tort Law (pp. 249-274). Springer International Publishing.</w:t>
      </w:r>
    </w:p>
    <w:p xmlns:wp14="http://schemas.microsoft.com/office/word/2010/wordml" w:rsidP="690285DB" w14:paraId="26F57A35" wp14:textId="5D7551DC">
      <w:pPr>
        <w:pStyle w:val="Normal"/>
        <w:jc w:val="both"/>
      </w:pPr>
      <w:r w:rsidRPr="690285DB" w:rsidR="79E6AF2C">
        <w:rPr>
          <w:rFonts w:ascii="Times New Roman" w:hAnsi="Times New Roman" w:eastAsia="Times New Roman" w:cs="Times New Roman"/>
          <w:noProof w:val="0"/>
          <w:sz w:val="22"/>
          <w:szCs w:val="22"/>
          <w:lang w:val="en-GB"/>
        </w:rPr>
        <w:t>Steilen, M., 2011. Reason, the Common Law, and the Living Constitution. Legal Theory, 17(4), pp.279-300.</w:t>
      </w:r>
    </w:p>
    <w:p xmlns:wp14="http://schemas.microsoft.com/office/word/2010/wordml" w:rsidP="690285DB" w14:paraId="2929DD00" wp14:textId="1A980F96">
      <w:pPr>
        <w:pStyle w:val="Normal"/>
        <w:jc w:val="both"/>
      </w:pPr>
      <w:r w:rsidRPr="690285DB" w:rsidR="79E6AF2C">
        <w:rPr>
          <w:rFonts w:ascii="Times New Roman" w:hAnsi="Times New Roman" w:eastAsia="Times New Roman" w:cs="Times New Roman"/>
          <w:noProof w:val="0"/>
          <w:sz w:val="22"/>
          <w:szCs w:val="22"/>
          <w:lang w:val="en-GB"/>
        </w:rPr>
        <w:t xml:space="preserve">Szabo, F.A., 1980. </w:t>
      </w:r>
      <w:bookmarkStart w:name="_Int_wrpl0AHQ" w:id="1098638008"/>
      <w:r w:rsidRPr="690285DB" w:rsidR="79E6AF2C">
        <w:rPr>
          <w:rFonts w:ascii="Times New Roman" w:hAnsi="Times New Roman" w:eastAsia="Times New Roman" w:cs="Times New Roman"/>
          <w:noProof w:val="0"/>
          <w:sz w:val="22"/>
          <w:szCs w:val="22"/>
          <w:lang w:val="en-GB"/>
        </w:rPr>
        <w:t>The Limits of Enlightenment: Joseph II and the Law, by Paul P. Bernard.</w:t>
      </w:r>
      <w:bookmarkEnd w:id="1098638008"/>
      <w:r w:rsidRPr="690285DB" w:rsidR="79E6AF2C">
        <w:rPr>
          <w:rFonts w:ascii="Times New Roman" w:hAnsi="Times New Roman" w:eastAsia="Times New Roman" w:cs="Times New Roman"/>
          <w:noProof w:val="0"/>
          <w:sz w:val="22"/>
          <w:szCs w:val="22"/>
          <w:lang w:val="en-GB"/>
        </w:rPr>
        <w:t xml:space="preserve"> Canadian Journal of History, 15(3), pp.461-463.</w:t>
      </w:r>
    </w:p>
    <w:p xmlns:wp14="http://schemas.microsoft.com/office/word/2010/wordml" w:rsidP="690285DB" w14:paraId="2510FC7C" wp14:textId="449C955C">
      <w:pPr>
        <w:pStyle w:val="Normal"/>
        <w:jc w:val="both"/>
      </w:pPr>
      <w:r w:rsidRPr="690285DB" w:rsidR="79E6AF2C">
        <w:rPr>
          <w:rFonts w:ascii="Times New Roman" w:hAnsi="Times New Roman" w:eastAsia="Times New Roman" w:cs="Times New Roman"/>
          <w:noProof w:val="0"/>
          <w:sz w:val="22"/>
          <w:szCs w:val="22"/>
          <w:lang w:val="en-GB"/>
        </w:rPr>
        <w:t xml:space="preserve">Thomas, H.M., 2017. History, </w:t>
      </w:r>
      <w:bookmarkStart w:name="_Int_bOtdS6RE" w:id="93401925"/>
      <w:r w:rsidRPr="690285DB" w:rsidR="79E6AF2C">
        <w:rPr>
          <w:rFonts w:ascii="Times New Roman" w:hAnsi="Times New Roman" w:eastAsia="Times New Roman" w:cs="Times New Roman"/>
          <w:noProof w:val="0"/>
          <w:sz w:val="22"/>
          <w:szCs w:val="22"/>
          <w:lang w:val="en-GB"/>
        </w:rPr>
        <w:t>Archaeology</w:t>
      </w:r>
      <w:bookmarkEnd w:id="93401925"/>
      <w:r w:rsidRPr="690285DB" w:rsidR="79E6AF2C">
        <w:rPr>
          <w:rFonts w:ascii="Times New Roman" w:hAnsi="Times New Roman" w:eastAsia="Times New Roman" w:cs="Times New Roman"/>
          <w:noProof w:val="0"/>
          <w:sz w:val="22"/>
          <w:szCs w:val="22"/>
          <w:lang w:val="en-GB"/>
        </w:rPr>
        <w:t xml:space="preserve"> and the Norman Conquest. The Archaeology of the 11th Century, pp.283-300.</w:t>
      </w:r>
    </w:p>
    <w:p xmlns:wp14="http://schemas.microsoft.com/office/word/2010/wordml" w:rsidP="690285DB" w14:paraId="3C696824" wp14:textId="5C5DCA40">
      <w:pPr>
        <w:pStyle w:val="Normal"/>
        <w:jc w:val="both"/>
      </w:pPr>
      <w:r w:rsidRPr="690285DB" w:rsidR="79E6AF2C">
        <w:rPr>
          <w:rFonts w:ascii="Times New Roman" w:hAnsi="Times New Roman" w:eastAsia="Times New Roman" w:cs="Times New Roman"/>
          <w:noProof w:val="0"/>
          <w:sz w:val="22"/>
          <w:szCs w:val="22"/>
          <w:lang w:val="en-GB"/>
        </w:rPr>
        <w:t>Waddams, S., 2009. Authority, Precedent, and Principle. University of Toronto Law Journal, 59(1), pp.127-133.</w:t>
      </w:r>
    </w:p>
    <w:p xmlns:wp14="http://schemas.microsoft.com/office/word/2010/wordml" w:rsidP="690285DB" w14:paraId="22598466" wp14:textId="18A6DCD3">
      <w:pPr>
        <w:pStyle w:val="Normal"/>
        <w:jc w:val="both"/>
        <w:rPr>
          <w:rFonts w:ascii="Times New Roman" w:hAnsi="Times New Roman" w:eastAsia="Times New Roman" w:cs="Times New Roman"/>
          <w:noProof w:val="0"/>
          <w:sz w:val="22"/>
          <w:szCs w:val="22"/>
          <w:lang w:val="en-GB"/>
        </w:rPr>
      </w:pPr>
      <w:r>
        <w:br/>
      </w:r>
    </w:p>
    <w:p xmlns:wp14="http://schemas.microsoft.com/office/word/2010/wordml" w:rsidP="690285DB" w14:paraId="427071C0" wp14:textId="3CFE13B2">
      <w:pPr>
        <w:pStyle w:val="Normal"/>
        <w:jc w:val="both"/>
        <w:rPr>
          <w:rFonts w:ascii="Times New Roman" w:hAnsi="Times New Roman" w:eastAsia="Times New Roman" w:cs="Times New Roman"/>
          <w:noProof w:val="0"/>
          <w:sz w:val="22"/>
          <w:szCs w:val="22"/>
          <w:lang w:val="en-GB"/>
        </w:rPr>
      </w:pPr>
    </w:p>
    <w:p xmlns:wp14="http://schemas.microsoft.com/office/word/2010/wordml" w:rsidP="690285DB" w14:paraId="41ABF832" wp14:textId="3F807AE8">
      <w:pPr>
        <w:pStyle w:val="Normal"/>
        <w:jc w:val="both"/>
        <w:rPr>
          <w:rFonts w:ascii="Times New Roman" w:hAnsi="Times New Roman" w:eastAsia="Times New Roman" w:cs="Times New Roman"/>
          <w:noProof w:val="0"/>
          <w:sz w:val="22"/>
          <w:szCs w:val="22"/>
          <w:lang w:val="en-GB"/>
        </w:rPr>
      </w:pPr>
    </w:p>
    <w:p xmlns:wp14="http://schemas.microsoft.com/office/word/2010/wordml" w:rsidP="690285DB" w14:paraId="5E5787A5" wp14:textId="398E3B7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4TIibYiu0fKx30" int2:id="Nki7yyqg">
      <int2:state int2:type="AugLoop_Text_Critique" int2:value="Rejected"/>
    </int2:textHash>
    <int2:textHash int2:hashCode="osdR8P4nV6SvVh" int2:id="cop7bgKG">
      <int2:state int2:type="AugLoop_Text_Critique" int2:value="Rejected"/>
    </int2:textHash>
    <int2:textHash int2:hashCode="D0YY8PzbyxQWEh" int2:id="fCQmR8lg">
      <int2:state int2:type="AugLoop_Text_Critique" int2:value="Rejected"/>
    </int2:textHash>
    <int2:bookmark int2:bookmarkName="_Int_wrpl0AHQ" int2:invalidationBookmarkName="" int2:hashCode="1Vgyu8hlRn1uvz" int2:id="0PSR0VmE">
      <int2:state int2:type="AugLoop_Similarity_SimilarityAnnotation" int2:value="Rejected"/>
      <int2:extLst>
        <oel:ext uri="426473B9-03D8-482F-96C9-C2C85392BACA">
          <int2:similarityCritique int2:version="1" int2:context="The Limits of Enlightenment: Joseph II and the Law, by Paul P. Bernard.">
            <int2:source int2:sourceType="Online" int2:sourceTitle="The Limits of Enlightenment: Joseph II and the Law (146P)" int2:sourceUrl="https://www.amazon.com/Limits-Enlightenment-Joseph-Law-146P/dp/0252007352" int2:sourceSnippet="The Limits of Enlightenment: Joseph II and the Law (146P) Hardcover – August 1, 1979 . by . Paul P. Bernard (Author) › Visit Amazon's Paul P. Bernard Page. Find all the books, read about the author, and more. See search results for this author. Paul P. Bernard (Author)">
              <int2:suggestions int2:citationType="Inline">
                <int2:suggestion int2:citationStyle="Mla" int2:isIdentical="0">
                  <int2:citationText>(“The Limits of Enlightenment: Joseph II and the Law (146P)”)</int2:citationText>
                </int2:suggestion>
                <int2:suggestion int2:citationStyle="Apa" int2:isIdentical="0">
                  <int2:citationText>(“The Limits of Enlightenment: Joseph II and the Law (146P)”)</int2:citationText>
                </int2:suggestion>
                <int2:suggestion int2:citationStyle="Chicago" int2:isIdentical="0">
                  <int2:citationText>(“The Limits of Enlightenment: Joseph II and the Law (146P)”)</int2:citationText>
                </int2:suggestion>
              </int2:suggestions>
              <int2:suggestions int2:citationType="Full">
                <int2:suggestion int2:citationStyle="Mla" int2:isIdentical="0">
                  <int2:citationText>&lt;i&gt;The Limits of Enlightenment: Joseph II and the Law (146P)&lt;/i&gt;, https://www.amazon.com/Limits-Enlightenment-Joseph-Law-146P/dp/0252007352.</int2:citationText>
                </int2:suggestion>
                <int2:suggestion int2:citationStyle="Apa" int2:isIdentical="0">
                  <int2:citationText>&lt;i&gt;The Limits of Enlightenment: Joseph II and the Law (146P)&lt;/i&gt;. (n.d.). Retrieved from https://www.amazon.com/Limits-Enlightenment-Joseph-Law-146P/dp/0252007352</int2:citationText>
                </int2:suggestion>
                <int2:suggestion int2:citationStyle="Chicago" int2:isIdentical="0">
                  <int2:citationText>“The Limits of Enlightenment: Joseph II and the Law (146P)” n.d., https://www.amazon.com/Limits-Enlightenment-Joseph-Law-146P/dp/0252007352.</int2:citationText>
                </int2:suggestion>
              </int2:suggestions>
            </int2:source>
            <int2:source int2:sourceType="Online" int2:sourceTitle="The Limits Of Enlightenment: Joseph II and The Law." int2:sourceUrl="https://www.cambridge.org/core/journals/cambridge-law-journal/article/limits-of-enlightenment-joseph-ii-and-the-law-by-paul-p-bernard-urbana-chicago-and-london-university-of-illinois-press-1979-xii-142-and-index-4-pp-800-net/1211BEAD44522FDF941A7CFF19B8F6E6" int2:sourceSnippet="The Limits Of Enlightenment: Joseph II and The Law. By Paul P. Bernard. [Urbana, Chicago and London: University of Illinois Press. 1979. xii, 142 and (Index) 4 pp. £8.00 net.] - Volume 39 Issue 1">
              <int2:suggestions int2:citationType="Inline">
                <int2:suggestion int2:citationStyle="Mla" int2:isIdentical="0">
                  <int2:citationText>(“The Limits Of Enlightenment: Joseph II and The Law.”)</int2:citationText>
                </int2:suggestion>
                <int2:suggestion int2:citationStyle="Apa" int2:isIdentical="0">
                  <int2:citationText>(“The Limits Of Enlightenment: Joseph II and The Law.”)</int2:citationText>
                </int2:suggestion>
                <int2:suggestion int2:citationStyle="Chicago" int2:isIdentical="0">
                  <int2:citationText>(“The Limits Of Enlightenment: Joseph II and The Law.”)</int2:citationText>
                </int2:suggestion>
              </int2:suggestions>
              <int2:suggestions int2:citationType="Full">
                <int2:suggestion int2:citationStyle="Mla" int2:isIdentical="0">
                  <int2:citationText>&lt;i&gt;The Limits Of Enlightenment: Joseph II and The Law.&lt;/i&gt;, https://www.cambridge.org/core/journals/cambridge-law-journal/article/limits-of-enlightenment-joseph-ii-and-the-law-by-paul-p-bernard-urbana-chicago-and-london-university-of-illinois-press-1979-xii-142-and-index-4-pp-800-net/1211BEAD44522FDF941A7CFF19B8F6E6.</int2:citationText>
                </int2:suggestion>
                <int2:suggestion int2:citationStyle="Apa" int2:isIdentical="0">
                  <int2:citationText>&lt;i&gt;The Limits Of Enlightenment: Joseph II and The Law.&lt;/i&gt;. (n.d.). Retrieved from https://www.cambridge.org/core/journals/cambridge-law-journal/article/limits-of-enlightenment-joseph-ii-and-the-law-by-paul-p-bernard-urbana-chicago-and-london-university-of-illinois-press-1979-xii-142-and-index-4-pp-800-net/1211BEAD44522FDF941A7CFF19B8F6E6</int2:citationText>
                </int2:suggestion>
                <int2:suggestion int2:citationStyle="Chicago" int2:isIdentical="0">
                  <int2:citationText>“The Limits Of Enlightenment: Joseph II and The Law.” n.d., https://www.cambridge.org/core/journals/cambridge-law-journal/article/limits-of-enlightenment-joseph-ii-and-the-law-by-paul-p-bernard-urbana-chicago-and-london-university-of-illinois-press-1979-xii-142-and-index-4-pp-800-net/1211BEAD44522FDF941A7CFF19B8F6E6.</int2:citationText>
                </int2:suggestion>
              </int2:suggestions>
            </int2:source>
            <int2:source int2:sourceType="Online" int2:sourceTitle="(PDF) Kant and Mendelssohn on the limits of the Enlightenment" int2:sourceUrl="https://www.researchgate.net/publication/369092220_Kant_and_Mendelssohn_on_the_limits_of_the_Enlightenment" int2:sourceSnippet="The Limits of Enlightenment: Joseph II and the Law , by Paul P. Bernard The Limits of Enlightenment:... December 1980 · Canadian Journal of History [...] Franz A. J. Szabo; Read more.">
              <int2:suggestions int2:citationType="Inline">
                <int2:suggestion int2:citationStyle="Mla" int2:isIdentical="0">
                  <int2:citationText>(“(PDF) Kant and Mendelssohn on the limits of the Enlightenment”)</int2:citationText>
                </int2:suggestion>
                <int2:suggestion int2:citationStyle="Apa" int2:isIdentical="0">
                  <int2:citationText>(“(PDF) Kant and Mendelssohn on the limits of the Enlightenment”)</int2:citationText>
                </int2:suggestion>
                <int2:suggestion int2:citationStyle="Chicago" int2:isIdentical="0">
                  <int2:citationText>(“(PDF) Kant and Mendelssohn on the limits of the Enlightenment”)</int2:citationText>
                </int2:suggestion>
              </int2:suggestions>
              <int2:suggestions int2:citationType="Full">
                <int2:suggestion int2:citationStyle="Mla" int2:isIdentical="0">
                  <int2:citationText>&lt;i&gt;(PDF) Kant and Mendelssohn on the limits of the Enlightenment&lt;/i&gt;, https://www.researchgate.net/publication/369092220_Kant_and_Mendelssohn_on_the_limits_of_the_Enlightenment.</int2:citationText>
                </int2:suggestion>
                <int2:suggestion int2:citationStyle="Apa" int2:isIdentical="0">
                  <int2:citationText>&lt;i&gt;(PDF) Kant and Mendelssohn on the limits of the Enlightenment&lt;/i&gt;. (n.d.). Retrieved from https://www.researchgate.net/publication/369092220_Kant_and_Mendelssohn_on_the_limits_of_the_Enlightenment</int2:citationText>
                </int2:suggestion>
                <int2:suggestion int2:citationStyle="Chicago" int2:isIdentical="0">
                  <int2:citationText>“(PDF) Kant and Mendelssohn on the limits of the Enlightenment” n.d., https://www.researchgate.net/publication/369092220_Kant_and_Mendelssohn_on_the_limits_of_the_Enlightenment.</int2:citationText>
                </int2:suggestion>
              </int2:suggestions>
            </int2:source>
          </int2:similarityCritique>
        </oel:ext>
      </int2:extLst>
    </int2:bookmark>
    <int2:bookmark int2:bookmarkName="_Int_1z9h1dfn" int2:invalidationBookmarkName="" int2:hashCode="QNKdKkDFNvhoWG" int2:id="28qAjCi6">
      <int2:state int2:type="AugLoop_Similarity_SimilarityAnnotation" int2:value="Rejected"/>
      <int2:extLst>
        <oel:ext uri="426473B9-03D8-482F-96C9-C2C85392BACA">
          <int2:similarityCritique int2:version="1" int2:context="The Judge and Social Law: Jurisprudential Policies in Interpreting and Making Laws.">
            <int2:source int2:sourceType="Online" int2:sourceTitle="The judge and social law: jurisprudential policies in interpreting and ..." int2:sourceUrl="https://www.researchgate.net/publication/249363732_The_judge_and_social_law_jurisprudential_policies_in_interpreting_and_making_laws" int2:sourceSnippet="Request PDF | The judge and social law: jurisprudential policies in interpreting and making laws | Attempts to analyse the role of the judge in interpreting statute law. Looks at the traditional ...">
              <int2:suggestions int2:citationType="Inline">
                <int2:suggestion int2:citationStyle="Mla" int2:isIdentical="0">
                  <int2:citationText>(“The judge and social law: jurisprudential policies in interpreting and ...”)</int2:citationText>
                </int2:suggestion>
                <int2:suggestion int2:citationStyle="Apa" int2:isIdentical="0">
                  <int2:citationText>(“The judge and social law: jurisprudential policies in interpreting and ...”)</int2:citationText>
                </int2:suggestion>
                <int2:suggestion int2:citationStyle="Chicago" int2:isIdentical="0">
                  <int2:citationText>(“The judge and social law: jurisprudential policies in interpreting and ...”)</int2:citationText>
                </int2:suggestion>
              </int2:suggestions>
              <int2:suggestions int2:citationType="Full">
                <int2:suggestion int2:citationStyle="Mla" int2:isIdentical="0">
                  <int2:citationText>&lt;i&gt;The judge and social law: jurisprudential policies in interpreting and ...&lt;/i&gt;, https://www.researchgate.net/publication/249363732_The_judge_and_social_law_jurisprudential_policies_in_interpreting_and_making_laws.</int2:citationText>
                </int2:suggestion>
                <int2:suggestion int2:citationStyle="Apa" int2:isIdentical="0">
                  <int2:citationText>&lt;i&gt;The judge and social law: jurisprudential policies in interpreting and ...&lt;/i&gt;. (n.d.). Retrieved from https://www.researchgate.net/publication/249363732_The_judge_and_social_law_jurisprudential_policies_in_interpreting_and_making_laws</int2:citationText>
                </int2:suggestion>
                <int2:suggestion int2:citationStyle="Chicago" int2:isIdentical="0">
                  <int2:citationText>“The judge and social law: jurisprudential policies in interpreting and ...” n.d., https://www.researchgate.net/publication/249363732_The_judge_and_social_law_jurisprudential_policies_in_interpreting_and_making_laws.</int2:citationText>
                </int2:suggestion>
              </int2:suggestions>
            </int2:source>
            <int2:source int2:sourceType="Online" int2:sourceTitle="The judge and social law: jurisprudential policies in ... - DeepDyve" int2:sourceUrl="https://www.deepdyve.com/lp/emerald-publishing/the-judge-and-social-law-jurisprudential-policies-in-interpreting-and-adZfbOD0ih" int2:sourceSnippet="The judge and social law: jurisprudential policies in interpreting and making laws The judge and social law: jurisprudential policies in interpreting and making laws Jo Carby‐Hall 2002-08-01 00:00:00 This article has been withdrawn as it was published elsewhere and accidentally duplicated. The original article can be seen here: 10.1108/03090550210770498.">
              <int2:suggestions int2:citationType="Inline">
                <int2:suggestion int2:citationStyle="Mla" int2:isIdentical="0">
                  <int2:citationText>(“The judge and social law: jurisprudential policies in ... - DeepDyve”)</int2:citationText>
                </int2:suggestion>
                <int2:suggestion int2:citationStyle="Apa" int2:isIdentical="0">
                  <int2:citationText>(“The judge and social law: jurisprudential policies in ... - DeepDyve”)</int2:citationText>
                </int2:suggestion>
                <int2:suggestion int2:citationStyle="Chicago" int2:isIdentical="0">
                  <int2:citationText>(“The judge and social law: jurisprudential policies in ... - DeepDyve”)</int2:citationText>
                </int2:suggestion>
              </int2:suggestions>
              <int2:suggestions int2:citationType="Full">
                <int2:suggestion int2:citationStyle="Mla" int2:isIdentical="0">
                  <int2:citationText>&lt;i&gt;The judge and social law: jurisprudential policies in ... - DeepDyve&lt;/i&gt;, https://www.deepdyve.com/lp/emerald-publishing/the-judge-and-social-law-jurisprudential-policies-in-interpreting-and-adZfbOD0ih.</int2:citationText>
                </int2:suggestion>
                <int2:suggestion int2:citationStyle="Apa" int2:isIdentical="0">
                  <int2:citationText>&lt;i&gt;The judge and social law: jurisprudential policies in ... - DeepDyve&lt;/i&gt;. (n.d.). Retrieved from https://www.deepdyve.com/lp/emerald-publishing/the-judge-and-social-law-jurisprudential-policies-in-interpreting-and-adZfbOD0ih</int2:citationText>
                </int2:suggestion>
                <int2:suggestion int2:citationStyle="Chicago" int2:isIdentical="0">
                  <int2:citationText>“The judge and social law: jurisprudential policies in ... - DeepDyve” n.d., https://www.deepdyve.com/lp/emerald-publishing/the-judge-and-social-law-jurisprudential-policies-in-interpreting-and-adZfbOD0ih.</int2:citationText>
                </int2:suggestion>
              </int2:suggestions>
            </int2:source>
            <int2:source int2:sourceType="Online" int2:sourceTitle="The judge and social law: jurisprudential policies in interpreting and ..." int2:sourceUrl="https://www.deepdyve.com/lp/emerald-publishing/the-judge-and-social-law-jurisprudential-policies-in-interpreting-and-XuKVU0ZtJu" int2:sourceSnippet="The judge and social law: jurisprudential policies in interpreting and making laws The judge and social law: jurisprudential policies in interpreting and making laws Jo Carby‐Hall 2002-06-01 00:00:00 Attempts to analyse the role of the judge in interpreting statute law. Looks at the traditional British rules of interpretation, presumptions and jurisprudential policy in the construction of ...">
              <int2:suggestions int2:citationType="Inline">
                <int2:suggestion int2:citationStyle="Mla" int2:isIdentical="0">
                  <int2:citationText>(“The judge and social law: jurisprudential policies in interpreting and ...”)</int2:citationText>
                </int2:suggestion>
                <int2:suggestion int2:citationStyle="Apa" int2:isIdentical="0">
                  <int2:citationText>(“The judge and social law: jurisprudential policies in interpreting and ...”)</int2:citationText>
                </int2:suggestion>
                <int2:suggestion int2:citationStyle="Chicago" int2:isIdentical="0">
                  <int2:citationText>(“The judge and social law: jurisprudential policies in interpreting and ...”)</int2:citationText>
                </int2:suggestion>
              </int2:suggestions>
              <int2:suggestions int2:citationType="Full">
                <int2:suggestion int2:citationStyle="Mla" int2:isIdentical="0">
                  <int2:citationText>&lt;i&gt;The judge and social law: jurisprudential policies in interpreting and ...&lt;/i&gt;, https://www.deepdyve.com/lp/emerald-publishing/the-judge-and-social-law-jurisprudential-policies-in-interpreting-and-XuKVU0ZtJu.</int2:citationText>
                </int2:suggestion>
                <int2:suggestion int2:citationStyle="Apa" int2:isIdentical="0">
                  <int2:citationText>&lt;i&gt;The judge and social law: jurisprudential policies in interpreting and ...&lt;/i&gt;. (n.d.). Retrieved from https://www.deepdyve.com/lp/emerald-publishing/the-judge-and-social-law-jurisprudential-policies-in-interpreting-and-XuKVU0ZtJu</int2:citationText>
                </int2:suggestion>
                <int2:suggestion int2:citationStyle="Chicago" int2:isIdentical="0">
                  <int2:citationText>“The judge and social law: jurisprudential policies in interpreting and ...” n.d., https://www.deepdyve.com/lp/emerald-publishing/the-judge-and-social-law-jurisprudential-policies-in-interpreting-and-XuKVU0ZtJu.</int2:citationText>
                </int2:suggestion>
              </int2:suggestions>
            </int2:source>
          </int2:similarityCritique>
        </oel:ext>
      </int2:extLst>
    </int2:bookmark>
    <int2:bookmark int2:bookmarkName="_Int_bOtdS6RE" int2:invalidationBookmarkName="" int2:hashCode="24XcL+9psMEome" int2:id="LkiTBMVR">
      <int2:state int2:type="AugLoop_Text_Critique" int2:value="Rejected"/>
    </int2:bookmark>
    <int2:bookmark int2:bookmarkName="_Int_N1WYNtvw" int2:invalidationBookmarkName="" int2:hashCode="0lXQ0GySJQ8tJA" int2:id="1RlhBtfG">
      <int2:state int2:type="AugLoop_Text_Critique" int2:value="Rejected"/>
    </int2:bookmark>
    <int2:bookmark int2:bookmarkName="_Int_GES8J1RH" int2:invalidationBookmarkName="" int2:hashCode="af2yLWATS+riUZ" int2:id="PhiUI7TS">
      <int2:state int2:type="AugLoop_Text_Critique" int2:value="Rejected"/>
    </int2:bookmark>
    <int2:bookmark int2:bookmarkName="_Int_oKZyknMG" int2:invalidationBookmarkName="" int2:hashCode="VRd/LyDcPFdCnc" int2:id="rXf6k3ei">
      <int2:state int2:type="AugLoop_Text_Critique" int2:value="Rejected"/>
    </int2:bookmark>
    <int2:bookmark int2:bookmarkName="_Int_3WDAlIb8" int2:invalidationBookmarkName="" int2:hashCode="sJ0IuCSomVftAu" int2:id="l4FQp2Gm">
      <int2:state int2:type="AugLoop_Text_Critique" int2:value="Rejected"/>
    </int2:bookmark>
    <int2:bookmark int2:bookmarkName="_Int_9x4GK4sV" int2:invalidationBookmarkName="" int2:hashCode="W5Z4vmu9anL2GF" int2:id="HgHcp6F6">
      <int2:state int2:type="AugLoop_Text_Critique" int2:value="Rejected"/>
    </int2:bookmark>
    <int2:bookmark int2:bookmarkName="_Int_Zn1OEaI2" int2:invalidationBookmarkName="" int2:hashCode="0lXQ0GySJQ8tJA" int2:id="uIQFsPVx">
      <int2:state int2:type="AugLoop_Text_Critique" int2:value="Rejected"/>
    </int2:bookmark>
    <int2:bookmark int2:bookmarkName="_Int_jDl7I8vC" int2:invalidationBookmarkName="" int2:hashCode="e0dMsLOcF3PXGS" int2:id="6GV6HGH7">
      <int2:state int2:type="AugLoop_Text_Critique" int2:value="Rejected"/>
    </int2:bookmark>
    <int2:bookmark int2:bookmarkName="_Int_gEARGE5R" int2:invalidationBookmarkName="" int2:hashCode="0lXQ0GySJQ8tJA" int2:id="LOzjNxol">
      <int2:state int2:type="AugLoop_Text_Critique" int2:value="Rejected"/>
    </int2:bookmark>
    <int2:bookmark int2:bookmarkName="_Int_JR01Vv0c" int2:invalidationBookmarkName="" int2:hashCode="e0dMsLOcF3PXGS" int2:id="F80v08ZH">
      <int2:state int2:type="AugLoop_Text_Critique" int2:value="Rejected"/>
    </int2:bookmark>
    <int2:bookmark int2:bookmarkName="_Int_9dFMuiQV" int2:invalidationBookmarkName="" int2:hashCode="W5Z4vmu9anL2GF" int2:id="ScJi0t6y">
      <int2:state int2:type="AugLoop_Text_Critique" int2:value="Rejected"/>
    </int2:bookmark>
    <int2:bookmark int2:bookmarkName="_Int_IFXJVKrA" int2:invalidationBookmarkName="" int2:hashCode="e0dMsLOcF3PXGS" int2:id="R23jMKiK">
      <int2:state int2:type="AugLoop_Text_Critique" int2:value="Rejected"/>
    </int2:bookmark>
    <int2:bookmark int2:bookmarkName="_Int_dzARw7dr" int2:invalidationBookmarkName="" int2:hashCode="e0dMsLOcF3PXGS" int2:id="9YEviRyM">
      <int2:state int2:type="AugLoop_Text_Critique" int2:value="Rejected"/>
    </int2:bookmark>
    <int2:bookmark int2:bookmarkName="_Int_8w7O0to1" int2:invalidationBookmarkName="" int2:hashCode="vRaZnLtxr83bwA" int2:id="iMgYrAEr">
      <int2:state int2:type="AugLoop_Text_Critique" int2:value="Rejected"/>
    </int2:bookmark>
    <int2:bookmark int2:bookmarkName="_Int_2hRTQapu" int2:invalidationBookmarkName="" int2:hashCode="af2yLWATS+riUZ" int2:id="eNQ0mj4m">
      <int2:state int2:type="AugLoop_Text_Critique" int2:value="Rejected"/>
    </int2:bookmark>
    <int2:bookmark int2:bookmarkName="_Int_HvRmtAvc" int2:invalidationBookmarkName="" int2:hashCode="55a7U+UhfZjXix" int2:id="YzPSaNEo">
      <int2:state int2:type="AugLoop_Text_Critique" int2:value="Rejected"/>
    </int2:bookmark>
    <int2:bookmark int2:bookmarkName="_Int_5Rf8vVGB" int2:invalidationBookmarkName="" int2:hashCode="DIOaWUOZSj57hA" int2:id="zu85VST9">
      <int2:state int2:type="AugLoop_Text_Critique" int2:value="Rejected"/>
    </int2:bookmark>
    <int2:bookmark int2:bookmarkName="_Int_Xht3KOGw" int2:invalidationBookmarkName="" int2:hashCode="af2yLWATS+riUZ" int2:id="nnpS1UDp">
      <int2:state int2:type="AugLoop_Text_Critique" int2:value="Rejected"/>
    </int2:bookmark>
    <int2:bookmark int2:bookmarkName="_Int_WRNxQN5d" int2:invalidationBookmarkName="" int2:hashCode="af2yLWATS+riUZ" int2:id="p3BAigNE">
      <int2:state int2:type="AugLoop_Text_Critique" int2:value="Rejected"/>
    </int2:bookmark>
    <int2:bookmark int2:bookmarkName="_Int_y9e4VRtJ" int2:invalidationBookmarkName="" int2:hashCode="af2yLWATS+riUZ" int2:id="vvd3xaGb">
      <int2:state int2:type="AugLoop_Text_Critique" int2:value="Rejected"/>
    </int2:bookmark>
    <int2:bookmark int2:bookmarkName="_Int_DuPeOivE" int2:invalidationBookmarkName="" int2:hashCode="wvj0MfXCOlr6oa" int2:id="9jXgXnT2">
      <int2:state int2:type="AugLoop_Text_Critique" int2:value="Rejected"/>
    </int2:bookmark>
    <int2:entireDocument int2:id="KWfgQmUE">
      <int2:extLst>
        <oel:ext uri="E302BA01-7950-474C-9AD3-286E660C40A8">
          <int2:similaritySummary int2:version="1" int2:runId="1678396395146" int2:tilesCheckedInThisRun="17" int2:totalNumOfTiles="28" int2:similarityAnnotationCount="2" int2:numWords="1991" int2:numFlaggedWords="25"/>
        </oel:ext>
      </int2:extLst>
    </int2:entireDocument>
  </int2:observations>
  <int2:intelligenceSettings/>
  <int2:onDemandWorkflows>
    <int2:onDemandWorkflow int2:type="SimilarityCheck" int2:paragraphVersions="3AAA0061-13AB0B5F 75C91AB4-3E4720EE 5FAFC7F5-31824F9B 5B855C06-44609EF8 7579DD8F-556C23D9 091A95FD-6CCF625E 2EAE7FE8-65AE4E2A 38DF0779-76FA48B7 10B48515-69C6277F 7F8CEA0E-433B29B7 340630ED-0CABD2E7 57B83619-351AB557 63B2381A-106027E7 1B2F98E2-323621C9 7E40637E-316DA207 2CE4B1BC-69F51B8D 1862A9A6-19BE19B9 03EA14C4-2BA1CA98 574AFF8F-120B8388 30D59F46-0A409278 1F68CA3D-53243BEC 04B9C15F-10CCFCC8 7E00C408-38FE5E32 703FF3BC-256C1673 4DDA5867-6A74A052 5188C9C6-0055A1BD 0866BF79-693C5B98 25458C62-7CF8E1B5 06160BE7-15EDD660 26F57A35-5D7551DC 2929DD00-1A980F96 2510FC7C-449C955C 3C696824-5C5DCA40 22598466-18A6DCD3 427071C0-3CFE13B2 41ABF832-3F807AE8 5E5787A5-398E3B7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41DD3C"/>
    <w:rsid w:val="006285C0"/>
    <w:rsid w:val="02161876"/>
    <w:rsid w:val="036279EE"/>
    <w:rsid w:val="04A2243C"/>
    <w:rsid w:val="054DB938"/>
    <w:rsid w:val="0835EB11"/>
    <w:rsid w:val="0C25A623"/>
    <w:rsid w:val="15416B5E"/>
    <w:rsid w:val="1A61EDC7"/>
    <w:rsid w:val="1D41DD3C"/>
    <w:rsid w:val="23216098"/>
    <w:rsid w:val="246CE8E8"/>
    <w:rsid w:val="2608B949"/>
    <w:rsid w:val="2B053677"/>
    <w:rsid w:val="2B08FF77"/>
    <w:rsid w:val="2BAED77C"/>
    <w:rsid w:val="2E42340E"/>
    <w:rsid w:val="2F0B609D"/>
    <w:rsid w:val="3486C381"/>
    <w:rsid w:val="36C66928"/>
    <w:rsid w:val="3BCC79F8"/>
    <w:rsid w:val="3CB8BE39"/>
    <w:rsid w:val="4220FCCD"/>
    <w:rsid w:val="467AED95"/>
    <w:rsid w:val="4A9B0BD4"/>
    <w:rsid w:val="4BE76D4C"/>
    <w:rsid w:val="4FB8EE04"/>
    <w:rsid w:val="58ACC7F7"/>
    <w:rsid w:val="58FC36E0"/>
    <w:rsid w:val="5A8E5990"/>
    <w:rsid w:val="5C67F3D0"/>
    <w:rsid w:val="63474E44"/>
    <w:rsid w:val="64C036CD"/>
    <w:rsid w:val="690285DB"/>
    <w:rsid w:val="691CE7C0"/>
    <w:rsid w:val="6DC48956"/>
    <w:rsid w:val="7077A477"/>
    <w:rsid w:val="786E7128"/>
    <w:rsid w:val="79E6A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1DD3C"/>
  <w15:chartTrackingRefBased/>
  <w15:docId w15:val="{28717F78-0AFB-42DD-A2A7-901C900A43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7dc969b21d44d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Sajid Khan (2229444)</dc:creator>
  <keywords/>
  <dc:description/>
  <lastModifiedBy>Sajid Khan (2229444)</lastModifiedBy>
  <revision>2</revision>
  <dcterms:created xsi:type="dcterms:W3CDTF">2023-03-09T11:52:55.5624613Z</dcterms:created>
  <dcterms:modified xsi:type="dcterms:W3CDTF">2023-03-09T21:14:02.2088741Z</dcterms:modified>
</coreProperties>
</file>