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094ACB" w:rsidRDefault="00094ACB">
      <w:pPr>
        <w:spacing w:before="240" w:after="240"/>
        <w:jc w:val="center"/>
        <w:rPr>
          <w:b/>
          <w:sz w:val="32"/>
          <w:szCs w:val="32"/>
        </w:rPr>
      </w:pPr>
    </w:p>
    <w:p w14:paraId="00000002" w14:textId="77777777" w:rsidR="00094ACB" w:rsidRDefault="00094ACB">
      <w:pPr>
        <w:spacing w:before="240" w:after="240"/>
        <w:jc w:val="center"/>
        <w:rPr>
          <w:b/>
          <w:sz w:val="32"/>
          <w:szCs w:val="32"/>
        </w:rPr>
      </w:pPr>
    </w:p>
    <w:p w14:paraId="00000003" w14:textId="77777777" w:rsidR="00094ACB" w:rsidRDefault="00094ACB">
      <w:pPr>
        <w:spacing w:before="240" w:after="240"/>
        <w:jc w:val="center"/>
        <w:rPr>
          <w:b/>
          <w:sz w:val="32"/>
          <w:szCs w:val="32"/>
        </w:rPr>
      </w:pPr>
    </w:p>
    <w:p w14:paraId="00000004" w14:textId="77777777" w:rsidR="00094ACB" w:rsidRDefault="00094ACB">
      <w:pPr>
        <w:spacing w:before="240" w:after="240"/>
        <w:jc w:val="center"/>
        <w:rPr>
          <w:b/>
          <w:sz w:val="32"/>
          <w:szCs w:val="32"/>
        </w:rPr>
      </w:pPr>
    </w:p>
    <w:p w14:paraId="00000005" w14:textId="77777777" w:rsidR="00094ACB" w:rsidRDefault="00094ACB">
      <w:pPr>
        <w:spacing w:before="240" w:after="240"/>
        <w:jc w:val="center"/>
        <w:rPr>
          <w:b/>
          <w:sz w:val="32"/>
          <w:szCs w:val="32"/>
        </w:rPr>
      </w:pPr>
    </w:p>
    <w:p w14:paraId="00000006" w14:textId="77777777" w:rsidR="00094ACB" w:rsidRDefault="00094ACB">
      <w:pPr>
        <w:spacing w:before="240" w:after="240"/>
        <w:jc w:val="center"/>
        <w:rPr>
          <w:b/>
          <w:sz w:val="32"/>
          <w:szCs w:val="32"/>
        </w:rPr>
      </w:pPr>
    </w:p>
    <w:p w14:paraId="00000007" w14:textId="77777777" w:rsidR="00094ACB" w:rsidRDefault="00094ACB">
      <w:pPr>
        <w:spacing w:before="240" w:after="240"/>
        <w:jc w:val="center"/>
        <w:rPr>
          <w:b/>
          <w:sz w:val="32"/>
          <w:szCs w:val="32"/>
        </w:rPr>
      </w:pPr>
    </w:p>
    <w:p w14:paraId="00000008" w14:textId="77777777" w:rsidR="00094ACB" w:rsidRDefault="00000000">
      <w:pPr>
        <w:spacing w:before="240" w:after="240"/>
        <w:jc w:val="center"/>
        <w:rPr>
          <w:b/>
          <w:sz w:val="32"/>
          <w:szCs w:val="32"/>
        </w:rPr>
      </w:pPr>
      <w:r>
        <w:rPr>
          <w:b/>
          <w:sz w:val="32"/>
          <w:szCs w:val="32"/>
        </w:rPr>
        <w:t>Criminal law</w:t>
      </w:r>
    </w:p>
    <w:p w14:paraId="00000009" w14:textId="77777777" w:rsidR="00094ACB" w:rsidRDefault="00000000">
      <w:pPr>
        <w:spacing w:before="240" w:after="240"/>
        <w:jc w:val="center"/>
        <w:rPr>
          <w:b/>
          <w:sz w:val="32"/>
          <w:szCs w:val="32"/>
        </w:rPr>
      </w:pPr>
      <w:r>
        <w:rPr>
          <w:b/>
          <w:sz w:val="32"/>
          <w:szCs w:val="32"/>
        </w:rPr>
        <w:t>Scenario question</w:t>
      </w:r>
      <w:r>
        <w:br w:type="page"/>
      </w:r>
    </w:p>
    <w:p w14:paraId="38545760" w14:textId="405FA561" w:rsidR="00B4668F" w:rsidRDefault="00B4668F" w:rsidP="00B4668F">
      <w:pPr>
        <w:tabs>
          <w:tab w:val="right" w:pos="9025"/>
        </w:tabs>
        <w:spacing w:before="80"/>
        <w:rPr>
          <w:sz w:val="44"/>
          <w:szCs w:val="44"/>
        </w:rPr>
      </w:pPr>
      <w:r>
        <w:rPr>
          <w:sz w:val="44"/>
          <w:szCs w:val="44"/>
        </w:rPr>
        <w:lastRenderedPageBreak/>
        <w:t xml:space="preserve">ARITIA PETRUTA POPESCU </w:t>
      </w:r>
    </w:p>
    <w:p w14:paraId="30585294" w14:textId="4BB64B51" w:rsidR="00B4668F" w:rsidRDefault="00B4668F" w:rsidP="00B4668F">
      <w:pPr>
        <w:tabs>
          <w:tab w:val="right" w:pos="9025"/>
        </w:tabs>
        <w:spacing w:before="80"/>
      </w:pPr>
      <w:r>
        <w:rPr>
          <w:sz w:val="44"/>
          <w:szCs w:val="44"/>
        </w:rPr>
        <w:t>(2217111)</w:t>
      </w:r>
    </w:p>
    <w:sdt>
      <w:sdtPr>
        <w:id w:val="120887546"/>
        <w:docPartObj>
          <w:docPartGallery w:val="Table of Contents"/>
          <w:docPartUnique/>
        </w:docPartObj>
      </w:sdtPr>
      <w:sdtContent>
        <w:p w14:paraId="00000012" w14:textId="7939C555" w:rsidR="00B4668F" w:rsidRDefault="00B4668F" w:rsidP="00B4668F">
          <w:pPr>
            <w:tabs>
              <w:tab w:val="right" w:pos="9025"/>
            </w:tabs>
            <w:spacing w:before="80"/>
          </w:pPr>
        </w:p>
        <w:p w14:paraId="00000013" w14:textId="5A3CAEF6" w:rsidR="00094ACB" w:rsidRDefault="00000000">
          <w:pPr>
            <w:tabs>
              <w:tab w:val="right" w:pos="9025"/>
            </w:tabs>
            <w:spacing w:before="200" w:after="80"/>
            <w:rPr>
              <w:color w:val="000000"/>
              <w:sz w:val="24"/>
              <w:szCs w:val="24"/>
            </w:rPr>
          </w:pPr>
        </w:p>
      </w:sdtContent>
    </w:sdt>
    <w:p w14:paraId="00000014" w14:textId="77777777" w:rsidR="00094ACB" w:rsidRDefault="00094ACB">
      <w:pPr>
        <w:rPr>
          <w:sz w:val="24"/>
          <w:szCs w:val="24"/>
        </w:rPr>
      </w:pPr>
    </w:p>
    <w:p w14:paraId="00000015" w14:textId="77777777" w:rsidR="00094ACB" w:rsidRDefault="00000000">
      <w:pPr>
        <w:spacing w:before="240" w:after="240"/>
        <w:jc w:val="center"/>
        <w:rPr>
          <w:b/>
        </w:rPr>
      </w:pPr>
      <w:r>
        <w:br w:type="page"/>
      </w:r>
    </w:p>
    <w:p w14:paraId="35C5E5D8" w14:textId="5C67C2F8" w:rsidR="00B4668F" w:rsidRDefault="00B4668F">
      <w:pPr>
        <w:spacing w:before="240" w:after="240"/>
        <w:rPr>
          <w:sz w:val="32"/>
          <w:szCs w:val="32"/>
        </w:rPr>
      </w:pPr>
      <w:bookmarkStart w:id="0" w:name="_heading=h.gjdgxs" w:colFirst="0" w:colLast="0"/>
      <w:bookmarkStart w:id="1" w:name="_heading=h.30j0zll" w:colFirst="0" w:colLast="0"/>
      <w:bookmarkEnd w:id="0"/>
      <w:bookmarkEnd w:id="1"/>
      <w:r>
        <w:rPr>
          <w:sz w:val="32"/>
          <w:szCs w:val="32"/>
        </w:rPr>
        <w:lastRenderedPageBreak/>
        <w:t>Part A</w:t>
      </w:r>
    </w:p>
    <w:p w14:paraId="00000018" w14:textId="3AD5C3D0" w:rsidR="00094ACB" w:rsidRDefault="00000000">
      <w:pPr>
        <w:spacing w:before="240" w:after="240"/>
        <w:rPr>
          <w:sz w:val="24"/>
          <w:szCs w:val="24"/>
        </w:rPr>
      </w:pPr>
      <w:r w:rsidRPr="00B4668F">
        <w:rPr>
          <w:sz w:val="32"/>
          <w:szCs w:val="32"/>
        </w:rPr>
        <w:t>A</w:t>
      </w:r>
      <w:r>
        <w:rPr>
          <w:sz w:val="24"/>
          <w:szCs w:val="24"/>
        </w:rPr>
        <w:t xml:space="preserve">ny activity that can be legally termed as “criminal” is a serious offence and the doer can be criminally liable. In the English Legal system, criminal law efficiently identifies different criminal offences </w:t>
      </w:r>
      <w:r w:rsidR="00B4668F">
        <w:rPr>
          <w:sz w:val="24"/>
          <w:szCs w:val="24"/>
        </w:rPr>
        <w:t>and</w:t>
      </w:r>
      <w:r>
        <w:rPr>
          <w:sz w:val="24"/>
          <w:szCs w:val="24"/>
        </w:rPr>
        <w:t xml:space="preserve"> suggests the rules, </w:t>
      </w:r>
      <w:r w:rsidR="00B4668F">
        <w:rPr>
          <w:sz w:val="24"/>
          <w:szCs w:val="24"/>
        </w:rPr>
        <w:t>regulations,</w:t>
      </w:r>
      <w:r>
        <w:rPr>
          <w:sz w:val="24"/>
          <w:szCs w:val="24"/>
        </w:rPr>
        <w:t xml:space="preserve"> and legal procedures applicable against a criminal offence (Lawsociety, 2023). The portfolio here aims to analyse and evaluate the given scenarios of Hadley. In the English legal system, different types of criminal offences can be dishonesty offences, offences against property, </w:t>
      </w:r>
      <w:r w:rsidR="00B4668F">
        <w:rPr>
          <w:sz w:val="24"/>
          <w:szCs w:val="24"/>
        </w:rPr>
        <w:t>violence,</w:t>
      </w:r>
      <w:r>
        <w:rPr>
          <w:sz w:val="24"/>
          <w:szCs w:val="24"/>
        </w:rPr>
        <w:t xml:space="preserve"> and others (Lawsociety, 2023). Application of criminal law in the scenario will identify the offences made by Hadley which are criminally liable and legally enforced by different acts and regulations.</w:t>
      </w:r>
    </w:p>
    <w:p w14:paraId="0000001B" w14:textId="406456B7" w:rsidR="00094ACB" w:rsidRDefault="00000000">
      <w:pPr>
        <w:spacing w:before="240" w:after="240"/>
        <w:rPr>
          <w:sz w:val="24"/>
          <w:szCs w:val="24"/>
        </w:rPr>
      </w:pPr>
      <w:bookmarkStart w:id="2" w:name="_heading=h.1fob9te" w:colFirst="0" w:colLast="0"/>
      <w:bookmarkEnd w:id="2"/>
      <w:r>
        <w:rPr>
          <w:sz w:val="24"/>
          <w:szCs w:val="24"/>
        </w:rPr>
        <w:t xml:space="preserve">By </w:t>
      </w:r>
      <w:r w:rsidR="00B4668F">
        <w:rPr>
          <w:sz w:val="24"/>
          <w:szCs w:val="24"/>
        </w:rPr>
        <w:t>assessing the</w:t>
      </w:r>
      <w:r>
        <w:rPr>
          <w:sz w:val="24"/>
          <w:szCs w:val="24"/>
        </w:rPr>
        <w:t xml:space="preserve"> given </w:t>
      </w:r>
      <w:r w:rsidR="00B4668F">
        <w:rPr>
          <w:sz w:val="24"/>
          <w:szCs w:val="24"/>
        </w:rPr>
        <w:t>scenario, it</w:t>
      </w:r>
      <w:r>
        <w:rPr>
          <w:sz w:val="24"/>
          <w:szCs w:val="24"/>
        </w:rPr>
        <w:t xml:space="preserve"> can be observed that Hadley has committed a series of activities driven by emotional hatred towards the attitude of Ronan. The criminal justice system in the UK aims to make sure that the prosecution of the right person (Cps, 2023). From the analysis of the given scenario, it can be observed that while Ronan was flaunting the “Bucci trainers”, Hadley overheard and expressed the tendency of stealing the same. Hence, according to Legislation (2023), this act can be considered to be a “mens rea” component of a crime indicating the thought of committing a theft which is regarded as a criminal offence under the English legal system. </w:t>
      </w:r>
    </w:p>
    <w:p w14:paraId="0000001C" w14:textId="7247BB35" w:rsidR="00094ACB" w:rsidRDefault="00B4668F">
      <w:pPr>
        <w:spacing w:before="240" w:after="240"/>
        <w:rPr>
          <w:sz w:val="24"/>
          <w:szCs w:val="24"/>
        </w:rPr>
      </w:pPr>
      <w:r>
        <w:rPr>
          <w:sz w:val="24"/>
          <w:szCs w:val="24"/>
        </w:rPr>
        <w:t>Moreover,</w:t>
      </w:r>
      <w:r w:rsidR="00000000">
        <w:rPr>
          <w:sz w:val="24"/>
          <w:szCs w:val="24"/>
        </w:rPr>
        <w:t xml:space="preserve"> Part I section 1(2) of the </w:t>
      </w:r>
      <w:r w:rsidR="00000000">
        <w:rPr>
          <w:b/>
          <w:i/>
          <w:sz w:val="24"/>
          <w:szCs w:val="24"/>
        </w:rPr>
        <w:t>“Criminal Attempts Act 1981”</w:t>
      </w:r>
      <w:r w:rsidR="00000000">
        <w:rPr>
          <w:sz w:val="24"/>
          <w:szCs w:val="24"/>
        </w:rPr>
        <w:t xml:space="preserve"> states that a person is guilty of making an attempt for committing an offence even if the offence has little possibility of happening. In the case of Hadley also, the scenario indicates that he attempted to steal the “Bucci trainers” belonging to Ronan and trespassed his property with this intention. Hence, even if the activity of stealing the “Bucci trainers” did not ultimately happen, Hadley is criminally liable for attempting to do the same under section 1 (2) of the </w:t>
      </w:r>
      <w:r w:rsidR="00000000">
        <w:rPr>
          <w:b/>
          <w:i/>
          <w:sz w:val="24"/>
          <w:szCs w:val="24"/>
        </w:rPr>
        <w:t>“Criminal Attempts Act 1981”</w:t>
      </w:r>
      <w:r w:rsidR="00000000">
        <w:rPr>
          <w:sz w:val="24"/>
          <w:szCs w:val="24"/>
        </w:rPr>
        <w:t xml:space="preserve">. On the other hand, the case of </w:t>
      </w:r>
      <w:r w:rsidR="00000000" w:rsidRPr="00B4668F">
        <w:rPr>
          <w:b/>
          <w:bCs/>
          <w:i/>
          <w:iCs/>
          <w:sz w:val="24"/>
          <w:szCs w:val="24"/>
        </w:rPr>
        <w:t>Samuels v Stubbs [1972</w:t>
      </w:r>
      <w:r w:rsidRPr="00B4668F">
        <w:rPr>
          <w:b/>
          <w:bCs/>
          <w:i/>
          <w:iCs/>
          <w:sz w:val="24"/>
          <w:szCs w:val="24"/>
        </w:rPr>
        <w:t>]</w:t>
      </w:r>
      <w:r w:rsidRPr="00B4668F">
        <w:rPr>
          <w:i/>
          <w:iCs/>
          <w:sz w:val="24"/>
          <w:szCs w:val="24"/>
        </w:rPr>
        <w:t xml:space="preserve"> </w:t>
      </w:r>
      <w:r>
        <w:rPr>
          <w:sz w:val="24"/>
          <w:szCs w:val="24"/>
        </w:rPr>
        <w:t>can</w:t>
      </w:r>
      <w:r w:rsidR="00000000">
        <w:rPr>
          <w:sz w:val="24"/>
          <w:szCs w:val="24"/>
        </w:rPr>
        <w:t xml:space="preserve"> be considered to analyse the activities of Hadley.  Moreover, the scenario also represents that Hadley caused a fire in the bin by pourings aftershave. The act of setting fire could have led to property damage and injury. In this case, it was stated that offences leading to injury, harm, damage to property, mischief and others are considered actions leading to the offence (E-lawresources, 2023). In relation to this, it can be considered that due to causing damage to the property of others, Hadley is criminally liable in reference to the case law </w:t>
      </w:r>
      <w:r w:rsidR="00000000" w:rsidRPr="00B4668F">
        <w:rPr>
          <w:b/>
          <w:bCs/>
          <w:i/>
          <w:iCs/>
          <w:sz w:val="24"/>
          <w:szCs w:val="24"/>
        </w:rPr>
        <w:t>Samuels v Stubbs [1972</w:t>
      </w:r>
      <w:r w:rsidRPr="00B4668F">
        <w:rPr>
          <w:b/>
          <w:bCs/>
          <w:sz w:val="24"/>
          <w:szCs w:val="24"/>
        </w:rPr>
        <w:t>].</w:t>
      </w:r>
    </w:p>
    <w:p w14:paraId="0000001D" w14:textId="77777777" w:rsidR="00094ACB" w:rsidRDefault="00000000">
      <w:pPr>
        <w:spacing w:before="240" w:after="240"/>
        <w:rPr>
          <w:sz w:val="24"/>
          <w:szCs w:val="24"/>
        </w:rPr>
      </w:pPr>
      <w:r>
        <w:rPr>
          <w:sz w:val="24"/>
          <w:szCs w:val="24"/>
        </w:rPr>
        <w:lastRenderedPageBreak/>
        <w:t xml:space="preserve">Moreover, according to the </w:t>
      </w:r>
      <w:r>
        <w:rPr>
          <w:b/>
          <w:i/>
          <w:sz w:val="24"/>
          <w:szCs w:val="24"/>
        </w:rPr>
        <w:t>“Theft Act 1986”</w:t>
      </w:r>
      <w:r>
        <w:rPr>
          <w:sz w:val="24"/>
          <w:szCs w:val="24"/>
        </w:rPr>
        <w:t>, the intention and action of obtaining the property of others are also criminally liable (</w:t>
      </w:r>
      <w:r w:rsidRPr="00B4668F">
        <w:rPr>
          <w:i/>
          <w:iCs/>
          <w:sz w:val="24"/>
          <w:szCs w:val="24"/>
        </w:rPr>
        <w:t>Legislation, 2023</w:t>
      </w:r>
      <w:r>
        <w:rPr>
          <w:sz w:val="24"/>
          <w:szCs w:val="24"/>
        </w:rPr>
        <w:t xml:space="preserve">). By analysing the scenario of Hadley, it can be considered that he committed the act of stealing a “Kolex watch” belonging to Ronan. Hence, it can be considered to be the deceptive act of acquiring the property of others through stealing. This particular activity makes Hadley criminally liable under section 1 (1) of the </w:t>
      </w:r>
      <w:r>
        <w:rPr>
          <w:b/>
          <w:i/>
          <w:sz w:val="24"/>
          <w:szCs w:val="24"/>
        </w:rPr>
        <w:t>“Theft Act 1968”</w:t>
      </w:r>
      <w:r>
        <w:rPr>
          <w:sz w:val="24"/>
          <w:szCs w:val="24"/>
        </w:rPr>
        <w:t xml:space="preserve">. According to section 9 of the </w:t>
      </w:r>
      <w:r>
        <w:rPr>
          <w:b/>
          <w:i/>
          <w:sz w:val="24"/>
          <w:szCs w:val="24"/>
        </w:rPr>
        <w:t>“Theft Act 1968”</w:t>
      </w:r>
      <w:r>
        <w:rPr>
          <w:sz w:val="24"/>
          <w:szCs w:val="24"/>
        </w:rPr>
        <w:t>, when a person enters a building belonging to another person without the consent of the owner and also without letting the owner know and the condition of stealing or attempt to theft persists, “burglary” is said to be committed (Legislation, 2023). In the considered scenario, it can be observed that Hadley has trespassed into Ronan’s house with the intention to steal. He made attempts to steal the “bucci trainers” of Ronan. However, the act was actually accomplished with “kolex watch”. Hence, in this context, Hadley can be treated as criminally liable for “burglary” according to section 9 of the</w:t>
      </w:r>
      <w:r>
        <w:rPr>
          <w:b/>
          <w:i/>
          <w:sz w:val="24"/>
          <w:szCs w:val="24"/>
        </w:rPr>
        <w:t xml:space="preserve"> “Theft Act 1968”</w:t>
      </w:r>
      <w:r>
        <w:rPr>
          <w:sz w:val="24"/>
          <w:szCs w:val="24"/>
        </w:rPr>
        <w:t xml:space="preserve"> as mentioned above. On the other hand, according to chapter 48 section 1 of the </w:t>
      </w:r>
      <w:r>
        <w:rPr>
          <w:b/>
          <w:i/>
          <w:sz w:val="24"/>
          <w:szCs w:val="24"/>
        </w:rPr>
        <w:t>“Criminal Damage Act 1971”</w:t>
      </w:r>
      <w:r>
        <w:rPr>
          <w:sz w:val="24"/>
          <w:szCs w:val="24"/>
        </w:rPr>
        <w:t xml:space="preserve">, causing damage to another’s property in an unlawful manner leads to the committer being criminally liable for damaging property (Lefgislation, 2023). In the considered scenario of Hadley and Ronan, it can be noted that Hadley has caused damage to property of Ronan by setting fire to the house. It has made Hadley criminal liable for causing damage to property under chapter 48 section 1 of the </w:t>
      </w:r>
      <w:r>
        <w:rPr>
          <w:b/>
          <w:i/>
          <w:sz w:val="24"/>
          <w:szCs w:val="24"/>
        </w:rPr>
        <w:t>“Criminal Damage Act 1971”</w:t>
      </w:r>
      <w:r>
        <w:rPr>
          <w:sz w:val="24"/>
          <w:szCs w:val="24"/>
        </w:rPr>
        <w:t xml:space="preserve"> as mentioned earlier.</w:t>
      </w:r>
    </w:p>
    <w:p w14:paraId="0000001F" w14:textId="2E65C8CF" w:rsidR="00094ACB" w:rsidRDefault="00000000">
      <w:pPr>
        <w:spacing w:before="240" w:after="240"/>
        <w:rPr>
          <w:sz w:val="24"/>
          <w:szCs w:val="24"/>
        </w:rPr>
      </w:pPr>
      <w:bookmarkStart w:id="3" w:name="_heading=h.3ic07swi2ihc" w:colFirst="0" w:colLast="0"/>
      <w:bookmarkEnd w:id="3"/>
      <w:r>
        <w:rPr>
          <w:sz w:val="24"/>
          <w:szCs w:val="24"/>
        </w:rPr>
        <w:t xml:space="preserve">The analysis of the given scenario about Hadley has primarily shown that as per the description, Hadley can be accused of several criminal offences. The acts that have been found to be the base of the criminal liabilities are the </w:t>
      </w:r>
      <w:r>
        <w:rPr>
          <w:b/>
          <w:i/>
          <w:sz w:val="24"/>
          <w:szCs w:val="24"/>
        </w:rPr>
        <w:t>“Criminal Damage Act 1971”</w:t>
      </w:r>
      <w:r>
        <w:rPr>
          <w:sz w:val="24"/>
          <w:szCs w:val="24"/>
        </w:rPr>
        <w:t xml:space="preserve">, the </w:t>
      </w:r>
      <w:r>
        <w:rPr>
          <w:b/>
          <w:i/>
          <w:sz w:val="24"/>
          <w:szCs w:val="24"/>
        </w:rPr>
        <w:t>“Theft Act 1968”</w:t>
      </w:r>
      <w:r>
        <w:rPr>
          <w:sz w:val="24"/>
          <w:szCs w:val="24"/>
        </w:rPr>
        <w:t xml:space="preserve"> and the </w:t>
      </w:r>
      <w:r>
        <w:rPr>
          <w:b/>
          <w:i/>
          <w:sz w:val="24"/>
          <w:szCs w:val="24"/>
        </w:rPr>
        <w:t>“Criminal Attempts Act 1981”</w:t>
      </w:r>
      <w:r>
        <w:rPr>
          <w:sz w:val="24"/>
          <w:szCs w:val="24"/>
        </w:rPr>
        <w:t xml:space="preserve">. The possible crimes that have been found to be imposed on Hadley are theft, </w:t>
      </w:r>
      <w:r w:rsidR="00B4668F">
        <w:rPr>
          <w:sz w:val="24"/>
          <w:szCs w:val="24"/>
        </w:rPr>
        <w:t>burglary,</w:t>
      </w:r>
      <w:r>
        <w:rPr>
          <w:sz w:val="24"/>
          <w:szCs w:val="24"/>
        </w:rPr>
        <w:t xml:space="preserve"> and criminal damage.</w:t>
      </w:r>
    </w:p>
    <w:p w14:paraId="00000020" w14:textId="77777777" w:rsidR="00094ACB" w:rsidRDefault="00000000">
      <w:pPr>
        <w:pStyle w:val="Heading1"/>
      </w:pPr>
      <w:bookmarkStart w:id="4" w:name="_heading=h.2et92p0" w:colFirst="0" w:colLast="0"/>
      <w:bookmarkEnd w:id="4"/>
      <w:r>
        <w:t>Part B</w:t>
      </w:r>
    </w:p>
    <w:p w14:paraId="00000022" w14:textId="77777777" w:rsidR="00094ACB" w:rsidRDefault="00000000">
      <w:bookmarkStart w:id="5" w:name="_heading=h.tyjcwt" w:colFirst="0" w:colLast="0"/>
      <w:bookmarkEnd w:id="5"/>
      <w:r>
        <w:t>The term “intoxication” refers to the state of inebriation of something, especially by alcohol. In this state, the influence on both physical and mental states is considered. On the other hand, “automatism” represents any action committed by a person in an unconscious state due to some reason like intoxication. In the given scenario, Freya has been charged under section 47 of the</w:t>
      </w:r>
      <w:r>
        <w:rPr>
          <w:b/>
          <w:i/>
        </w:rPr>
        <w:t xml:space="preserve"> “Offences Against the Person Act 1861”</w:t>
      </w:r>
      <w:r>
        <w:t>. It is an act in the English legal system that presents legislation regarding an offence against a person. The discussion aims to analyse the scenario of Freya in defence of Freya.</w:t>
      </w:r>
    </w:p>
    <w:p w14:paraId="00000024" w14:textId="13AF7B2A" w:rsidR="00094ACB" w:rsidRDefault="00000000">
      <w:pPr>
        <w:spacing w:before="240" w:after="240"/>
        <w:rPr>
          <w:b/>
          <w:sz w:val="24"/>
          <w:szCs w:val="24"/>
        </w:rPr>
      </w:pPr>
      <w:bookmarkStart w:id="6" w:name="_heading=h.3dy6vkm" w:colFirst="0" w:colLast="0"/>
      <w:bookmarkEnd w:id="6"/>
      <w:r>
        <w:rPr>
          <w:b/>
          <w:sz w:val="24"/>
          <w:szCs w:val="24"/>
        </w:rPr>
        <w:t>”</w:t>
      </w:r>
    </w:p>
    <w:p w14:paraId="00000025" w14:textId="77777777" w:rsidR="00094ACB" w:rsidRDefault="00000000">
      <w:pPr>
        <w:rPr>
          <w:sz w:val="24"/>
          <w:szCs w:val="24"/>
        </w:rPr>
      </w:pPr>
      <w:r>
        <w:rPr>
          <w:sz w:val="24"/>
          <w:szCs w:val="24"/>
        </w:rPr>
        <w:lastRenderedPageBreak/>
        <w:t>The given scenario presented that Freya and Nicky had attended the party and consumed a significant amount of alcoholic drinks. On returning after the party, Freya had a seizure and Mike, the “person” was called for help. In this condition, Freya punched Mike. Under the discussion of criminal law, “automatism” can be found to be the involuntary actions of a person while being in a state of unconsciousness due to some specific reasons. In automatism, both physical and mental actions are considered to be involuntary. The accused Freya was diagnosed with epilepsy in childhood and did not have a seizure. From various studies, it is observed that seizures from epilepsy lead to a condition of automatism (</w:t>
      </w:r>
      <w:r>
        <w:rPr>
          <w:color w:val="222222"/>
          <w:sz w:val="24"/>
          <w:szCs w:val="24"/>
          <w:highlight w:val="white"/>
        </w:rPr>
        <w:t xml:space="preserve">Abarrategui </w:t>
      </w:r>
      <w:r>
        <w:rPr>
          <w:i/>
          <w:color w:val="222222"/>
          <w:sz w:val="24"/>
          <w:szCs w:val="24"/>
          <w:highlight w:val="white"/>
        </w:rPr>
        <w:t xml:space="preserve">et al., </w:t>
      </w:r>
      <w:r>
        <w:rPr>
          <w:color w:val="222222"/>
          <w:sz w:val="24"/>
          <w:szCs w:val="24"/>
          <w:highlight w:val="white"/>
        </w:rPr>
        <w:t>2021</w:t>
      </w:r>
      <w:r>
        <w:rPr>
          <w:sz w:val="24"/>
          <w:szCs w:val="24"/>
        </w:rPr>
        <w:t xml:space="preserve">). Hence, the condition of Freya being under automatism is clinically supported. </w:t>
      </w:r>
    </w:p>
    <w:p w14:paraId="00000026" w14:textId="77777777" w:rsidR="00094ACB" w:rsidRDefault="00000000">
      <w:pPr>
        <w:rPr>
          <w:sz w:val="24"/>
          <w:szCs w:val="24"/>
        </w:rPr>
      </w:pPr>
      <w:r>
        <w:rPr>
          <w:sz w:val="24"/>
          <w:szCs w:val="24"/>
        </w:rPr>
        <w:t>On the other hand, the defendant Freya along with Nicky consumed a significant amount of alcohol which supports the fact of Freya was in an intoxicated state. Along with this after the party, Freya also started vomiting and was experiencing seizures. In this situation, Freya punched Mike which can be regarded to have the purpose of protection of oneself under a state of unconsciousness due to intoxication. The analysis of the situation leads to the identification of the absence of the intention of crime or “mens rea” which is one of the two constituting elements of a crime (Legislation, 2023). In this context, it can be perceived that the lack of “mens rea” in Freya represents that the action of punching to cause any harm was not the original intention of Freya. “Sane automatism” is also associated with this condition.</w:t>
      </w:r>
    </w:p>
    <w:p w14:paraId="00000027" w14:textId="77777777" w:rsidR="00094ACB" w:rsidRDefault="00000000">
      <w:pPr>
        <w:rPr>
          <w:sz w:val="24"/>
          <w:szCs w:val="24"/>
        </w:rPr>
      </w:pPr>
      <w:r>
        <w:rPr>
          <w:sz w:val="24"/>
          <w:szCs w:val="24"/>
        </w:rPr>
        <w:t>Moreover, it can also be observed that a person under the influence of the condition “self-induced intoxication” is not criminally liable for the actions due to the fact that under such circumstances the movements and actions of the persons become involuntary (</w:t>
      </w:r>
      <w:r>
        <w:rPr>
          <w:color w:val="222222"/>
          <w:sz w:val="24"/>
          <w:szCs w:val="24"/>
          <w:highlight w:val="white"/>
        </w:rPr>
        <w:t>Cps, 2023)</w:t>
      </w:r>
      <w:r>
        <w:rPr>
          <w:sz w:val="24"/>
          <w:szCs w:val="24"/>
        </w:rPr>
        <w:t xml:space="preserve">. However, in the context of the given scenario, it can be observed that only intoxication is not the defence of Freya as voluntary intoxication or being intoxicated with consent is the case of Freya. The seizures due arising in the intoxicated state led to the act of automatism and accomplished the damage to Mike. The case </w:t>
      </w:r>
      <w:r>
        <w:rPr>
          <w:i/>
          <w:sz w:val="24"/>
          <w:szCs w:val="24"/>
        </w:rPr>
        <w:t>“R vs Whoolley (unreported)”</w:t>
      </w:r>
      <w:r>
        <w:rPr>
          <w:sz w:val="24"/>
          <w:szCs w:val="24"/>
        </w:rPr>
        <w:t xml:space="preserve"> can be considered in this context. In this case law, it was found that the driver lost control of the vehicle due to being in a state of automatism because of sneezing. The actual intention of crime was not present (E-lawresources, 2023). In accordance with this, the defendant Freya can defend herself by highlighting the state of automatism caused due to seizure of epilepsy. Section 47 of the</w:t>
      </w:r>
      <w:r>
        <w:rPr>
          <w:b/>
          <w:i/>
          <w:sz w:val="24"/>
          <w:szCs w:val="24"/>
        </w:rPr>
        <w:t xml:space="preserve"> “Offences Against the Person Act 1861”</w:t>
      </w:r>
      <w:r>
        <w:rPr>
          <w:sz w:val="24"/>
          <w:szCs w:val="24"/>
        </w:rPr>
        <w:t xml:space="preserve"> states that proving the intention of crime is necessary by the accuser to turn a person criminally liable (Legislation, 2023). Freya will be able to defend herself based on the regulations regarding intoxication and automatism. The primary factor that is to be highlighted by Freya is the automatism caused due to epileptic seizures.</w:t>
      </w:r>
    </w:p>
    <w:p w14:paraId="00000029" w14:textId="77777777" w:rsidR="00094ACB" w:rsidRDefault="00000000">
      <w:bookmarkStart w:id="7" w:name="_heading=h.1t3h5sf" w:colFirst="0" w:colLast="0"/>
      <w:bookmarkEnd w:id="7"/>
      <w:r>
        <w:rPr>
          <w:sz w:val="24"/>
          <w:szCs w:val="24"/>
        </w:rPr>
        <w:lastRenderedPageBreak/>
        <w:t xml:space="preserve">The discussion has focused on identifying the defences in the context of the given scenario. The analysis of the situation and incident involving Freya has shown that the defence can be based on the conditions of automatism. Section 47 of the </w:t>
      </w:r>
      <w:r>
        <w:rPr>
          <w:b/>
          <w:i/>
          <w:sz w:val="24"/>
          <w:szCs w:val="24"/>
        </w:rPr>
        <w:t>“Offences Against the Person Act 1861”</w:t>
      </w:r>
      <w:r>
        <w:rPr>
          <w:sz w:val="24"/>
          <w:szCs w:val="24"/>
        </w:rPr>
        <w:t xml:space="preserve"> has been discussed and the possible defences have been analysed.</w:t>
      </w:r>
      <w:r>
        <w:br w:type="page"/>
      </w:r>
    </w:p>
    <w:p w14:paraId="0000002A" w14:textId="77777777" w:rsidR="00094ACB" w:rsidRDefault="00000000">
      <w:pPr>
        <w:pStyle w:val="Heading1"/>
      </w:pPr>
      <w:bookmarkStart w:id="8" w:name="_heading=h.4d34og8" w:colFirst="0" w:colLast="0"/>
      <w:bookmarkEnd w:id="8"/>
      <w:r>
        <w:lastRenderedPageBreak/>
        <w:t xml:space="preserve">References </w:t>
      </w:r>
    </w:p>
    <w:p w14:paraId="0000002B" w14:textId="0ABB9293" w:rsidR="00094ACB" w:rsidRDefault="00000000">
      <w:pPr>
        <w:spacing w:after="200"/>
        <w:rPr>
          <w:sz w:val="24"/>
          <w:szCs w:val="24"/>
        </w:rPr>
      </w:pPr>
      <w:r>
        <w:rPr>
          <w:i/>
          <w:sz w:val="24"/>
          <w:szCs w:val="24"/>
        </w:rPr>
        <w:t>Samuels v Stubbs [1972] 4 SASR 200</w:t>
      </w:r>
    </w:p>
    <w:p w14:paraId="0000002C" w14:textId="77777777" w:rsidR="00094ACB" w:rsidRDefault="00000000">
      <w:pPr>
        <w:spacing w:after="200"/>
        <w:rPr>
          <w:sz w:val="24"/>
          <w:szCs w:val="24"/>
        </w:rPr>
      </w:pPr>
      <w:r>
        <w:rPr>
          <w:sz w:val="24"/>
          <w:szCs w:val="24"/>
        </w:rPr>
        <w:t xml:space="preserve">Lawsociety. 2023. </w:t>
      </w:r>
      <w:r>
        <w:rPr>
          <w:i/>
          <w:sz w:val="24"/>
          <w:szCs w:val="24"/>
        </w:rPr>
        <w:t>Criminal law.</w:t>
      </w:r>
      <w:r>
        <w:rPr>
          <w:sz w:val="24"/>
          <w:szCs w:val="24"/>
        </w:rPr>
        <w:t xml:space="preserve"> [online] Available at:&lt;</w:t>
      </w:r>
      <w:hyperlink r:id="rId7">
        <w:r>
          <w:rPr>
            <w:sz w:val="24"/>
            <w:szCs w:val="24"/>
          </w:rPr>
          <w:t>https://www.lawsociety.org.uk/public/for-public-visitors/common-legal-issues/criminal-law</w:t>
        </w:r>
      </w:hyperlink>
      <w:r>
        <w:rPr>
          <w:sz w:val="24"/>
          <w:szCs w:val="24"/>
        </w:rPr>
        <w:t>&gt; [Accessed on 4th January 2023]</w:t>
      </w:r>
    </w:p>
    <w:p w14:paraId="0000002D" w14:textId="77777777" w:rsidR="00094ACB" w:rsidRDefault="00000000">
      <w:pPr>
        <w:spacing w:after="200"/>
        <w:rPr>
          <w:sz w:val="24"/>
          <w:szCs w:val="24"/>
        </w:rPr>
      </w:pPr>
      <w:r>
        <w:rPr>
          <w:sz w:val="24"/>
          <w:szCs w:val="24"/>
        </w:rPr>
        <w:t xml:space="preserve">Legislation. 2023. </w:t>
      </w:r>
      <w:r>
        <w:rPr>
          <w:i/>
          <w:sz w:val="24"/>
          <w:szCs w:val="24"/>
        </w:rPr>
        <w:t>Criminal Attempts Act 1981</w:t>
      </w:r>
      <w:r>
        <w:rPr>
          <w:sz w:val="24"/>
          <w:szCs w:val="24"/>
        </w:rPr>
        <w:t>. [online] Available at:</w:t>
      </w:r>
      <w:r>
        <w:rPr>
          <w:b/>
          <w:sz w:val="24"/>
          <w:szCs w:val="24"/>
        </w:rPr>
        <w:t>&lt;</w:t>
      </w:r>
      <w:hyperlink r:id="rId8">
        <w:r>
          <w:rPr>
            <w:sz w:val="24"/>
            <w:szCs w:val="24"/>
          </w:rPr>
          <w:t>https://www.legislation.gov.uk/ukpga/1981/47</w:t>
        </w:r>
      </w:hyperlink>
      <w:r>
        <w:rPr>
          <w:sz w:val="24"/>
          <w:szCs w:val="24"/>
        </w:rPr>
        <w:t xml:space="preserve">&gt; [Accessed on 4th January 2023] </w:t>
      </w:r>
    </w:p>
    <w:p w14:paraId="0000002E" w14:textId="77777777" w:rsidR="00094ACB" w:rsidRDefault="00000000">
      <w:pPr>
        <w:spacing w:after="200"/>
        <w:rPr>
          <w:sz w:val="24"/>
          <w:szCs w:val="24"/>
        </w:rPr>
      </w:pPr>
      <w:r>
        <w:rPr>
          <w:sz w:val="24"/>
          <w:szCs w:val="24"/>
        </w:rPr>
        <w:t xml:space="preserve">Legislation. 2023. </w:t>
      </w:r>
      <w:r>
        <w:rPr>
          <w:i/>
          <w:sz w:val="24"/>
          <w:szCs w:val="24"/>
        </w:rPr>
        <w:t>Theft Act 1968</w:t>
      </w:r>
      <w:r>
        <w:rPr>
          <w:sz w:val="24"/>
          <w:szCs w:val="24"/>
        </w:rPr>
        <w:t>. [online] Available at:&lt;</w:t>
      </w:r>
      <w:hyperlink r:id="rId9">
        <w:r>
          <w:rPr>
            <w:sz w:val="24"/>
            <w:szCs w:val="24"/>
          </w:rPr>
          <w:t>https://www.legislation.gov.uk/ukpga/1968/60</w:t>
        </w:r>
      </w:hyperlink>
      <w:r>
        <w:rPr>
          <w:sz w:val="24"/>
          <w:szCs w:val="24"/>
        </w:rPr>
        <w:t>&gt; [Accessed on 4th January 2023]</w:t>
      </w:r>
    </w:p>
    <w:p w14:paraId="0000002F" w14:textId="77777777" w:rsidR="00094ACB" w:rsidRDefault="00000000">
      <w:pPr>
        <w:spacing w:after="200"/>
        <w:rPr>
          <w:sz w:val="24"/>
          <w:szCs w:val="24"/>
        </w:rPr>
      </w:pPr>
      <w:r>
        <w:rPr>
          <w:sz w:val="24"/>
          <w:szCs w:val="24"/>
        </w:rPr>
        <w:t xml:space="preserve">Legislation. 2023. </w:t>
      </w:r>
      <w:r>
        <w:rPr>
          <w:i/>
          <w:sz w:val="24"/>
          <w:szCs w:val="24"/>
        </w:rPr>
        <w:t>Criminal Damage Act 1971.</w:t>
      </w:r>
      <w:r>
        <w:rPr>
          <w:sz w:val="24"/>
          <w:szCs w:val="24"/>
        </w:rPr>
        <w:t xml:space="preserve"> [online] Available at:&lt;</w:t>
      </w:r>
      <w:hyperlink r:id="rId10" w:anchor=":~:text=(1)A%20person%20who%20without,be%20guilty%20of%20an%20offence">
        <w:r>
          <w:rPr>
            <w:sz w:val="24"/>
            <w:szCs w:val="24"/>
          </w:rPr>
          <w:t>https://www.legislation.gov.uk/ukpga/1971/48#:~:text=(1)A%20person%20who%20without,be%20guilty%20of%20an%20offence</w:t>
        </w:r>
      </w:hyperlink>
      <w:r>
        <w:rPr>
          <w:sz w:val="24"/>
          <w:szCs w:val="24"/>
        </w:rPr>
        <w:t xml:space="preserve">.&gt; [Accessed on 10th January 2023] </w:t>
      </w:r>
    </w:p>
    <w:p w14:paraId="00000030" w14:textId="77777777" w:rsidR="00094ACB" w:rsidRDefault="00000000">
      <w:pPr>
        <w:spacing w:after="200"/>
        <w:rPr>
          <w:sz w:val="24"/>
          <w:szCs w:val="24"/>
          <w:highlight w:val="white"/>
        </w:rPr>
      </w:pPr>
      <w:r>
        <w:rPr>
          <w:sz w:val="24"/>
          <w:szCs w:val="24"/>
          <w:highlight w:val="white"/>
        </w:rPr>
        <w:t xml:space="preserve">Abarrategui, B., Mai, R., Sartori, I., Francione, S., Pelliccia, V., Cossu, M. and Tassi, L., 2021. Temporal lobe epilepsy: a never-ending story. </w:t>
      </w:r>
      <w:r>
        <w:rPr>
          <w:i/>
          <w:sz w:val="24"/>
          <w:szCs w:val="24"/>
          <w:highlight w:val="white"/>
        </w:rPr>
        <w:t>Epilepsy &amp; Behavior</w:t>
      </w:r>
      <w:r>
        <w:rPr>
          <w:sz w:val="24"/>
          <w:szCs w:val="24"/>
          <w:highlight w:val="white"/>
        </w:rPr>
        <w:t xml:space="preserve">, </w:t>
      </w:r>
      <w:r>
        <w:rPr>
          <w:i/>
          <w:sz w:val="24"/>
          <w:szCs w:val="24"/>
          <w:highlight w:val="white"/>
        </w:rPr>
        <w:t>122</w:t>
      </w:r>
      <w:r>
        <w:rPr>
          <w:sz w:val="24"/>
          <w:szCs w:val="24"/>
          <w:highlight w:val="white"/>
        </w:rPr>
        <w:t>, p.108122.</w:t>
      </w:r>
    </w:p>
    <w:p w14:paraId="00000031" w14:textId="77777777" w:rsidR="00094ACB" w:rsidRDefault="00000000">
      <w:pPr>
        <w:spacing w:after="200"/>
        <w:rPr>
          <w:sz w:val="24"/>
          <w:szCs w:val="24"/>
        </w:rPr>
      </w:pPr>
      <w:r>
        <w:rPr>
          <w:sz w:val="24"/>
          <w:szCs w:val="24"/>
          <w:highlight w:val="white"/>
        </w:rPr>
        <w:t xml:space="preserve">Cps. 2023. </w:t>
      </w:r>
      <w:r>
        <w:rPr>
          <w:i/>
          <w:sz w:val="24"/>
          <w:szCs w:val="24"/>
          <w:highlight w:val="white"/>
        </w:rPr>
        <w:t>Intoxication.</w:t>
      </w:r>
      <w:r>
        <w:rPr>
          <w:sz w:val="24"/>
          <w:szCs w:val="24"/>
          <w:highlight w:val="white"/>
        </w:rPr>
        <w:t xml:space="preserve"> </w:t>
      </w:r>
      <w:r>
        <w:rPr>
          <w:sz w:val="24"/>
          <w:szCs w:val="24"/>
        </w:rPr>
        <w:t>[online] Available at:</w:t>
      </w:r>
      <w:r>
        <w:rPr>
          <w:sz w:val="24"/>
          <w:szCs w:val="24"/>
          <w:highlight w:val="white"/>
        </w:rPr>
        <w:t>&lt;</w:t>
      </w:r>
      <w:hyperlink r:id="rId11" w:anchor=":~:text=Voluntary%20intoxication%20is%20never%20a,a%20crime%20of%20specific%20intent">
        <w:r>
          <w:rPr>
            <w:sz w:val="24"/>
            <w:szCs w:val="24"/>
            <w:highlight w:val="white"/>
          </w:rPr>
          <w:t>https://www.cps.gov.uk/legal-guidance/intoxication#:~:text=Voluntary%20intoxication%20is%20never%20a,a%20crime%20of%20specific%20intent</w:t>
        </w:r>
      </w:hyperlink>
      <w:r>
        <w:rPr>
          <w:sz w:val="24"/>
          <w:szCs w:val="24"/>
          <w:highlight w:val="white"/>
        </w:rPr>
        <w:t xml:space="preserve">.&gt; </w:t>
      </w:r>
      <w:r>
        <w:rPr>
          <w:sz w:val="24"/>
          <w:szCs w:val="24"/>
        </w:rPr>
        <w:t xml:space="preserve">[Accessed on 10th January 2023] </w:t>
      </w:r>
    </w:p>
    <w:p w14:paraId="00000032" w14:textId="77777777" w:rsidR="00094ACB" w:rsidRDefault="00000000">
      <w:pPr>
        <w:spacing w:after="200"/>
        <w:rPr>
          <w:sz w:val="24"/>
          <w:szCs w:val="24"/>
        </w:rPr>
      </w:pPr>
      <w:r>
        <w:rPr>
          <w:sz w:val="24"/>
          <w:szCs w:val="24"/>
        </w:rPr>
        <w:t xml:space="preserve">E-lawresources. 2023. </w:t>
      </w:r>
      <w:r>
        <w:rPr>
          <w:i/>
          <w:sz w:val="24"/>
          <w:szCs w:val="24"/>
        </w:rPr>
        <w:t>R v Whoolley (Unreported) Divisional Court of Queen's Bench Division.</w:t>
      </w:r>
      <w:r>
        <w:rPr>
          <w:sz w:val="24"/>
          <w:szCs w:val="24"/>
        </w:rPr>
        <w:t xml:space="preserve"> [online] Available at:&lt;</w:t>
      </w:r>
      <w:hyperlink r:id="rId12">
        <w:r>
          <w:rPr>
            <w:sz w:val="24"/>
            <w:szCs w:val="24"/>
          </w:rPr>
          <w:t>http://www.e-lawresources.co.uk/R-v-Whoolley.php</w:t>
        </w:r>
      </w:hyperlink>
      <w:r>
        <w:rPr>
          <w:sz w:val="24"/>
          <w:szCs w:val="24"/>
        </w:rPr>
        <w:t xml:space="preserve">&gt; [Accessed on 10th January 2023] </w:t>
      </w:r>
    </w:p>
    <w:p w14:paraId="00000033" w14:textId="77777777" w:rsidR="00094ACB" w:rsidRDefault="00094ACB"/>
    <w:p w14:paraId="00000034" w14:textId="77777777" w:rsidR="00094ACB" w:rsidRDefault="00094ACB">
      <w:pPr>
        <w:rPr>
          <w:sz w:val="24"/>
          <w:szCs w:val="24"/>
        </w:rPr>
      </w:pPr>
    </w:p>
    <w:p w14:paraId="00000035" w14:textId="77777777" w:rsidR="00094ACB" w:rsidRDefault="00094ACB">
      <w:pPr>
        <w:widowControl w:val="0"/>
        <w:pBdr>
          <w:top w:val="nil"/>
          <w:left w:val="nil"/>
          <w:bottom w:val="nil"/>
          <w:right w:val="nil"/>
          <w:between w:val="nil"/>
        </w:pBdr>
        <w:jc w:val="left"/>
        <w:rPr>
          <w:sz w:val="24"/>
          <w:szCs w:val="24"/>
        </w:rPr>
      </w:pPr>
    </w:p>
    <w:sectPr w:rsidR="00094ACB">
      <w:footerReference w:type="default" r:id="rId13"/>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3F181A" w14:textId="77777777" w:rsidR="0071039A" w:rsidRDefault="0071039A">
      <w:pPr>
        <w:spacing w:line="240" w:lineRule="auto"/>
      </w:pPr>
      <w:r>
        <w:separator/>
      </w:r>
    </w:p>
  </w:endnote>
  <w:endnote w:type="continuationSeparator" w:id="0">
    <w:p w14:paraId="392DC42D" w14:textId="77777777" w:rsidR="0071039A" w:rsidRDefault="0071039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36" w14:textId="5B13F31A" w:rsidR="00094ACB" w:rsidRDefault="00000000">
    <w:pPr>
      <w:jc w:val="right"/>
    </w:pPr>
    <w:r>
      <w:fldChar w:fldCharType="begin"/>
    </w:r>
    <w:r>
      <w:instrText>PAGE</w:instrText>
    </w:r>
    <w:r>
      <w:fldChar w:fldCharType="separate"/>
    </w:r>
    <w:r w:rsidR="00B4668F">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A17CFC" w14:textId="77777777" w:rsidR="0071039A" w:rsidRDefault="0071039A">
      <w:pPr>
        <w:spacing w:line="240" w:lineRule="auto"/>
      </w:pPr>
      <w:r>
        <w:separator/>
      </w:r>
    </w:p>
  </w:footnote>
  <w:footnote w:type="continuationSeparator" w:id="0">
    <w:p w14:paraId="0CE01611" w14:textId="77777777" w:rsidR="0071039A" w:rsidRDefault="0071039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4ACB"/>
    <w:rsid w:val="00094ACB"/>
    <w:rsid w:val="0071039A"/>
    <w:rsid w:val="00B466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49E3AC"/>
  <w15:docId w15:val="{65BC4729-31A3-40B6-B977-8E34FB009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240"/>
      <w:outlineLvl w:val="0"/>
    </w:pPr>
    <w:rPr>
      <w:b/>
      <w:sz w:val="24"/>
      <w:szCs w:val="24"/>
    </w:rPr>
  </w:style>
  <w:style w:type="paragraph" w:styleId="Heading2">
    <w:name w:val="heading 2"/>
    <w:basedOn w:val="Normal"/>
    <w:next w:val="Normal"/>
    <w:uiPriority w:val="9"/>
    <w:unhideWhenUsed/>
    <w:qFormat/>
    <w:pPr>
      <w:keepNext/>
      <w:keepLines/>
      <w:spacing w:before="240" w:after="240"/>
      <w:outlineLvl w:val="1"/>
    </w:pPr>
    <w:rPr>
      <w:b/>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legislation.gov.uk/ukpga/1981/47"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lawsociety.org.uk/public/for-public-visitors/common-legal-issues/criminal-law" TargetMode="External"/><Relationship Id="rId12" Type="http://schemas.openxmlformats.org/officeDocument/2006/relationships/hyperlink" Target="http://www.e-lawresources.co.uk/R-v-Whoolley.php"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cps.gov.uk/legal-guidance/intoxication"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legislation.gov.uk/ukpga/1971/48" TargetMode="External"/><Relationship Id="rId4" Type="http://schemas.openxmlformats.org/officeDocument/2006/relationships/webSettings" Target="webSettings.xml"/><Relationship Id="rId9" Type="http://schemas.openxmlformats.org/officeDocument/2006/relationships/hyperlink" Target="https://www.legislation.gov.uk/ukpga/1968/6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RcwOhATeuyAjcSWn8umt1/CrV7Q==">AMUW2mX0OIuYCqwKO8nTIJM+RlCx11oMl8B76/jI8Nl7v5b3w71L3gdtitwg14/nmzQaUkz5v1KpWRr/XynqAP9Klp1/es6KLcWGsirYX4LU6Z7Px3/1EuqlwJSPe26HdTEwo8qyV8egvSB+SlJuu6dzejBde7IkFms6f0EK4BI0K39GcBiP5m3wFIAFfk0q1XyLQBFpKIEn9B4NfJAZ027ceFJeJ94UcRMbcaLyJGtnK71QfNdswQcKgrLK5k9VL8FdTfZQK1gs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1606</Words>
  <Characters>9157</Characters>
  <Application>Microsoft Office Word</Application>
  <DocSecurity>0</DocSecurity>
  <Lines>76</Lines>
  <Paragraphs>21</Paragraphs>
  <ScaleCrop>false</ScaleCrop>
  <Company/>
  <LinksUpToDate>false</LinksUpToDate>
  <CharactersWithSpaces>10742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Aritia Popescu</cp:lastModifiedBy>
  <cp:revision>2</cp:revision>
  <dcterms:created xsi:type="dcterms:W3CDTF">2023-01-13T11:49:00Z</dcterms:created>
  <dcterms:modified xsi:type="dcterms:W3CDTF">2023-01-13T11:58:00Z</dcterms:modified>
</cp:coreProperties>
</file>