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DF76D" w14:textId="77777777" w:rsidR="00A63ADB" w:rsidRDefault="00A63ADB" w:rsidP="00F21E79">
      <w:pPr>
        <w:rPr>
          <w:rFonts w:ascii="Arial" w:hAnsi="Arial" w:cs="Arial"/>
          <w:b/>
          <w:bCs/>
          <w:sz w:val="28"/>
          <w:szCs w:val="28"/>
        </w:rPr>
      </w:pPr>
    </w:p>
    <w:p w14:paraId="5D86CD19" w14:textId="606852FC" w:rsidR="00A63ADB" w:rsidRDefault="00266792" w:rsidP="00F21E79">
      <w:pPr>
        <w:rPr>
          <w:rFonts w:ascii="Arial" w:hAnsi="Arial" w:cs="Arial"/>
          <w:b/>
          <w:bCs/>
          <w:sz w:val="28"/>
          <w:szCs w:val="28"/>
        </w:rPr>
      </w:pPr>
      <w:r>
        <w:rPr>
          <w:rFonts w:ascii="Arial" w:hAnsi="Arial" w:cs="Arial"/>
          <w:b/>
          <w:bCs/>
          <w:noProof/>
          <w:sz w:val="28"/>
          <w:szCs w:val="28"/>
        </w:rPr>
        <w:drawing>
          <wp:inline distT="0" distB="0" distL="0" distR="0" wp14:anchorId="408414CC" wp14:editId="0E334846">
            <wp:extent cx="3432175" cy="1713230"/>
            <wp:effectExtent l="0" t="0" r="0" b="1270"/>
            <wp:docPr id="1975717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2175" cy="1713230"/>
                    </a:xfrm>
                    <a:prstGeom prst="rect">
                      <a:avLst/>
                    </a:prstGeom>
                    <a:noFill/>
                  </pic:spPr>
                </pic:pic>
              </a:graphicData>
            </a:graphic>
          </wp:inline>
        </w:drawing>
      </w:r>
    </w:p>
    <w:p w14:paraId="4FC347B7" w14:textId="07549DBF" w:rsidR="00A63ADB" w:rsidRDefault="00A63ADB" w:rsidP="00F21E79">
      <w:pPr>
        <w:rPr>
          <w:rFonts w:ascii="Arial" w:hAnsi="Arial" w:cs="Arial"/>
          <w:b/>
          <w:bCs/>
          <w:sz w:val="28"/>
          <w:szCs w:val="28"/>
        </w:rPr>
      </w:pPr>
    </w:p>
    <w:p w14:paraId="36B715A7" w14:textId="77777777" w:rsidR="00A63ADB" w:rsidRDefault="00A63ADB" w:rsidP="00F21E79">
      <w:pPr>
        <w:rPr>
          <w:rFonts w:ascii="Arial" w:hAnsi="Arial" w:cs="Arial"/>
          <w:b/>
          <w:bCs/>
          <w:sz w:val="28"/>
          <w:szCs w:val="28"/>
        </w:rPr>
      </w:pPr>
    </w:p>
    <w:p w14:paraId="6212AD85" w14:textId="77777777" w:rsidR="00A63ADB" w:rsidRDefault="00A63ADB" w:rsidP="00F21E79">
      <w:pPr>
        <w:rPr>
          <w:rFonts w:ascii="Arial" w:hAnsi="Arial" w:cs="Arial"/>
          <w:b/>
          <w:bCs/>
          <w:sz w:val="28"/>
          <w:szCs w:val="28"/>
        </w:rPr>
      </w:pPr>
    </w:p>
    <w:p w14:paraId="0163F39C" w14:textId="77777777" w:rsidR="008544AF" w:rsidRPr="008544AF" w:rsidRDefault="008544AF" w:rsidP="008544AF">
      <w:pPr>
        <w:rPr>
          <w:rFonts w:ascii="Arial" w:hAnsi="Arial" w:cs="Arial"/>
          <w:b/>
          <w:bCs/>
          <w:sz w:val="28"/>
          <w:szCs w:val="28"/>
        </w:rPr>
      </w:pPr>
    </w:p>
    <w:p w14:paraId="2DEAA02F" w14:textId="4B080205" w:rsidR="008544AF" w:rsidRDefault="008544AF" w:rsidP="008544AF">
      <w:pPr>
        <w:rPr>
          <w:rFonts w:ascii="Arial" w:hAnsi="Arial" w:cs="Arial"/>
          <w:b/>
          <w:bCs/>
          <w:sz w:val="28"/>
          <w:szCs w:val="28"/>
        </w:rPr>
      </w:pPr>
      <w:r w:rsidRPr="008544AF">
        <w:rPr>
          <w:rFonts w:ascii="Arial" w:hAnsi="Arial" w:cs="Arial"/>
          <w:b/>
          <w:bCs/>
          <w:sz w:val="28"/>
          <w:szCs w:val="28"/>
        </w:rPr>
        <w:t xml:space="preserve">Module title: </w:t>
      </w:r>
      <w:r w:rsidR="005C3FA4" w:rsidRPr="005C3FA4">
        <w:rPr>
          <w:rFonts w:ascii="Arial" w:hAnsi="Arial" w:cs="Arial"/>
          <w:b/>
          <w:bCs/>
          <w:sz w:val="28"/>
          <w:szCs w:val="28"/>
        </w:rPr>
        <w:t xml:space="preserve">Social Epidemiology and Public Health Development </w:t>
      </w:r>
    </w:p>
    <w:p w14:paraId="461800FA" w14:textId="2E143686" w:rsidR="008544AF" w:rsidRPr="00AC2DA5" w:rsidRDefault="008544AF" w:rsidP="008544AF">
      <w:pPr>
        <w:rPr>
          <w:rFonts w:ascii="Arial" w:hAnsi="Arial" w:cs="Arial"/>
          <w:b/>
          <w:bCs/>
          <w:sz w:val="28"/>
          <w:szCs w:val="28"/>
          <w:lang w:val="nl-NL"/>
        </w:rPr>
      </w:pPr>
      <w:r w:rsidRPr="00AC2DA5">
        <w:rPr>
          <w:rFonts w:ascii="Arial" w:hAnsi="Arial" w:cs="Arial"/>
          <w:b/>
          <w:bCs/>
          <w:sz w:val="28"/>
          <w:szCs w:val="28"/>
          <w:lang w:val="nl-NL"/>
        </w:rPr>
        <w:t xml:space="preserve">Module code: </w:t>
      </w:r>
      <w:r w:rsidR="00865D6F">
        <w:rPr>
          <w:rFonts w:ascii="Arial" w:hAnsi="Arial" w:cs="Arial"/>
          <w:b/>
          <w:bCs/>
          <w:sz w:val="28"/>
          <w:szCs w:val="28"/>
          <w:lang w:val="nl-NL"/>
        </w:rPr>
        <w:t>LC</w:t>
      </w:r>
      <w:r w:rsidR="00F13E82">
        <w:rPr>
          <w:rFonts w:ascii="Arial" w:hAnsi="Arial" w:cs="Arial"/>
          <w:b/>
          <w:bCs/>
          <w:sz w:val="28"/>
          <w:szCs w:val="28"/>
          <w:lang w:val="nl-NL"/>
        </w:rPr>
        <w:t>HS</w:t>
      </w:r>
      <w:r w:rsidRPr="00AC2DA5">
        <w:rPr>
          <w:rFonts w:ascii="Arial" w:hAnsi="Arial" w:cs="Arial"/>
          <w:b/>
          <w:bCs/>
          <w:sz w:val="28"/>
          <w:szCs w:val="28"/>
          <w:lang w:val="nl-NL"/>
        </w:rPr>
        <w:t>7000</w:t>
      </w:r>
    </w:p>
    <w:p w14:paraId="25EA88C6" w14:textId="21EA4486" w:rsidR="008544AF" w:rsidRPr="00AC2DA5" w:rsidRDefault="008544AF" w:rsidP="008544AF">
      <w:pPr>
        <w:rPr>
          <w:rFonts w:ascii="Arial" w:hAnsi="Arial" w:cs="Arial"/>
          <w:b/>
          <w:bCs/>
          <w:sz w:val="28"/>
          <w:szCs w:val="28"/>
          <w:lang w:val="nl-NL"/>
        </w:rPr>
      </w:pPr>
      <w:r w:rsidRPr="00AC2DA5">
        <w:rPr>
          <w:rFonts w:ascii="Arial" w:hAnsi="Arial" w:cs="Arial"/>
          <w:b/>
          <w:bCs/>
          <w:sz w:val="28"/>
          <w:szCs w:val="28"/>
          <w:lang w:val="nl-NL"/>
        </w:rPr>
        <w:t>Student name: Elena Draghici</w:t>
      </w:r>
    </w:p>
    <w:p w14:paraId="318DC8C1" w14:textId="77777777" w:rsidR="008544AF" w:rsidRPr="008544AF" w:rsidRDefault="008544AF" w:rsidP="008544AF">
      <w:pPr>
        <w:rPr>
          <w:rFonts w:ascii="Arial" w:hAnsi="Arial" w:cs="Arial"/>
          <w:b/>
          <w:bCs/>
          <w:sz w:val="28"/>
          <w:szCs w:val="28"/>
        </w:rPr>
      </w:pPr>
      <w:r w:rsidRPr="008544AF">
        <w:rPr>
          <w:rFonts w:ascii="Arial" w:hAnsi="Arial" w:cs="Arial"/>
          <w:b/>
          <w:bCs/>
          <w:sz w:val="28"/>
          <w:szCs w:val="28"/>
        </w:rPr>
        <w:t>Student number: 2214911</w:t>
      </w:r>
    </w:p>
    <w:p w14:paraId="34191979" w14:textId="5692439B" w:rsidR="008544AF" w:rsidRDefault="008544AF" w:rsidP="008544AF">
      <w:pPr>
        <w:rPr>
          <w:rFonts w:ascii="Arial" w:hAnsi="Arial" w:cs="Arial"/>
          <w:b/>
          <w:bCs/>
          <w:sz w:val="28"/>
          <w:szCs w:val="28"/>
        </w:rPr>
      </w:pPr>
      <w:r w:rsidRPr="008544AF">
        <w:rPr>
          <w:rFonts w:ascii="Arial" w:hAnsi="Arial" w:cs="Arial"/>
          <w:b/>
          <w:bCs/>
          <w:sz w:val="28"/>
          <w:szCs w:val="28"/>
        </w:rPr>
        <w:t>Lecturer name:</w:t>
      </w:r>
      <w:r w:rsidR="00802355">
        <w:rPr>
          <w:rFonts w:ascii="Arial" w:hAnsi="Arial" w:cs="Arial"/>
          <w:b/>
          <w:bCs/>
          <w:sz w:val="28"/>
          <w:szCs w:val="28"/>
        </w:rPr>
        <w:t xml:space="preserve"> </w:t>
      </w:r>
      <w:r w:rsidR="00F241E6" w:rsidRPr="00F241E6">
        <w:rPr>
          <w:rFonts w:ascii="Arial" w:hAnsi="Arial" w:cs="Arial"/>
          <w:b/>
          <w:bCs/>
          <w:sz w:val="28"/>
          <w:szCs w:val="28"/>
        </w:rPr>
        <w:t>Jolly Nwankwo</w:t>
      </w:r>
    </w:p>
    <w:p w14:paraId="174930F2" w14:textId="6984B2AF" w:rsidR="00CD1743" w:rsidRPr="00F21E79" w:rsidRDefault="00F21E79" w:rsidP="00F21E79">
      <w:pPr>
        <w:rPr>
          <w:rFonts w:ascii="Arial" w:hAnsi="Arial" w:cs="Arial"/>
          <w:b/>
          <w:bCs/>
          <w:sz w:val="28"/>
          <w:szCs w:val="28"/>
        </w:rPr>
      </w:pPr>
      <w:r w:rsidRPr="00F21E79">
        <w:rPr>
          <w:rFonts w:ascii="Arial" w:hAnsi="Arial" w:cs="Arial"/>
          <w:b/>
          <w:bCs/>
          <w:sz w:val="28"/>
          <w:szCs w:val="28"/>
        </w:rPr>
        <w:t>Component 2</w:t>
      </w:r>
      <w:r w:rsidR="00395BDF">
        <w:rPr>
          <w:rFonts w:ascii="Arial" w:hAnsi="Arial" w:cs="Arial"/>
          <w:b/>
          <w:bCs/>
          <w:sz w:val="28"/>
          <w:szCs w:val="28"/>
        </w:rPr>
        <w:t xml:space="preserve">: </w:t>
      </w:r>
      <w:r w:rsidRPr="00F21E79">
        <w:rPr>
          <w:rFonts w:ascii="Arial" w:hAnsi="Arial" w:cs="Arial"/>
          <w:b/>
          <w:bCs/>
          <w:sz w:val="28"/>
          <w:szCs w:val="28"/>
        </w:rPr>
        <w:t xml:space="preserve">Analytical Report </w:t>
      </w:r>
    </w:p>
    <w:p w14:paraId="1E97D73F" w14:textId="29F1F4BF" w:rsidR="00F21E79" w:rsidRPr="00F21E79" w:rsidRDefault="005C3FA4" w:rsidP="00F21E79">
      <w:pPr>
        <w:rPr>
          <w:rFonts w:ascii="Arial" w:hAnsi="Arial" w:cs="Arial"/>
          <w:b/>
          <w:bCs/>
          <w:sz w:val="28"/>
          <w:szCs w:val="28"/>
        </w:rPr>
      </w:pPr>
      <w:r>
        <w:rPr>
          <w:rFonts w:ascii="Arial" w:hAnsi="Arial" w:cs="Arial"/>
          <w:b/>
          <w:bCs/>
          <w:sz w:val="28"/>
          <w:szCs w:val="28"/>
        </w:rPr>
        <w:t>Submission</w:t>
      </w:r>
      <w:r w:rsidR="00395BDF">
        <w:rPr>
          <w:rFonts w:ascii="Arial" w:hAnsi="Arial" w:cs="Arial"/>
          <w:b/>
          <w:bCs/>
          <w:sz w:val="28"/>
          <w:szCs w:val="28"/>
        </w:rPr>
        <w:t xml:space="preserve"> </w:t>
      </w:r>
      <w:r>
        <w:rPr>
          <w:rFonts w:ascii="Arial" w:hAnsi="Arial" w:cs="Arial"/>
          <w:b/>
          <w:bCs/>
          <w:sz w:val="28"/>
          <w:szCs w:val="28"/>
        </w:rPr>
        <w:t xml:space="preserve">date: </w:t>
      </w:r>
      <w:r w:rsidR="00F21E79" w:rsidRPr="00F21E79">
        <w:rPr>
          <w:rFonts w:ascii="Arial" w:hAnsi="Arial" w:cs="Arial"/>
          <w:b/>
          <w:bCs/>
          <w:sz w:val="28"/>
          <w:szCs w:val="28"/>
        </w:rPr>
        <w:t xml:space="preserve">19th December 2025 </w:t>
      </w:r>
    </w:p>
    <w:p w14:paraId="6FBD9B64" w14:textId="77777777" w:rsidR="00F21E79" w:rsidRPr="00441493" w:rsidRDefault="00F21E79" w:rsidP="00F21E79">
      <w:pPr>
        <w:rPr>
          <w:rFonts w:ascii="Arial" w:hAnsi="Arial" w:cs="Arial"/>
          <w:b/>
          <w:bCs/>
          <w:sz w:val="28"/>
          <w:szCs w:val="28"/>
        </w:rPr>
      </w:pPr>
    </w:p>
    <w:p w14:paraId="45E6192D" w14:textId="77777777" w:rsidR="00F21E79" w:rsidRDefault="00F21E79" w:rsidP="00F21E79"/>
    <w:p w14:paraId="44454C13" w14:textId="77777777" w:rsidR="00F21E79" w:rsidRDefault="00F21E79" w:rsidP="00F21E79"/>
    <w:p w14:paraId="39E4F6AE" w14:textId="77777777" w:rsidR="00F21E79" w:rsidRDefault="00F21E79" w:rsidP="00F21E79"/>
    <w:p w14:paraId="4933F2D7" w14:textId="77777777" w:rsidR="00F21E79" w:rsidRDefault="00F21E79" w:rsidP="00F21E79"/>
    <w:p w14:paraId="49988711" w14:textId="77777777" w:rsidR="005C3FA4" w:rsidRDefault="005C3FA4" w:rsidP="00F21E79"/>
    <w:p w14:paraId="3386FE92" w14:textId="77777777" w:rsidR="005C3FA4" w:rsidRDefault="005C3FA4" w:rsidP="00F21E79"/>
    <w:p w14:paraId="3AF1F731" w14:textId="77777777" w:rsidR="005C3FA4" w:rsidRDefault="005C3FA4" w:rsidP="00F21E79"/>
    <w:p w14:paraId="0B493872" w14:textId="77777777" w:rsidR="006623C0" w:rsidRDefault="006623C0" w:rsidP="00F21E79"/>
    <w:p w14:paraId="252E2038" w14:textId="77777777" w:rsidR="005C3FA4" w:rsidRDefault="005C3FA4" w:rsidP="00F21E79"/>
    <w:p w14:paraId="32DA3C2B" w14:textId="77777777" w:rsidR="005C3FA4" w:rsidRDefault="005C3FA4" w:rsidP="00F21E79"/>
    <w:p w14:paraId="7B6F1404" w14:textId="0F4C649A" w:rsidR="00F21E79" w:rsidRDefault="00ED7AFA" w:rsidP="00F21E79">
      <w:pPr>
        <w:rPr>
          <w:rFonts w:ascii="Arial" w:hAnsi="Arial" w:cs="Arial"/>
          <w:b/>
          <w:bCs/>
          <w:sz w:val="28"/>
          <w:szCs w:val="28"/>
        </w:rPr>
      </w:pPr>
      <w:r w:rsidRPr="00CB5A68">
        <w:rPr>
          <w:rFonts w:ascii="Arial" w:hAnsi="Arial" w:cs="Arial"/>
          <w:b/>
          <w:bCs/>
          <w:sz w:val="28"/>
          <w:szCs w:val="28"/>
        </w:rPr>
        <w:lastRenderedPageBreak/>
        <w:t>Table of co</w:t>
      </w:r>
      <w:r w:rsidR="00CB5A68" w:rsidRPr="00CB5A68">
        <w:rPr>
          <w:rFonts w:ascii="Arial" w:hAnsi="Arial" w:cs="Arial"/>
          <w:b/>
          <w:bCs/>
          <w:sz w:val="28"/>
          <w:szCs w:val="28"/>
        </w:rPr>
        <w:t>ntents</w:t>
      </w:r>
    </w:p>
    <w:sdt>
      <w:sdtPr>
        <w:rPr>
          <w:rFonts w:asciiTheme="minorHAnsi" w:eastAsiaTheme="minorHAnsi" w:hAnsiTheme="minorHAnsi" w:cstheme="minorBidi"/>
          <w:color w:val="auto"/>
          <w:kern w:val="2"/>
          <w:sz w:val="22"/>
          <w:szCs w:val="22"/>
          <w:lang w:eastAsia="en-US"/>
          <w14:ligatures w14:val="standardContextual"/>
        </w:rPr>
        <w:id w:val="-1449084569"/>
        <w:docPartObj>
          <w:docPartGallery w:val="Table of Contents"/>
          <w:docPartUnique/>
        </w:docPartObj>
      </w:sdtPr>
      <w:sdtEndPr>
        <w:rPr>
          <w:b/>
          <w:bCs/>
        </w:rPr>
      </w:sdtEndPr>
      <w:sdtContent>
        <w:p w14:paraId="08FD4EA7" w14:textId="3689856D" w:rsidR="00CB5A68" w:rsidRDefault="00CB5A68">
          <w:pPr>
            <w:pStyle w:val="TOCHeading"/>
          </w:pPr>
          <w:r>
            <w:t>Contents</w:t>
          </w:r>
        </w:p>
        <w:p w14:paraId="3EFD249D" w14:textId="591BFC79" w:rsidR="00BE0F69" w:rsidRDefault="00CB5A6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694774" w:history="1">
            <w:r w:rsidR="00BE0F69" w:rsidRPr="005D2242">
              <w:rPr>
                <w:rStyle w:val="Hyperlink"/>
                <w:rFonts w:ascii="Arial" w:hAnsi="Arial" w:cs="Arial"/>
                <w:b/>
                <w:bCs/>
                <w:noProof/>
              </w:rPr>
              <w:t>TASK 1: Social Epidemiological Analysis</w:t>
            </w:r>
            <w:r w:rsidR="00BE0F69">
              <w:rPr>
                <w:noProof/>
                <w:webHidden/>
              </w:rPr>
              <w:tab/>
            </w:r>
            <w:r w:rsidR="00BE0F69">
              <w:rPr>
                <w:noProof/>
                <w:webHidden/>
              </w:rPr>
              <w:fldChar w:fldCharType="begin"/>
            </w:r>
            <w:r w:rsidR="00BE0F69">
              <w:rPr>
                <w:noProof/>
                <w:webHidden/>
              </w:rPr>
              <w:instrText xml:space="preserve"> PAGEREF _Toc215694774 \h </w:instrText>
            </w:r>
            <w:r w:rsidR="00BE0F69">
              <w:rPr>
                <w:noProof/>
                <w:webHidden/>
              </w:rPr>
            </w:r>
            <w:r w:rsidR="00BE0F69">
              <w:rPr>
                <w:noProof/>
                <w:webHidden/>
              </w:rPr>
              <w:fldChar w:fldCharType="separate"/>
            </w:r>
            <w:r w:rsidR="00BE0F69">
              <w:rPr>
                <w:noProof/>
                <w:webHidden/>
              </w:rPr>
              <w:t>3</w:t>
            </w:r>
            <w:r w:rsidR="00BE0F69">
              <w:rPr>
                <w:noProof/>
                <w:webHidden/>
              </w:rPr>
              <w:fldChar w:fldCharType="end"/>
            </w:r>
          </w:hyperlink>
        </w:p>
        <w:p w14:paraId="10726BD0" w14:textId="339F242D" w:rsidR="00BE0F69" w:rsidRDefault="00BE0F69">
          <w:pPr>
            <w:pStyle w:val="TOC2"/>
            <w:tabs>
              <w:tab w:val="right" w:leader="dot" w:pos="9016"/>
            </w:tabs>
            <w:rPr>
              <w:rFonts w:eastAsiaTheme="minorEastAsia"/>
              <w:noProof/>
              <w:sz w:val="24"/>
              <w:szCs w:val="24"/>
              <w:lang w:eastAsia="en-GB"/>
            </w:rPr>
          </w:pPr>
          <w:hyperlink w:anchor="_Toc215694775" w:history="1">
            <w:r w:rsidRPr="005D2242">
              <w:rPr>
                <w:rStyle w:val="Hyperlink"/>
                <w:rFonts w:ascii="Arial" w:eastAsia="Times New Roman" w:hAnsi="Arial" w:cs="Arial"/>
                <w:b/>
                <w:bCs/>
                <w:noProof/>
                <w:lang w:eastAsia="en-GB"/>
              </w:rPr>
              <w:t>Age and Health Inequalities Among Older Adults (65+) in the UK</w:t>
            </w:r>
            <w:r>
              <w:rPr>
                <w:noProof/>
                <w:webHidden/>
              </w:rPr>
              <w:tab/>
            </w:r>
            <w:r>
              <w:rPr>
                <w:noProof/>
                <w:webHidden/>
              </w:rPr>
              <w:fldChar w:fldCharType="begin"/>
            </w:r>
            <w:r>
              <w:rPr>
                <w:noProof/>
                <w:webHidden/>
              </w:rPr>
              <w:instrText xml:space="preserve"> PAGEREF _Toc215694775 \h </w:instrText>
            </w:r>
            <w:r>
              <w:rPr>
                <w:noProof/>
                <w:webHidden/>
              </w:rPr>
            </w:r>
            <w:r>
              <w:rPr>
                <w:noProof/>
                <w:webHidden/>
              </w:rPr>
              <w:fldChar w:fldCharType="separate"/>
            </w:r>
            <w:r>
              <w:rPr>
                <w:noProof/>
                <w:webHidden/>
              </w:rPr>
              <w:t>3</w:t>
            </w:r>
            <w:r>
              <w:rPr>
                <w:noProof/>
                <w:webHidden/>
              </w:rPr>
              <w:fldChar w:fldCharType="end"/>
            </w:r>
          </w:hyperlink>
        </w:p>
        <w:p w14:paraId="109EB6B3" w14:textId="3C51F336" w:rsidR="00BE0F69" w:rsidRDefault="00BE0F69">
          <w:pPr>
            <w:pStyle w:val="TOC3"/>
            <w:tabs>
              <w:tab w:val="left" w:pos="960"/>
              <w:tab w:val="right" w:leader="dot" w:pos="9016"/>
            </w:tabs>
            <w:rPr>
              <w:rFonts w:eastAsiaTheme="minorEastAsia"/>
              <w:noProof/>
              <w:sz w:val="24"/>
              <w:szCs w:val="24"/>
              <w:lang w:eastAsia="en-GB"/>
            </w:rPr>
          </w:pPr>
          <w:hyperlink w:anchor="_Toc215694776"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_Toc215694776 \h </w:instrText>
            </w:r>
            <w:r>
              <w:rPr>
                <w:noProof/>
                <w:webHidden/>
              </w:rPr>
            </w:r>
            <w:r>
              <w:rPr>
                <w:noProof/>
                <w:webHidden/>
              </w:rPr>
              <w:fldChar w:fldCharType="separate"/>
            </w:r>
            <w:r>
              <w:rPr>
                <w:noProof/>
                <w:webHidden/>
              </w:rPr>
              <w:t>3</w:t>
            </w:r>
            <w:r>
              <w:rPr>
                <w:noProof/>
                <w:webHidden/>
              </w:rPr>
              <w:fldChar w:fldCharType="end"/>
            </w:r>
          </w:hyperlink>
        </w:p>
        <w:p w14:paraId="33D3A3FB" w14:textId="37DFAAEF" w:rsidR="00BE0F69" w:rsidRDefault="00BE0F69">
          <w:pPr>
            <w:pStyle w:val="TOC3"/>
            <w:tabs>
              <w:tab w:val="left" w:pos="960"/>
              <w:tab w:val="right" w:leader="dot" w:pos="9016"/>
            </w:tabs>
            <w:rPr>
              <w:rFonts w:eastAsiaTheme="minorEastAsia"/>
              <w:noProof/>
              <w:sz w:val="24"/>
              <w:szCs w:val="24"/>
              <w:lang w:eastAsia="en-GB"/>
            </w:rPr>
          </w:pPr>
          <w:hyperlink w:anchor="_Toc215694777"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Contextual Background and Underlying Factors</w:t>
            </w:r>
            <w:r>
              <w:rPr>
                <w:noProof/>
                <w:webHidden/>
              </w:rPr>
              <w:tab/>
            </w:r>
            <w:r>
              <w:rPr>
                <w:noProof/>
                <w:webHidden/>
              </w:rPr>
              <w:fldChar w:fldCharType="begin"/>
            </w:r>
            <w:r>
              <w:rPr>
                <w:noProof/>
                <w:webHidden/>
              </w:rPr>
              <w:instrText xml:space="preserve"> PAGEREF _Toc215694777 \h </w:instrText>
            </w:r>
            <w:r>
              <w:rPr>
                <w:noProof/>
                <w:webHidden/>
              </w:rPr>
            </w:r>
            <w:r>
              <w:rPr>
                <w:noProof/>
                <w:webHidden/>
              </w:rPr>
              <w:fldChar w:fldCharType="separate"/>
            </w:r>
            <w:r>
              <w:rPr>
                <w:noProof/>
                <w:webHidden/>
              </w:rPr>
              <w:t>3</w:t>
            </w:r>
            <w:r>
              <w:rPr>
                <w:noProof/>
                <w:webHidden/>
              </w:rPr>
              <w:fldChar w:fldCharType="end"/>
            </w:r>
          </w:hyperlink>
        </w:p>
        <w:p w14:paraId="59469B70" w14:textId="0A06493E" w:rsidR="00BE0F69" w:rsidRDefault="00BE0F69">
          <w:pPr>
            <w:pStyle w:val="TOC3"/>
            <w:tabs>
              <w:tab w:val="left" w:pos="960"/>
              <w:tab w:val="right" w:leader="dot" w:pos="9016"/>
            </w:tabs>
            <w:rPr>
              <w:rFonts w:eastAsiaTheme="minorEastAsia"/>
              <w:noProof/>
              <w:sz w:val="24"/>
              <w:szCs w:val="24"/>
              <w:lang w:eastAsia="en-GB"/>
            </w:rPr>
          </w:pPr>
          <w:hyperlink w:anchor="_Toc215694778"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National Response to Reduce Health Inequalities</w:t>
            </w:r>
            <w:r>
              <w:rPr>
                <w:noProof/>
                <w:webHidden/>
              </w:rPr>
              <w:tab/>
            </w:r>
            <w:r>
              <w:rPr>
                <w:noProof/>
                <w:webHidden/>
              </w:rPr>
              <w:fldChar w:fldCharType="begin"/>
            </w:r>
            <w:r>
              <w:rPr>
                <w:noProof/>
                <w:webHidden/>
              </w:rPr>
              <w:instrText xml:space="preserve"> PAGEREF _Toc215694778 \h </w:instrText>
            </w:r>
            <w:r>
              <w:rPr>
                <w:noProof/>
                <w:webHidden/>
              </w:rPr>
            </w:r>
            <w:r>
              <w:rPr>
                <w:noProof/>
                <w:webHidden/>
              </w:rPr>
              <w:fldChar w:fldCharType="separate"/>
            </w:r>
            <w:r>
              <w:rPr>
                <w:noProof/>
                <w:webHidden/>
              </w:rPr>
              <w:t>4</w:t>
            </w:r>
            <w:r>
              <w:rPr>
                <w:noProof/>
                <w:webHidden/>
              </w:rPr>
              <w:fldChar w:fldCharType="end"/>
            </w:r>
          </w:hyperlink>
        </w:p>
        <w:p w14:paraId="04C60DEE" w14:textId="3266C815" w:rsidR="00BE0F69" w:rsidRDefault="00BE0F69">
          <w:pPr>
            <w:pStyle w:val="TOC3"/>
            <w:tabs>
              <w:tab w:val="left" w:pos="960"/>
              <w:tab w:val="right" w:leader="dot" w:pos="9016"/>
            </w:tabs>
            <w:rPr>
              <w:rFonts w:eastAsiaTheme="minorEastAsia"/>
              <w:noProof/>
              <w:sz w:val="24"/>
              <w:szCs w:val="24"/>
              <w:lang w:eastAsia="en-GB"/>
            </w:rPr>
          </w:pPr>
          <w:hyperlink w:anchor="_Toc215694779"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Conclusion and Recommendations</w:t>
            </w:r>
            <w:r>
              <w:rPr>
                <w:noProof/>
                <w:webHidden/>
              </w:rPr>
              <w:tab/>
            </w:r>
            <w:r>
              <w:rPr>
                <w:noProof/>
                <w:webHidden/>
              </w:rPr>
              <w:fldChar w:fldCharType="begin"/>
            </w:r>
            <w:r>
              <w:rPr>
                <w:noProof/>
                <w:webHidden/>
              </w:rPr>
              <w:instrText xml:space="preserve"> PAGEREF _Toc215694779 \h </w:instrText>
            </w:r>
            <w:r>
              <w:rPr>
                <w:noProof/>
                <w:webHidden/>
              </w:rPr>
            </w:r>
            <w:r>
              <w:rPr>
                <w:noProof/>
                <w:webHidden/>
              </w:rPr>
              <w:fldChar w:fldCharType="separate"/>
            </w:r>
            <w:r>
              <w:rPr>
                <w:noProof/>
                <w:webHidden/>
              </w:rPr>
              <w:t>6</w:t>
            </w:r>
            <w:r>
              <w:rPr>
                <w:noProof/>
                <w:webHidden/>
              </w:rPr>
              <w:fldChar w:fldCharType="end"/>
            </w:r>
          </w:hyperlink>
        </w:p>
        <w:p w14:paraId="3D1108B3" w14:textId="7BAABDB2" w:rsidR="00BE0F69" w:rsidRDefault="00BE0F69">
          <w:pPr>
            <w:pStyle w:val="TOC1"/>
            <w:tabs>
              <w:tab w:val="right" w:leader="dot" w:pos="9016"/>
            </w:tabs>
            <w:rPr>
              <w:rFonts w:eastAsiaTheme="minorEastAsia"/>
              <w:noProof/>
              <w:sz w:val="24"/>
              <w:szCs w:val="24"/>
              <w:lang w:eastAsia="en-GB"/>
            </w:rPr>
          </w:pPr>
          <w:hyperlink w:anchor="_Toc215694780" w:history="1">
            <w:r w:rsidRPr="005D2242">
              <w:rPr>
                <w:rStyle w:val="Hyperlink"/>
                <w:rFonts w:ascii="Arial" w:hAnsi="Arial" w:cs="Arial"/>
                <w:b/>
                <w:bCs/>
                <w:noProof/>
              </w:rPr>
              <w:t>TASK 2: Epidemiological Analysis</w:t>
            </w:r>
            <w:r>
              <w:rPr>
                <w:noProof/>
                <w:webHidden/>
              </w:rPr>
              <w:tab/>
            </w:r>
            <w:r>
              <w:rPr>
                <w:noProof/>
                <w:webHidden/>
              </w:rPr>
              <w:fldChar w:fldCharType="begin"/>
            </w:r>
            <w:r>
              <w:rPr>
                <w:noProof/>
                <w:webHidden/>
              </w:rPr>
              <w:instrText xml:space="preserve"> PAGEREF _Toc215694780 \h </w:instrText>
            </w:r>
            <w:r>
              <w:rPr>
                <w:noProof/>
                <w:webHidden/>
              </w:rPr>
            </w:r>
            <w:r>
              <w:rPr>
                <w:noProof/>
                <w:webHidden/>
              </w:rPr>
              <w:fldChar w:fldCharType="separate"/>
            </w:r>
            <w:r>
              <w:rPr>
                <w:noProof/>
                <w:webHidden/>
              </w:rPr>
              <w:t>6</w:t>
            </w:r>
            <w:r>
              <w:rPr>
                <w:noProof/>
                <w:webHidden/>
              </w:rPr>
              <w:fldChar w:fldCharType="end"/>
            </w:r>
          </w:hyperlink>
        </w:p>
        <w:p w14:paraId="51879F6E" w14:textId="02D71882" w:rsidR="00BE0F69" w:rsidRDefault="00BE0F69">
          <w:pPr>
            <w:pStyle w:val="TOC2"/>
            <w:tabs>
              <w:tab w:val="right" w:leader="dot" w:pos="9016"/>
            </w:tabs>
            <w:rPr>
              <w:rFonts w:eastAsiaTheme="minorEastAsia"/>
              <w:noProof/>
              <w:sz w:val="24"/>
              <w:szCs w:val="24"/>
              <w:lang w:eastAsia="en-GB"/>
            </w:rPr>
          </w:pPr>
          <w:hyperlink w:anchor="_Toc215694781" w:history="1">
            <w:r w:rsidRPr="005D2242">
              <w:rPr>
                <w:rStyle w:val="Hyperlink"/>
                <w:rFonts w:ascii="Arial" w:hAnsi="Arial" w:cs="Arial"/>
                <w:b/>
                <w:bCs/>
                <w:noProof/>
                <w:lang w:eastAsia="en-GB"/>
              </w:rPr>
              <w:t>Dementia Among Older Adults in Liverpool: An Epidemiological Report</w:t>
            </w:r>
            <w:r>
              <w:rPr>
                <w:noProof/>
                <w:webHidden/>
              </w:rPr>
              <w:tab/>
            </w:r>
            <w:r>
              <w:rPr>
                <w:noProof/>
                <w:webHidden/>
              </w:rPr>
              <w:fldChar w:fldCharType="begin"/>
            </w:r>
            <w:r>
              <w:rPr>
                <w:noProof/>
                <w:webHidden/>
              </w:rPr>
              <w:instrText xml:space="preserve"> PAGEREF _Toc215694781 \h </w:instrText>
            </w:r>
            <w:r>
              <w:rPr>
                <w:noProof/>
                <w:webHidden/>
              </w:rPr>
            </w:r>
            <w:r>
              <w:rPr>
                <w:noProof/>
                <w:webHidden/>
              </w:rPr>
              <w:fldChar w:fldCharType="separate"/>
            </w:r>
            <w:r>
              <w:rPr>
                <w:noProof/>
                <w:webHidden/>
              </w:rPr>
              <w:t>6</w:t>
            </w:r>
            <w:r>
              <w:rPr>
                <w:noProof/>
                <w:webHidden/>
              </w:rPr>
              <w:fldChar w:fldCharType="end"/>
            </w:r>
          </w:hyperlink>
        </w:p>
        <w:p w14:paraId="5AFC2816" w14:textId="2A608EEC" w:rsidR="00BE0F69" w:rsidRDefault="00BE0F69">
          <w:pPr>
            <w:pStyle w:val="TOC2"/>
            <w:tabs>
              <w:tab w:val="left" w:pos="720"/>
              <w:tab w:val="right" w:leader="dot" w:pos="9016"/>
            </w:tabs>
            <w:rPr>
              <w:rFonts w:eastAsiaTheme="minorEastAsia"/>
              <w:noProof/>
              <w:sz w:val="24"/>
              <w:szCs w:val="24"/>
              <w:lang w:eastAsia="en-GB"/>
            </w:rPr>
          </w:pPr>
          <w:hyperlink w:anchor="_Toc215694782"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Introduction</w:t>
            </w:r>
            <w:r>
              <w:rPr>
                <w:noProof/>
                <w:webHidden/>
              </w:rPr>
              <w:tab/>
            </w:r>
            <w:r>
              <w:rPr>
                <w:noProof/>
                <w:webHidden/>
              </w:rPr>
              <w:fldChar w:fldCharType="begin"/>
            </w:r>
            <w:r>
              <w:rPr>
                <w:noProof/>
                <w:webHidden/>
              </w:rPr>
              <w:instrText xml:space="preserve"> PAGEREF _Toc215694782 \h </w:instrText>
            </w:r>
            <w:r>
              <w:rPr>
                <w:noProof/>
                <w:webHidden/>
              </w:rPr>
            </w:r>
            <w:r>
              <w:rPr>
                <w:noProof/>
                <w:webHidden/>
              </w:rPr>
              <w:fldChar w:fldCharType="separate"/>
            </w:r>
            <w:r>
              <w:rPr>
                <w:noProof/>
                <w:webHidden/>
              </w:rPr>
              <w:t>6</w:t>
            </w:r>
            <w:r>
              <w:rPr>
                <w:noProof/>
                <w:webHidden/>
              </w:rPr>
              <w:fldChar w:fldCharType="end"/>
            </w:r>
          </w:hyperlink>
        </w:p>
        <w:p w14:paraId="169AA7C4" w14:textId="22FAE326" w:rsidR="00BE0F69" w:rsidRDefault="00BE0F69">
          <w:pPr>
            <w:pStyle w:val="TOC2"/>
            <w:tabs>
              <w:tab w:val="left" w:pos="720"/>
              <w:tab w:val="right" w:leader="dot" w:pos="9016"/>
            </w:tabs>
            <w:rPr>
              <w:rFonts w:eastAsiaTheme="minorEastAsia"/>
              <w:noProof/>
              <w:sz w:val="24"/>
              <w:szCs w:val="24"/>
              <w:lang w:eastAsia="en-GB"/>
            </w:rPr>
          </w:pPr>
          <w:hyperlink w:anchor="_Toc215694783"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Definition of the Health Problem and Its Social, Cultural and Health Consequences</w:t>
            </w:r>
            <w:r>
              <w:rPr>
                <w:noProof/>
                <w:webHidden/>
              </w:rPr>
              <w:tab/>
            </w:r>
            <w:r>
              <w:rPr>
                <w:noProof/>
                <w:webHidden/>
              </w:rPr>
              <w:fldChar w:fldCharType="begin"/>
            </w:r>
            <w:r>
              <w:rPr>
                <w:noProof/>
                <w:webHidden/>
              </w:rPr>
              <w:instrText xml:space="preserve"> PAGEREF _Toc215694783 \h </w:instrText>
            </w:r>
            <w:r>
              <w:rPr>
                <w:noProof/>
                <w:webHidden/>
              </w:rPr>
            </w:r>
            <w:r>
              <w:rPr>
                <w:noProof/>
                <w:webHidden/>
              </w:rPr>
              <w:fldChar w:fldCharType="separate"/>
            </w:r>
            <w:r>
              <w:rPr>
                <w:noProof/>
                <w:webHidden/>
              </w:rPr>
              <w:t>7</w:t>
            </w:r>
            <w:r>
              <w:rPr>
                <w:noProof/>
                <w:webHidden/>
              </w:rPr>
              <w:fldChar w:fldCharType="end"/>
            </w:r>
          </w:hyperlink>
        </w:p>
        <w:p w14:paraId="4622C087" w14:textId="3A4EBCB5" w:rsidR="00BE0F69" w:rsidRDefault="00BE0F69">
          <w:pPr>
            <w:pStyle w:val="TOC2"/>
            <w:tabs>
              <w:tab w:val="left" w:pos="720"/>
              <w:tab w:val="right" w:leader="dot" w:pos="9016"/>
            </w:tabs>
            <w:rPr>
              <w:rFonts w:eastAsiaTheme="minorEastAsia"/>
              <w:noProof/>
              <w:sz w:val="24"/>
              <w:szCs w:val="24"/>
              <w:lang w:eastAsia="en-GB"/>
            </w:rPr>
          </w:pPr>
          <w:hyperlink w:anchor="_Toc215694784"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Incidence and Prevalence: Global, UK and Liverpool Statistics</w:t>
            </w:r>
            <w:r>
              <w:rPr>
                <w:noProof/>
                <w:webHidden/>
              </w:rPr>
              <w:tab/>
            </w:r>
            <w:r>
              <w:rPr>
                <w:noProof/>
                <w:webHidden/>
              </w:rPr>
              <w:fldChar w:fldCharType="begin"/>
            </w:r>
            <w:r>
              <w:rPr>
                <w:noProof/>
                <w:webHidden/>
              </w:rPr>
              <w:instrText xml:space="preserve"> PAGEREF _Toc215694784 \h </w:instrText>
            </w:r>
            <w:r>
              <w:rPr>
                <w:noProof/>
                <w:webHidden/>
              </w:rPr>
            </w:r>
            <w:r>
              <w:rPr>
                <w:noProof/>
                <w:webHidden/>
              </w:rPr>
              <w:fldChar w:fldCharType="separate"/>
            </w:r>
            <w:r>
              <w:rPr>
                <w:noProof/>
                <w:webHidden/>
              </w:rPr>
              <w:t>7</w:t>
            </w:r>
            <w:r>
              <w:rPr>
                <w:noProof/>
                <w:webHidden/>
              </w:rPr>
              <w:fldChar w:fldCharType="end"/>
            </w:r>
          </w:hyperlink>
        </w:p>
        <w:p w14:paraId="3E40C8F8" w14:textId="12CCBA73" w:rsidR="00BE0F69" w:rsidRDefault="00BE0F69">
          <w:pPr>
            <w:pStyle w:val="TOC2"/>
            <w:tabs>
              <w:tab w:val="left" w:pos="720"/>
              <w:tab w:val="right" w:leader="dot" w:pos="9016"/>
            </w:tabs>
            <w:rPr>
              <w:rFonts w:eastAsiaTheme="minorEastAsia"/>
              <w:noProof/>
              <w:sz w:val="24"/>
              <w:szCs w:val="24"/>
              <w:lang w:eastAsia="en-GB"/>
            </w:rPr>
          </w:pPr>
          <w:hyperlink w:anchor="_Toc215694785"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Risk Factors and Aetiology</w:t>
            </w:r>
            <w:r>
              <w:rPr>
                <w:noProof/>
                <w:webHidden/>
              </w:rPr>
              <w:tab/>
            </w:r>
            <w:r>
              <w:rPr>
                <w:noProof/>
                <w:webHidden/>
              </w:rPr>
              <w:fldChar w:fldCharType="begin"/>
            </w:r>
            <w:r>
              <w:rPr>
                <w:noProof/>
                <w:webHidden/>
              </w:rPr>
              <w:instrText xml:space="preserve"> PAGEREF _Toc215694785 \h </w:instrText>
            </w:r>
            <w:r>
              <w:rPr>
                <w:noProof/>
                <w:webHidden/>
              </w:rPr>
            </w:r>
            <w:r>
              <w:rPr>
                <w:noProof/>
                <w:webHidden/>
              </w:rPr>
              <w:fldChar w:fldCharType="separate"/>
            </w:r>
            <w:r>
              <w:rPr>
                <w:noProof/>
                <w:webHidden/>
              </w:rPr>
              <w:t>8</w:t>
            </w:r>
            <w:r>
              <w:rPr>
                <w:noProof/>
                <w:webHidden/>
              </w:rPr>
              <w:fldChar w:fldCharType="end"/>
            </w:r>
          </w:hyperlink>
        </w:p>
        <w:p w14:paraId="566AA856" w14:textId="1304FD5C" w:rsidR="00BE0F69" w:rsidRDefault="00BE0F69">
          <w:pPr>
            <w:pStyle w:val="TOC3"/>
            <w:tabs>
              <w:tab w:val="right" w:leader="dot" w:pos="9016"/>
            </w:tabs>
            <w:rPr>
              <w:rFonts w:eastAsiaTheme="minorEastAsia"/>
              <w:noProof/>
              <w:sz w:val="24"/>
              <w:szCs w:val="24"/>
              <w:lang w:eastAsia="en-GB"/>
            </w:rPr>
          </w:pPr>
          <w:hyperlink w:anchor="_Toc215694786" w:history="1">
            <w:r w:rsidRPr="005D2242">
              <w:rPr>
                <w:rStyle w:val="Hyperlink"/>
                <w:rFonts w:ascii="Arial" w:hAnsi="Arial" w:cs="Arial"/>
                <w:b/>
                <w:bCs/>
                <w:noProof/>
                <w:lang w:eastAsia="en-GB"/>
              </w:rPr>
              <w:t>Biological factors</w:t>
            </w:r>
            <w:r>
              <w:rPr>
                <w:noProof/>
                <w:webHidden/>
              </w:rPr>
              <w:tab/>
            </w:r>
            <w:r>
              <w:rPr>
                <w:noProof/>
                <w:webHidden/>
              </w:rPr>
              <w:fldChar w:fldCharType="begin"/>
            </w:r>
            <w:r>
              <w:rPr>
                <w:noProof/>
                <w:webHidden/>
              </w:rPr>
              <w:instrText xml:space="preserve"> PAGEREF _Toc215694786 \h </w:instrText>
            </w:r>
            <w:r>
              <w:rPr>
                <w:noProof/>
                <w:webHidden/>
              </w:rPr>
            </w:r>
            <w:r>
              <w:rPr>
                <w:noProof/>
                <w:webHidden/>
              </w:rPr>
              <w:fldChar w:fldCharType="separate"/>
            </w:r>
            <w:r>
              <w:rPr>
                <w:noProof/>
                <w:webHidden/>
              </w:rPr>
              <w:t>8</w:t>
            </w:r>
            <w:r>
              <w:rPr>
                <w:noProof/>
                <w:webHidden/>
              </w:rPr>
              <w:fldChar w:fldCharType="end"/>
            </w:r>
          </w:hyperlink>
        </w:p>
        <w:p w14:paraId="54C8C7B4" w14:textId="43E12F1B" w:rsidR="00BE0F69" w:rsidRDefault="00BE0F69">
          <w:pPr>
            <w:pStyle w:val="TOC3"/>
            <w:tabs>
              <w:tab w:val="right" w:leader="dot" w:pos="9016"/>
            </w:tabs>
            <w:rPr>
              <w:rFonts w:eastAsiaTheme="minorEastAsia"/>
              <w:noProof/>
              <w:sz w:val="24"/>
              <w:szCs w:val="24"/>
              <w:lang w:eastAsia="en-GB"/>
            </w:rPr>
          </w:pPr>
          <w:hyperlink w:anchor="_Toc215694787" w:history="1">
            <w:r w:rsidRPr="005D2242">
              <w:rPr>
                <w:rStyle w:val="Hyperlink"/>
                <w:rFonts w:ascii="Arial" w:hAnsi="Arial" w:cs="Arial"/>
                <w:b/>
                <w:bCs/>
                <w:noProof/>
                <w:lang w:eastAsia="en-GB"/>
              </w:rPr>
              <w:t>Behavioural and lifestyle factors</w:t>
            </w:r>
            <w:r>
              <w:rPr>
                <w:noProof/>
                <w:webHidden/>
              </w:rPr>
              <w:tab/>
            </w:r>
            <w:r>
              <w:rPr>
                <w:noProof/>
                <w:webHidden/>
              </w:rPr>
              <w:fldChar w:fldCharType="begin"/>
            </w:r>
            <w:r>
              <w:rPr>
                <w:noProof/>
                <w:webHidden/>
              </w:rPr>
              <w:instrText xml:space="preserve"> PAGEREF _Toc215694787 \h </w:instrText>
            </w:r>
            <w:r>
              <w:rPr>
                <w:noProof/>
                <w:webHidden/>
              </w:rPr>
            </w:r>
            <w:r>
              <w:rPr>
                <w:noProof/>
                <w:webHidden/>
              </w:rPr>
              <w:fldChar w:fldCharType="separate"/>
            </w:r>
            <w:r>
              <w:rPr>
                <w:noProof/>
                <w:webHidden/>
              </w:rPr>
              <w:t>8</w:t>
            </w:r>
            <w:r>
              <w:rPr>
                <w:noProof/>
                <w:webHidden/>
              </w:rPr>
              <w:fldChar w:fldCharType="end"/>
            </w:r>
          </w:hyperlink>
        </w:p>
        <w:p w14:paraId="35A223C6" w14:textId="0D57DA89" w:rsidR="00BE0F69" w:rsidRDefault="00BE0F69">
          <w:pPr>
            <w:pStyle w:val="TOC3"/>
            <w:tabs>
              <w:tab w:val="right" w:leader="dot" w:pos="9016"/>
            </w:tabs>
            <w:rPr>
              <w:rFonts w:eastAsiaTheme="minorEastAsia"/>
              <w:noProof/>
              <w:sz w:val="24"/>
              <w:szCs w:val="24"/>
              <w:lang w:eastAsia="en-GB"/>
            </w:rPr>
          </w:pPr>
          <w:hyperlink w:anchor="_Toc215694788" w:history="1">
            <w:r w:rsidRPr="005D2242">
              <w:rPr>
                <w:rStyle w:val="Hyperlink"/>
                <w:rFonts w:ascii="Arial" w:hAnsi="Arial" w:cs="Arial"/>
                <w:b/>
                <w:bCs/>
                <w:noProof/>
                <w:lang w:eastAsia="en-GB"/>
              </w:rPr>
              <w:t>Social determinants of health</w:t>
            </w:r>
            <w:r>
              <w:rPr>
                <w:noProof/>
                <w:webHidden/>
              </w:rPr>
              <w:tab/>
            </w:r>
            <w:r>
              <w:rPr>
                <w:noProof/>
                <w:webHidden/>
              </w:rPr>
              <w:fldChar w:fldCharType="begin"/>
            </w:r>
            <w:r>
              <w:rPr>
                <w:noProof/>
                <w:webHidden/>
              </w:rPr>
              <w:instrText xml:space="preserve"> PAGEREF _Toc215694788 \h </w:instrText>
            </w:r>
            <w:r>
              <w:rPr>
                <w:noProof/>
                <w:webHidden/>
              </w:rPr>
            </w:r>
            <w:r>
              <w:rPr>
                <w:noProof/>
                <w:webHidden/>
              </w:rPr>
              <w:fldChar w:fldCharType="separate"/>
            </w:r>
            <w:r>
              <w:rPr>
                <w:noProof/>
                <w:webHidden/>
              </w:rPr>
              <w:t>8</w:t>
            </w:r>
            <w:r>
              <w:rPr>
                <w:noProof/>
                <w:webHidden/>
              </w:rPr>
              <w:fldChar w:fldCharType="end"/>
            </w:r>
          </w:hyperlink>
        </w:p>
        <w:p w14:paraId="28434589" w14:textId="5F55ACE3" w:rsidR="00BE0F69" w:rsidRDefault="00BE0F69">
          <w:pPr>
            <w:pStyle w:val="TOC3"/>
            <w:tabs>
              <w:tab w:val="right" w:leader="dot" w:pos="9016"/>
            </w:tabs>
            <w:rPr>
              <w:rFonts w:eastAsiaTheme="minorEastAsia"/>
              <w:noProof/>
              <w:sz w:val="24"/>
              <w:szCs w:val="24"/>
              <w:lang w:eastAsia="en-GB"/>
            </w:rPr>
          </w:pPr>
          <w:hyperlink w:anchor="_Toc215694789" w:history="1">
            <w:r w:rsidRPr="005D2242">
              <w:rPr>
                <w:rStyle w:val="Hyperlink"/>
                <w:rFonts w:ascii="Arial" w:hAnsi="Arial" w:cs="Arial"/>
                <w:b/>
                <w:bCs/>
                <w:noProof/>
                <w:lang w:eastAsia="en-GB"/>
              </w:rPr>
              <w:t>Psychosocial factors</w:t>
            </w:r>
            <w:r>
              <w:rPr>
                <w:noProof/>
                <w:webHidden/>
              </w:rPr>
              <w:tab/>
            </w:r>
            <w:r>
              <w:rPr>
                <w:noProof/>
                <w:webHidden/>
              </w:rPr>
              <w:fldChar w:fldCharType="begin"/>
            </w:r>
            <w:r>
              <w:rPr>
                <w:noProof/>
                <w:webHidden/>
              </w:rPr>
              <w:instrText xml:space="preserve"> PAGEREF _Toc215694789 \h </w:instrText>
            </w:r>
            <w:r>
              <w:rPr>
                <w:noProof/>
                <w:webHidden/>
              </w:rPr>
            </w:r>
            <w:r>
              <w:rPr>
                <w:noProof/>
                <w:webHidden/>
              </w:rPr>
              <w:fldChar w:fldCharType="separate"/>
            </w:r>
            <w:r>
              <w:rPr>
                <w:noProof/>
                <w:webHidden/>
              </w:rPr>
              <w:t>8</w:t>
            </w:r>
            <w:r>
              <w:rPr>
                <w:noProof/>
                <w:webHidden/>
              </w:rPr>
              <w:fldChar w:fldCharType="end"/>
            </w:r>
          </w:hyperlink>
        </w:p>
        <w:p w14:paraId="37CF741C" w14:textId="60869AA9" w:rsidR="00BE0F69" w:rsidRDefault="00BE0F69">
          <w:pPr>
            <w:pStyle w:val="TOC3"/>
            <w:tabs>
              <w:tab w:val="right" w:leader="dot" w:pos="9016"/>
            </w:tabs>
            <w:rPr>
              <w:rFonts w:eastAsiaTheme="minorEastAsia"/>
              <w:noProof/>
              <w:sz w:val="24"/>
              <w:szCs w:val="24"/>
              <w:lang w:eastAsia="en-GB"/>
            </w:rPr>
          </w:pPr>
          <w:hyperlink w:anchor="_Toc215694790" w:history="1">
            <w:r w:rsidRPr="005D2242">
              <w:rPr>
                <w:rStyle w:val="Hyperlink"/>
                <w:rFonts w:ascii="Arial" w:hAnsi="Arial" w:cs="Arial"/>
                <w:b/>
                <w:bCs/>
                <w:noProof/>
                <w:lang w:eastAsia="en-GB"/>
              </w:rPr>
              <w:t>Cultural factors</w:t>
            </w:r>
            <w:r>
              <w:rPr>
                <w:noProof/>
                <w:webHidden/>
              </w:rPr>
              <w:tab/>
            </w:r>
            <w:r>
              <w:rPr>
                <w:noProof/>
                <w:webHidden/>
              </w:rPr>
              <w:fldChar w:fldCharType="begin"/>
            </w:r>
            <w:r>
              <w:rPr>
                <w:noProof/>
                <w:webHidden/>
              </w:rPr>
              <w:instrText xml:space="preserve"> PAGEREF _Toc215694790 \h </w:instrText>
            </w:r>
            <w:r>
              <w:rPr>
                <w:noProof/>
                <w:webHidden/>
              </w:rPr>
            </w:r>
            <w:r>
              <w:rPr>
                <w:noProof/>
                <w:webHidden/>
              </w:rPr>
              <w:fldChar w:fldCharType="separate"/>
            </w:r>
            <w:r>
              <w:rPr>
                <w:noProof/>
                <w:webHidden/>
              </w:rPr>
              <w:t>8</w:t>
            </w:r>
            <w:r>
              <w:rPr>
                <w:noProof/>
                <w:webHidden/>
              </w:rPr>
              <w:fldChar w:fldCharType="end"/>
            </w:r>
          </w:hyperlink>
        </w:p>
        <w:p w14:paraId="2CA619C2" w14:textId="31A7169C" w:rsidR="00BE0F69" w:rsidRDefault="00BE0F69">
          <w:pPr>
            <w:pStyle w:val="TOC2"/>
            <w:tabs>
              <w:tab w:val="left" w:pos="720"/>
              <w:tab w:val="right" w:leader="dot" w:pos="9016"/>
            </w:tabs>
            <w:rPr>
              <w:rFonts w:eastAsiaTheme="minorEastAsia"/>
              <w:noProof/>
              <w:sz w:val="24"/>
              <w:szCs w:val="24"/>
              <w:lang w:eastAsia="en-GB"/>
            </w:rPr>
          </w:pPr>
          <w:hyperlink w:anchor="_Toc215694791"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Identifying Those Affected: Use of Epidemiological Studies and Health Needs Assessment</w:t>
            </w:r>
            <w:r>
              <w:rPr>
                <w:noProof/>
                <w:webHidden/>
              </w:rPr>
              <w:tab/>
            </w:r>
            <w:r>
              <w:rPr>
                <w:noProof/>
                <w:webHidden/>
              </w:rPr>
              <w:fldChar w:fldCharType="begin"/>
            </w:r>
            <w:r>
              <w:rPr>
                <w:noProof/>
                <w:webHidden/>
              </w:rPr>
              <w:instrText xml:space="preserve"> PAGEREF _Toc215694791 \h </w:instrText>
            </w:r>
            <w:r>
              <w:rPr>
                <w:noProof/>
                <w:webHidden/>
              </w:rPr>
            </w:r>
            <w:r>
              <w:rPr>
                <w:noProof/>
                <w:webHidden/>
              </w:rPr>
              <w:fldChar w:fldCharType="separate"/>
            </w:r>
            <w:r>
              <w:rPr>
                <w:noProof/>
                <w:webHidden/>
              </w:rPr>
              <w:t>8</w:t>
            </w:r>
            <w:r>
              <w:rPr>
                <w:noProof/>
                <w:webHidden/>
              </w:rPr>
              <w:fldChar w:fldCharType="end"/>
            </w:r>
          </w:hyperlink>
        </w:p>
        <w:p w14:paraId="7B36FB2B" w14:textId="1606B149" w:rsidR="00BE0F69" w:rsidRDefault="00BE0F69">
          <w:pPr>
            <w:pStyle w:val="TOC2"/>
            <w:tabs>
              <w:tab w:val="left" w:pos="720"/>
              <w:tab w:val="right" w:leader="dot" w:pos="9016"/>
            </w:tabs>
            <w:rPr>
              <w:rFonts w:eastAsiaTheme="minorEastAsia"/>
              <w:noProof/>
              <w:sz w:val="24"/>
              <w:szCs w:val="24"/>
              <w:lang w:eastAsia="en-GB"/>
            </w:rPr>
          </w:pPr>
          <w:hyperlink w:anchor="_Toc215694792" w:history="1">
            <w:r w:rsidRPr="005D2242">
              <w:rPr>
                <w:rStyle w:val="Hyperlink"/>
                <w:rFonts w:ascii="Symbol" w:hAnsi="Symbol" w:cs="Arial"/>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Monitoring and Surveillance Systems</w:t>
            </w:r>
            <w:r>
              <w:rPr>
                <w:noProof/>
                <w:webHidden/>
              </w:rPr>
              <w:tab/>
            </w:r>
            <w:r>
              <w:rPr>
                <w:noProof/>
                <w:webHidden/>
              </w:rPr>
              <w:fldChar w:fldCharType="begin"/>
            </w:r>
            <w:r>
              <w:rPr>
                <w:noProof/>
                <w:webHidden/>
              </w:rPr>
              <w:instrText xml:space="preserve"> PAGEREF _Toc215694792 \h </w:instrText>
            </w:r>
            <w:r>
              <w:rPr>
                <w:noProof/>
                <w:webHidden/>
              </w:rPr>
            </w:r>
            <w:r>
              <w:rPr>
                <w:noProof/>
                <w:webHidden/>
              </w:rPr>
              <w:fldChar w:fldCharType="separate"/>
            </w:r>
            <w:r>
              <w:rPr>
                <w:noProof/>
                <w:webHidden/>
              </w:rPr>
              <w:t>9</w:t>
            </w:r>
            <w:r>
              <w:rPr>
                <w:noProof/>
                <w:webHidden/>
              </w:rPr>
              <w:fldChar w:fldCharType="end"/>
            </w:r>
          </w:hyperlink>
        </w:p>
        <w:p w14:paraId="074E9CB5" w14:textId="4330928C" w:rsidR="00BE0F69" w:rsidRDefault="00BE0F69">
          <w:pPr>
            <w:pStyle w:val="TOC3"/>
            <w:tabs>
              <w:tab w:val="right" w:leader="dot" w:pos="9016"/>
            </w:tabs>
            <w:rPr>
              <w:rFonts w:eastAsiaTheme="minorEastAsia"/>
              <w:noProof/>
              <w:sz w:val="24"/>
              <w:szCs w:val="24"/>
              <w:lang w:eastAsia="en-GB"/>
            </w:rPr>
          </w:pPr>
          <w:hyperlink w:anchor="_Toc215694793" w:history="1">
            <w:r w:rsidRPr="005D2242">
              <w:rPr>
                <w:rStyle w:val="Hyperlink"/>
                <w:rFonts w:ascii="Arial" w:hAnsi="Arial" w:cs="Arial"/>
                <w:b/>
                <w:bCs/>
                <w:noProof/>
                <w:lang w:eastAsia="en-GB"/>
              </w:rPr>
              <w:t>Limitations of surveillance:</w:t>
            </w:r>
            <w:r>
              <w:rPr>
                <w:noProof/>
                <w:webHidden/>
              </w:rPr>
              <w:tab/>
            </w:r>
            <w:r>
              <w:rPr>
                <w:noProof/>
                <w:webHidden/>
              </w:rPr>
              <w:fldChar w:fldCharType="begin"/>
            </w:r>
            <w:r>
              <w:rPr>
                <w:noProof/>
                <w:webHidden/>
              </w:rPr>
              <w:instrText xml:space="preserve"> PAGEREF _Toc215694793 \h </w:instrText>
            </w:r>
            <w:r>
              <w:rPr>
                <w:noProof/>
                <w:webHidden/>
              </w:rPr>
            </w:r>
            <w:r>
              <w:rPr>
                <w:noProof/>
                <w:webHidden/>
              </w:rPr>
              <w:fldChar w:fldCharType="separate"/>
            </w:r>
            <w:r>
              <w:rPr>
                <w:noProof/>
                <w:webHidden/>
              </w:rPr>
              <w:t>9</w:t>
            </w:r>
            <w:r>
              <w:rPr>
                <w:noProof/>
                <w:webHidden/>
              </w:rPr>
              <w:fldChar w:fldCharType="end"/>
            </w:r>
          </w:hyperlink>
        </w:p>
        <w:p w14:paraId="6DDE776F" w14:textId="04A8A3CB" w:rsidR="00BE0F69" w:rsidRDefault="00BE0F69">
          <w:pPr>
            <w:pStyle w:val="TOC2"/>
            <w:tabs>
              <w:tab w:val="left" w:pos="720"/>
              <w:tab w:val="right" w:leader="dot" w:pos="9016"/>
            </w:tabs>
            <w:rPr>
              <w:rFonts w:eastAsiaTheme="minorEastAsia"/>
              <w:noProof/>
              <w:sz w:val="24"/>
              <w:szCs w:val="24"/>
              <w:lang w:eastAsia="en-GB"/>
            </w:rPr>
          </w:pPr>
          <w:hyperlink w:anchor="_Toc215694794"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Public Health Measures in Liverpool: The 3 Ps Framework</w:t>
            </w:r>
            <w:r>
              <w:rPr>
                <w:noProof/>
                <w:webHidden/>
              </w:rPr>
              <w:tab/>
            </w:r>
            <w:r>
              <w:rPr>
                <w:noProof/>
                <w:webHidden/>
              </w:rPr>
              <w:fldChar w:fldCharType="begin"/>
            </w:r>
            <w:r>
              <w:rPr>
                <w:noProof/>
                <w:webHidden/>
              </w:rPr>
              <w:instrText xml:space="preserve"> PAGEREF _Toc215694794 \h </w:instrText>
            </w:r>
            <w:r>
              <w:rPr>
                <w:noProof/>
                <w:webHidden/>
              </w:rPr>
            </w:r>
            <w:r>
              <w:rPr>
                <w:noProof/>
                <w:webHidden/>
              </w:rPr>
              <w:fldChar w:fldCharType="separate"/>
            </w:r>
            <w:r>
              <w:rPr>
                <w:noProof/>
                <w:webHidden/>
              </w:rPr>
              <w:t>9</w:t>
            </w:r>
            <w:r>
              <w:rPr>
                <w:noProof/>
                <w:webHidden/>
              </w:rPr>
              <w:fldChar w:fldCharType="end"/>
            </w:r>
          </w:hyperlink>
        </w:p>
        <w:p w14:paraId="0A98D98F" w14:textId="251BA5C3" w:rsidR="00BE0F69" w:rsidRDefault="00BE0F69">
          <w:pPr>
            <w:pStyle w:val="TOC3"/>
            <w:tabs>
              <w:tab w:val="right" w:leader="dot" w:pos="9016"/>
            </w:tabs>
            <w:rPr>
              <w:rFonts w:eastAsiaTheme="minorEastAsia"/>
              <w:noProof/>
              <w:sz w:val="24"/>
              <w:szCs w:val="24"/>
              <w:lang w:eastAsia="en-GB"/>
            </w:rPr>
          </w:pPr>
          <w:hyperlink w:anchor="_Toc215694795" w:history="1">
            <w:r w:rsidRPr="005D2242">
              <w:rPr>
                <w:rStyle w:val="Hyperlink"/>
                <w:rFonts w:ascii="Arial" w:hAnsi="Arial" w:cs="Arial"/>
                <w:b/>
                <w:bCs/>
                <w:noProof/>
                <w:lang w:eastAsia="en-GB"/>
              </w:rPr>
              <w:t>Protection</w:t>
            </w:r>
            <w:r>
              <w:rPr>
                <w:noProof/>
                <w:webHidden/>
              </w:rPr>
              <w:tab/>
            </w:r>
            <w:r>
              <w:rPr>
                <w:noProof/>
                <w:webHidden/>
              </w:rPr>
              <w:fldChar w:fldCharType="begin"/>
            </w:r>
            <w:r>
              <w:rPr>
                <w:noProof/>
                <w:webHidden/>
              </w:rPr>
              <w:instrText xml:space="preserve"> PAGEREF _Toc215694795 \h </w:instrText>
            </w:r>
            <w:r>
              <w:rPr>
                <w:noProof/>
                <w:webHidden/>
              </w:rPr>
            </w:r>
            <w:r>
              <w:rPr>
                <w:noProof/>
                <w:webHidden/>
              </w:rPr>
              <w:fldChar w:fldCharType="separate"/>
            </w:r>
            <w:r>
              <w:rPr>
                <w:noProof/>
                <w:webHidden/>
              </w:rPr>
              <w:t>10</w:t>
            </w:r>
            <w:r>
              <w:rPr>
                <w:noProof/>
                <w:webHidden/>
              </w:rPr>
              <w:fldChar w:fldCharType="end"/>
            </w:r>
          </w:hyperlink>
        </w:p>
        <w:p w14:paraId="24DEFCB9" w14:textId="5B6AE0DE" w:rsidR="00BE0F69" w:rsidRDefault="00BE0F69">
          <w:pPr>
            <w:pStyle w:val="TOC3"/>
            <w:tabs>
              <w:tab w:val="right" w:leader="dot" w:pos="9016"/>
            </w:tabs>
            <w:rPr>
              <w:rFonts w:eastAsiaTheme="minorEastAsia"/>
              <w:noProof/>
              <w:sz w:val="24"/>
              <w:szCs w:val="24"/>
              <w:lang w:eastAsia="en-GB"/>
            </w:rPr>
          </w:pPr>
          <w:hyperlink w:anchor="_Toc215694796" w:history="1">
            <w:r w:rsidRPr="005D2242">
              <w:rPr>
                <w:rStyle w:val="Hyperlink"/>
                <w:rFonts w:ascii="Arial" w:hAnsi="Arial" w:cs="Arial"/>
                <w:b/>
                <w:bCs/>
                <w:noProof/>
                <w:lang w:eastAsia="en-GB"/>
              </w:rPr>
              <w:t>Health Promotion</w:t>
            </w:r>
            <w:r>
              <w:rPr>
                <w:noProof/>
                <w:webHidden/>
              </w:rPr>
              <w:tab/>
            </w:r>
            <w:r>
              <w:rPr>
                <w:noProof/>
                <w:webHidden/>
              </w:rPr>
              <w:fldChar w:fldCharType="begin"/>
            </w:r>
            <w:r>
              <w:rPr>
                <w:noProof/>
                <w:webHidden/>
              </w:rPr>
              <w:instrText xml:space="preserve"> PAGEREF _Toc215694796 \h </w:instrText>
            </w:r>
            <w:r>
              <w:rPr>
                <w:noProof/>
                <w:webHidden/>
              </w:rPr>
            </w:r>
            <w:r>
              <w:rPr>
                <w:noProof/>
                <w:webHidden/>
              </w:rPr>
              <w:fldChar w:fldCharType="separate"/>
            </w:r>
            <w:r>
              <w:rPr>
                <w:noProof/>
                <w:webHidden/>
              </w:rPr>
              <w:t>10</w:t>
            </w:r>
            <w:r>
              <w:rPr>
                <w:noProof/>
                <w:webHidden/>
              </w:rPr>
              <w:fldChar w:fldCharType="end"/>
            </w:r>
          </w:hyperlink>
        </w:p>
        <w:p w14:paraId="1991FA69" w14:textId="25B4A402" w:rsidR="00BE0F69" w:rsidRDefault="00BE0F69">
          <w:pPr>
            <w:pStyle w:val="TOC2"/>
            <w:tabs>
              <w:tab w:val="left" w:pos="720"/>
              <w:tab w:val="right" w:leader="dot" w:pos="9016"/>
            </w:tabs>
            <w:rPr>
              <w:rFonts w:eastAsiaTheme="minorEastAsia"/>
              <w:noProof/>
              <w:sz w:val="24"/>
              <w:szCs w:val="24"/>
              <w:lang w:eastAsia="en-GB"/>
            </w:rPr>
          </w:pPr>
          <w:hyperlink w:anchor="_Toc215694797"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Public Health Impact: Short- and Long-Term Consequences</w:t>
            </w:r>
            <w:r>
              <w:rPr>
                <w:noProof/>
                <w:webHidden/>
              </w:rPr>
              <w:tab/>
            </w:r>
            <w:r>
              <w:rPr>
                <w:noProof/>
                <w:webHidden/>
              </w:rPr>
              <w:fldChar w:fldCharType="begin"/>
            </w:r>
            <w:r>
              <w:rPr>
                <w:noProof/>
                <w:webHidden/>
              </w:rPr>
              <w:instrText xml:space="preserve"> PAGEREF _Toc215694797 \h </w:instrText>
            </w:r>
            <w:r>
              <w:rPr>
                <w:noProof/>
                <w:webHidden/>
              </w:rPr>
            </w:r>
            <w:r>
              <w:rPr>
                <w:noProof/>
                <w:webHidden/>
              </w:rPr>
              <w:fldChar w:fldCharType="separate"/>
            </w:r>
            <w:r>
              <w:rPr>
                <w:noProof/>
                <w:webHidden/>
              </w:rPr>
              <w:t>10</w:t>
            </w:r>
            <w:r>
              <w:rPr>
                <w:noProof/>
                <w:webHidden/>
              </w:rPr>
              <w:fldChar w:fldCharType="end"/>
            </w:r>
          </w:hyperlink>
        </w:p>
        <w:p w14:paraId="10404046" w14:textId="35CF65D9" w:rsidR="00BE0F69" w:rsidRDefault="00BE0F69">
          <w:pPr>
            <w:pStyle w:val="TOC3"/>
            <w:tabs>
              <w:tab w:val="right" w:leader="dot" w:pos="9016"/>
            </w:tabs>
            <w:rPr>
              <w:rFonts w:eastAsiaTheme="minorEastAsia"/>
              <w:noProof/>
              <w:sz w:val="24"/>
              <w:szCs w:val="24"/>
              <w:lang w:eastAsia="en-GB"/>
            </w:rPr>
          </w:pPr>
          <w:hyperlink w:anchor="_Toc215694798" w:history="1">
            <w:r w:rsidRPr="005D2242">
              <w:rPr>
                <w:rStyle w:val="Hyperlink"/>
                <w:rFonts w:ascii="Arial" w:hAnsi="Arial" w:cs="Arial"/>
                <w:b/>
                <w:bCs/>
                <w:noProof/>
                <w:lang w:eastAsia="en-GB"/>
              </w:rPr>
              <w:t>Short-Term Effects</w:t>
            </w:r>
            <w:r>
              <w:rPr>
                <w:noProof/>
                <w:webHidden/>
              </w:rPr>
              <w:tab/>
            </w:r>
            <w:r>
              <w:rPr>
                <w:noProof/>
                <w:webHidden/>
              </w:rPr>
              <w:fldChar w:fldCharType="begin"/>
            </w:r>
            <w:r>
              <w:rPr>
                <w:noProof/>
                <w:webHidden/>
              </w:rPr>
              <w:instrText xml:space="preserve"> PAGEREF _Toc215694798 \h </w:instrText>
            </w:r>
            <w:r>
              <w:rPr>
                <w:noProof/>
                <w:webHidden/>
              </w:rPr>
            </w:r>
            <w:r>
              <w:rPr>
                <w:noProof/>
                <w:webHidden/>
              </w:rPr>
              <w:fldChar w:fldCharType="separate"/>
            </w:r>
            <w:r>
              <w:rPr>
                <w:noProof/>
                <w:webHidden/>
              </w:rPr>
              <w:t>10</w:t>
            </w:r>
            <w:r>
              <w:rPr>
                <w:noProof/>
                <w:webHidden/>
              </w:rPr>
              <w:fldChar w:fldCharType="end"/>
            </w:r>
          </w:hyperlink>
        </w:p>
        <w:p w14:paraId="0BEE84C4" w14:textId="703EFCAB" w:rsidR="00BE0F69" w:rsidRDefault="00BE0F69">
          <w:pPr>
            <w:pStyle w:val="TOC3"/>
            <w:tabs>
              <w:tab w:val="right" w:leader="dot" w:pos="9016"/>
            </w:tabs>
            <w:rPr>
              <w:rFonts w:eastAsiaTheme="minorEastAsia"/>
              <w:noProof/>
              <w:sz w:val="24"/>
              <w:szCs w:val="24"/>
              <w:lang w:eastAsia="en-GB"/>
            </w:rPr>
          </w:pPr>
          <w:hyperlink w:anchor="_Toc215694799" w:history="1">
            <w:r w:rsidRPr="005D2242">
              <w:rPr>
                <w:rStyle w:val="Hyperlink"/>
                <w:rFonts w:ascii="Arial" w:hAnsi="Arial" w:cs="Arial"/>
                <w:b/>
                <w:bCs/>
                <w:noProof/>
                <w:lang w:eastAsia="en-GB"/>
              </w:rPr>
              <w:t>Long-Term Effects</w:t>
            </w:r>
            <w:r>
              <w:rPr>
                <w:noProof/>
                <w:webHidden/>
              </w:rPr>
              <w:tab/>
            </w:r>
            <w:r>
              <w:rPr>
                <w:noProof/>
                <w:webHidden/>
              </w:rPr>
              <w:fldChar w:fldCharType="begin"/>
            </w:r>
            <w:r>
              <w:rPr>
                <w:noProof/>
                <w:webHidden/>
              </w:rPr>
              <w:instrText xml:space="preserve"> PAGEREF _Toc215694799 \h </w:instrText>
            </w:r>
            <w:r>
              <w:rPr>
                <w:noProof/>
                <w:webHidden/>
              </w:rPr>
            </w:r>
            <w:r>
              <w:rPr>
                <w:noProof/>
                <w:webHidden/>
              </w:rPr>
              <w:fldChar w:fldCharType="separate"/>
            </w:r>
            <w:r>
              <w:rPr>
                <w:noProof/>
                <w:webHidden/>
              </w:rPr>
              <w:t>11</w:t>
            </w:r>
            <w:r>
              <w:rPr>
                <w:noProof/>
                <w:webHidden/>
              </w:rPr>
              <w:fldChar w:fldCharType="end"/>
            </w:r>
          </w:hyperlink>
        </w:p>
        <w:p w14:paraId="586803AE" w14:textId="5927C07C" w:rsidR="00BE0F69" w:rsidRDefault="00BE0F69">
          <w:pPr>
            <w:pStyle w:val="TOC2"/>
            <w:tabs>
              <w:tab w:val="left" w:pos="720"/>
              <w:tab w:val="right" w:leader="dot" w:pos="9016"/>
            </w:tabs>
            <w:rPr>
              <w:rFonts w:eastAsiaTheme="minorEastAsia"/>
              <w:noProof/>
              <w:sz w:val="24"/>
              <w:szCs w:val="24"/>
              <w:lang w:eastAsia="en-GB"/>
            </w:rPr>
          </w:pPr>
          <w:hyperlink w:anchor="_Toc215694800"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Intervention Design: Liverpool Dementia Prevention and Support Programme</w:t>
            </w:r>
            <w:r>
              <w:rPr>
                <w:noProof/>
                <w:webHidden/>
              </w:rPr>
              <w:tab/>
            </w:r>
            <w:r>
              <w:rPr>
                <w:noProof/>
                <w:webHidden/>
              </w:rPr>
              <w:fldChar w:fldCharType="begin"/>
            </w:r>
            <w:r>
              <w:rPr>
                <w:noProof/>
                <w:webHidden/>
              </w:rPr>
              <w:instrText xml:space="preserve"> PAGEREF _Toc215694800 \h </w:instrText>
            </w:r>
            <w:r>
              <w:rPr>
                <w:noProof/>
                <w:webHidden/>
              </w:rPr>
            </w:r>
            <w:r>
              <w:rPr>
                <w:noProof/>
                <w:webHidden/>
              </w:rPr>
              <w:fldChar w:fldCharType="separate"/>
            </w:r>
            <w:r>
              <w:rPr>
                <w:noProof/>
                <w:webHidden/>
              </w:rPr>
              <w:t>11</w:t>
            </w:r>
            <w:r>
              <w:rPr>
                <w:noProof/>
                <w:webHidden/>
              </w:rPr>
              <w:fldChar w:fldCharType="end"/>
            </w:r>
          </w:hyperlink>
        </w:p>
        <w:p w14:paraId="2962180F" w14:textId="3AB8170F" w:rsidR="00BE0F69" w:rsidRDefault="00BE0F69">
          <w:pPr>
            <w:pStyle w:val="TOC2"/>
            <w:tabs>
              <w:tab w:val="left" w:pos="720"/>
              <w:tab w:val="right" w:leader="dot" w:pos="9016"/>
            </w:tabs>
            <w:rPr>
              <w:rFonts w:eastAsiaTheme="minorEastAsia"/>
              <w:noProof/>
              <w:sz w:val="24"/>
              <w:szCs w:val="24"/>
              <w:lang w:eastAsia="en-GB"/>
            </w:rPr>
          </w:pPr>
          <w:hyperlink w:anchor="_Toc215694801"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Strengths and Weaknesses of the Epidemiological Approach</w:t>
            </w:r>
            <w:r>
              <w:rPr>
                <w:noProof/>
                <w:webHidden/>
              </w:rPr>
              <w:tab/>
            </w:r>
            <w:r>
              <w:rPr>
                <w:noProof/>
                <w:webHidden/>
              </w:rPr>
              <w:fldChar w:fldCharType="begin"/>
            </w:r>
            <w:r>
              <w:rPr>
                <w:noProof/>
                <w:webHidden/>
              </w:rPr>
              <w:instrText xml:space="preserve"> PAGEREF _Toc215694801 \h </w:instrText>
            </w:r>
            <w:r>
              <w:rPr>
                <w:noProof/>
                <w:webHidden/>
              </w:rPr>
            </w:r>
            <w:r>
              <w:rPr>
                <w:noProof/>
                <w:webHidden/>
              </w:rPr>
              <w:fldChar w:fldCharType="separate"/>
            </w:r>
            <w:r>
              <w:rPr>
                <w:noProof/>
                <w:webHidden/>
              </w:rPr>
              <w:t>12</w:t>
            </w:r>
            <w:r>
              <w:rPr>
                <w:noProof/>
                <w:webHidden/>
              </w:rPr>
              <w:fldChar w:fldCharType="end"/>
            </w:r>
          </w:hyperlink>
        </w:p>
        <w:p w14:paraId="3341B5DE" w14:textId="56CF8F15" w:rsidR="00BE0F69" w:rsidRDefault="00BE0F69">
          <w:pPr>
            <w:pStyle w:val="TOC2"/>
            <w:tabs>
              <w:tab w:val="left" w:pos="720"/>
              <w:tab w:val="right" w:leader="dot" w:pos="9016"/>
            </w:tabs>
            <w:rPr>
              <w:rFonts w:eastAsiaTheme="minorEastAsia"/>
              <w:noProof/>
              <w:sz w:val="24"/>
              <w:szCs w:val="24"/>
              <w:lang w:eastAsia="en-GB"/>
            </w:rPr>
          </w:pPr>
          <w:hyperlink w:anchor="_Toc215694802" w:history="1">
            <w:r w:rsidRPr="005D2242">
              <w:rPr>
                <w:rStyle w:val="Hyperlink"/>
                <w:rFonts w:ascii="Symbol" w:hAnsi="Symbol" w:cs="Arial"/>
                <w:bCs/>
                <w:noProof/>
                <w:lang w:eastAsia="en-GB"/>
              </w:rPr>
              <w:t></w:t>
            </w:r>
            <w:r>
              <w:rPr>
                <w:rFonts w:eastAsiaTheme="minorEastAsia"/>
                <w:noProof/>
                <w:sz w:val="24"/>
                <w:szCs w:val="24"/>
                <w:lang w:eastAsia="en-GB"/>
              </w:rPr>
              <w:tab/>
            </w:r>
            <w:r w:rsidRPr="005D2242">
              <w:rPr>
                <w:rStyle w:val="Hyperlink"/>
                <w:rFonts w:ascii="Arial" w:hAnsi="Arial" w:cs="Arial"/>
                <w:b/>
                <w:bCs/>
                <w:noProof/>
                <w:lang w:eastAsia="en-GB"/>
              </w:rPr>
              <w:t>Conclusion</w:t>
            </w:r>
            <w:r>
              <w:rPr>
                <w:noProof/>
                <w:webHidden/>
              </w:rPr>
              <w:tab/>
            </w:r>
            <w:r>
              <w:rPr>
                <w:noProof/>
                <w:webHidden/>
              </w:rPr>
              <w:fldChar w:fldCharType="begin"/>
            </w:r>
            <w:r>
              <w:rPr>
                <w:noProof/>
                <w:webHidden/>
              </w:rPr>
              <w:instrText xml:space="preserve"> PAGEREF _Toc215694802 \h </w:instrText>
            </w:r>
            <w:r>
              <w:rPr>
                <w:noProof/>
                <w:webHidden/>
              </w:rPr>
            </w:r>
            <w:r>
              <w:rPr>
                <w:noProof/>
                <w:webHidden/>
              </w:rPr>
              <w:fldChar w:fldCharType="separate"/>
            </w:r>
            <w:r>
              <w:rPr>
                <w:noProof/>
                <w:webHidden/>
              </w:rPr>
              <w:t>12</w:t>
            </w:r>
            <w:r>
              <w:rPr>
                <w:noProof/>
                <w:webHidden/>
              </w:rPr>
              <w:fldChar w:fldCharType="end"/>
            </w:r>
          </w:hyperlink>
        </w:p>
        <w:p w14:paraId="7AEAC4E2" w14:textId="6A2CAAE8" w:rsidR="00BE0F69" w:rsidRDefault="00BE0F69">
          <w:pPr>
            <w:pStyle w:val="TOC2"/>
            <w:tabs>
              <w:tab w:val="left" w:pos="720"/>
              <w:tab w:val="right" w:leader="dot" w:pos="9016"/>
            </w:tabs>
            <w:rPr>
              <w:rFonts w:eastAsiaTheme="minorEastAsia"/>
              <w:noProof/>
              <w:sz w:val="24"/>
              <w:szCs w:val="24"/>
              <w:lang w:eastAsia="en-GB"/>
            </w:rPr>
          </w:pPr>
          <w:hyperlink w:anchor="_Toc215694803" w:history="1">
            <w:r w:rsidRPr="005D2242">
              <w:rPr>
                <w:rStyle w:val="Hyperlink"/>
                <w:rFonts w:ascii="Symbol" w:eastAsia="Times New Roman" w:hAnsi="Symbol" w:cs="Arial"/>
                <w:bCs/>
                <w:noProof/>
                <w:lang w:eastAsia="en-GB"/>
              </w:rPr>
              <w:t></w:t>
            </w:r>
            <w:r>
              <w:rPr>
                <w:rFonts w:eastAsiaTheme="minorEastAsia"/>
                <w:noProof/>
                <w:sz w:val="24"/>
                <w:szCs w:val="24"/>
                <w:lang w:eastAsia="en-GB"/>
              </w:rPr>
              <w:tab/>
            </w:r>
            <w:r w:rsidRPr="005D2242">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_Toc215694803 \h </w:instrText>
            </w:r>
            <w:r>
              <w:rPr>
                <w:noProof/>
                <w:webHidden/>
              </w:rPr>
            </w:r>
            <w:r>
              <w:rPr>
                <w:noProof/>
                <w:webHidden/>
              </w:rPr>
              <w:fldChar w:fldCharType="separate"/>
            </w:r>
            <w:r>
              <w:rPr>
                <w:noProof/>
                <w:webHidden/>
              </w:rPr>
              <w:t>13</w:t>
            </w:r>
            <w:r>
              <w:rPr>
                <w:noProof/>
                <w:webHidden/>
              </w:rPr>
              <w:fldChar w:fldCharType="end"/>
            </w:r>
          </w:hyperlink>
        </w:p>
        <w:p w14:paraId="74E87D62" w14:textId="1B901DFF" w:rsidR="00AC2DA5" w:rsidRDefault="00CB5A68" w:rsidP="00F21E79">
          <w:r>
            <w:rPr>
              <w:b/>
              <w:bCs/>
            </w:rPr>
            <w:fldChar w:fldCharType="end"/>
          </w:r>
        </w:p>
      </w:sdtContent>
    </w:sdt>
    <w:p w14:paraId="75EF857F" w14:textId="77777777" w:rsidR="00C00DEA" w:rsidRDefault="00C00DEA" w:rsidP="006623C0">
      <w:pPr>
        <w:pStyle w:val="Heading1"/>
        <w:rPr>
          <w:rFonts w:ascii="Arial" w:eastAsia="Times New Roman" w:hAnsi="Arial" w:cs="Arial"/>
          <w:b/>
          <w:bCs/>
          <w:color w:val="auto"/>
          <w:sz w:val="32"/>
          <w:szCs w:val="32"/>
          <w:lang w:eastAsia="en-GB"/>
        </w:rPr>
      </w:pPr>
    </w:p>
    <w:p w14:paraId="4ECAB399" w14:textId="77777777" w:rsidR="00BE0F69" w:rsidRDefault="00AC2DA5" w:rsidP="00BE0F69">
      <w:pPr>
        <w:pStyle w:val="Heading1"/>
        <w:rPr>
          <w:rFonts w:ascii="Arial" w:hAnsi="Arial" w:cs="Arial"/>
          <w:b/>
          <w:bCs/>
          <w:color w:val="auto"/>
          <w:sz w:val="32"/>
          <w:szCs w:val="32"/>
        </w:rPr>
      </w:pPr>
      <w:bookmarkStart w:id="0" w:name="_Toc215694774"/>
      <w:r w:rsidRPr="008B5678">
        <w:rPr>
          <w:rFonts w:ascii="Arial" w:hAnsi="Arial" w:cs="Arial"/>
          <w:b/>
          <w:bCs/>
          <w:color w:val="auto"/>
          <w:sz w:val="32"/>
          <w:szCs w:val="32"/>
        </w:rPr>
        <w:t>TASK 1: Social Epidemiological Analysis</w:t>
      </w:r>
      <w:bookmarkEnd w:id="0"/>
      <w:r w:rsidRPr="008B5678">
        <w:rPr>
          <w:rFonts w:ascii="Arial" w:hAnsi="Arial" w:cs="Arial"/>
          <w:b/>
          <w:bCs/>
          <w:color w:val="auto"/>
          <w:sz w:val="32"/>
          <w:szCs w:val="32"/>
        </w:rPr>
        <w:t xml:space="preserve"> </w:t>
      </w:r>
      <w:bookmarkStart w:id="1" w:name="_Toc215694775"/>
    </w:p>
    <w:p w14:paraId="1CA34463" w14:textId="79265653" w:rsidR="00AC2DA5" w:rsidRPr="00BE0F69" w:rsidRDefault="00AC2DA5" w:rsidP="00BE0F69">
      <w:pPr>
        <w:pStyle w:val="Heading1"/>
        <w:rPr>
          <w:rFonts w:ascii="Arial" w:hAnsi="Arial" w:cs="Arial"/>
          <w:b/>
          <w:bCs/>
          <w:color w:val="auto"/>
          <w:sz w:val="32"/>
          <w:szCs w:val="32"/>
        </w:rPr>
      </w:pPr>
      <w:r w:rsidRPr="008B5678">
        <w:rPr>
          <w:rFonts w:ascii="Arial" w:eastAsia="Times New Roman" w:hAnsi="Arial" w:cs="Arial"/>
          <w:b/>
          <w:bCs/>
          <w:color w:val="auto"/>
          <w:sz w:val="28"/>
          <w:szCs w:val="28"/>
          <w:lang w:eastAsia="en-GB"/>
        </w:rPr>
        <w:t>Age and Health Inequalities Among Older Adults (65+) in the UK</w:t>
      </w:r>
      <w:bookmarkEnd w:id="1"/>
    </w:p>
    <w:p w14:paraId="345BBC82" w14:textId="77777777" w:rsidR="00E65540" w:rsidRPr="0020613C" w:rsidRDefault="00E65540" w:rsidP="004C1B28">
      <w:pPr>
        <w:pStyle w:val="Heading2"/>
        <w:rPr>
          <w:rFonts w:eastAsia="Times New Roman"/>
          <w:kern w:val="0"/>
          <w:sz w:val="22"/>
          <w:szCs w:val="22"/>
          <w:lang w:eastAsia="en-GB"/>
          <w14:ligatures w14:val="none"/>
        </w:rPr>
      </w:pPr>
    </w:p>
    <w:p w14:paraId="4FC00BBA" w14:textId="2BF03A23" w:rsidR="005542F2" w:rsidRPr="008B5678" w:rsidRDefault="005542F2" w:rsidP="008B5678">
      <w:pPr>
        <w:pStyle w:val="Heading3"/>
        <w:numPr>
          <w:ilvl w:val="0"/>
          <w:numId w:val="33"/>
        </w:numPr>
        <w:rPr>
          <w:rFonts w:ascii="Arial" w:eastAsia="Times New Roman" w:hAnsi="Arial" w:cs="Arial"/>
          <w:b/>
          <w:bCs/>
          <w:color w:val="auto"/>
          <w:sz w:val="24"/>
          <w:szCs w:val="24"/>
          <w:lang w:eastAsia="en-GB"/>
        </w:rPr>
      </w:pPr>
      <w:bookmarkStart w:id="2" w:name="_Toc215694776"/>
      <w:r w:rsidRPr="008B5678">
        <w:rPr>
          <w:rFonts w:ascii="Arial" w:eastAsia="Times New Roman" w:hAnsi="Arial" w:cs="Arial"/>
          <w:b/>
          <w:bCs/>
          <w:color w:val="auto"/>
          <w:sz w:val="24"/>
          <w:szCs w:val="24"/>
          <w:lang w:eastAsia="en-GB"/>
        </w:rPr>
        <w:t>Introduction</w:t>
      </w:r>
      <w:bookmarkEnd w:id="2"/>
      <w:r w:rsidRPr="008B5678">
        <w:rPr>
          <w:rFonts w:ascii="Arial" w:eastAsia="Times New Roman" w:hAnsi="Arial" w:cs="Arial"/>
          <w:b/>
          <w:bCs/>
          <w:color w:val="auto"/>
          <w:sz w:val="24"/>
          <w:szCs w:val="24"/>
          <w:lang w:eastAsia="en-GB"/>
        </w:rPr>
        <w:t xml:space="preserve"> </w:t>
      </w:r>
    </w:p>
    <w:p w14:paraId="6F58D5AB" w14:textId="77777777" w:rsidR="00472990" w:rsidRPr="00472990" w:rsidRDefault="00472990" w:rsidP="00472990">
      <w:pPr>
        <w:rPr>
          <w:lang w:eastAsia="en-GB"/>
        </w:rPr>
      </w:pPr>
    </w:p>
    <w:p w14:paraId="158EBD22" w14:textId="001578F5"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Older adults aged 65 and above make up a rapidly expanding proportion of the UK population and face the most persistent and complex health inequalities (ONS, 2020). Although ageing is a natural process, older people experience disproportionate disease burden, reduced access to services, multimorbidity, socioeconomic hardship and barriers linked to digital exclusion (Centre for Ageing Better, 2024). Inequalities arise through cumulative disadvantage across the life course, shaped by factors such as deprivation, living arrangements, education, ethnicity, </w:t>
      </w:r>
      <w:r w:rsidR="003E0EB9" w:rsidRPr="005542F2">
        <w:rPr>
          <w:rFonts w:ascii="Arial" w:eastAsia="Times New Roman" w:hAnsi="Arial" w:cs="Arial"/>
          <w:kern w:val="0"/>
          <w:lang w:eastAsia="en-GB"/>
          <w14:ligatures w14:val="none"/>
        </w:rPr>
        <w:t>gender,</w:t>
      </w:r>
      <w:r w:rsidRPr="005542F2">
        <w:rPr>
          <w:rFonts w:ascii="Arial" w:eastAsia="Times New Roman" w:hAnsi="Arial" w:cs="Arial"/>
          <w:kern w:val="0"/>
          <w:lang w:eastAsia="en-GB"/>
          <w14:ligatures w14:val="none"/>
        </w:rPr>
        <w:t xml:space="preserve"> and social exclusion (Hermans et al., 2025; Kneale et al., 2020). Older adults in deprived areas are particularly vulnerable, experiencing higher rates of chronic illness, </w:t>
      </w:r>
      <w:r w:rsidR="003E0EB9" w:rsidRPr="005542F2">
        <w:rPr>
          <w:rFonts w:ascii="Arial" w:eastAsia="Times New Roman" w:hAnsi="Arial" w:cs="Arial"/>
          <w:kern w:val="0"/>
          <w:lang w:eastAsia="en-GB"/>
          <w14:ligatures w14:val="none"/>
        </w:rPr>
        <w:t>disability,</w:t>
      </w:r>
      <w:r w:rsidRPr="005542F2">
        <w:rPr>
          <w:rFonts w:ascii="Arial" w:eastAsia="Times New Roman" w:hAnsi="Arial" w:cs="Arial"/>
          <w:kern w:val="0"/>
          <w:lang w:eastAsia="en-GB"/>
          <w14:ligatures w14:val="none"/>
        </w:rPr>
        <w:t xml:space="preserve"> and premature mortality (Bennett et al., 2024). These disadvantages compound to create a widening health gap between older people and the rest of the population. Understanding the specific disease-related and social inequalities faced by older adults is essential for designing fair, effective national responses and promoting healthy ageing across the UK.</w:t>
      </w:r>
    </w:p>
    <w:p w14:paraId="3F11CD3F" w14:textId="77777777" w:rsidR="00911C67" w:rsidRPr="005542F2" w:rsidRDefault="00911C67" w:rsidP="005542F2">
      <w:pPr>
        <w:spacing w:after="0" w:line="360" w:lineRule="auto"/>
        <w:rPr>
          <w:rFonts w:ascii="Arial" w:eastAsia="Times New Roman" w:hAnsi="Arial" w:cs="Arial"/>
          <w:kern w:val="0"/>
          <w:lang w:eastAsia="en-GB"/>
          <w14:ligatures w14:val="none"/>
        </w:rPr>
      </w:pPr>
    </w:p>
    <w:p w14:paraId="67B3EB6D" w14:textId="19DDA3A3" w:rsidR="005542F2" w:rsidRPr="008B5678" w:rsidRDefault="005542F2" w:rsidP="008B5678">
      <w:pPr>
        <w:pStyle w:val="Heading3"/>
        <w:numPr>
          <w:ilvl w:val="0"/>
          <w:numId w:val="32"/>
        </w:numPr>
        <w:rPr>
          <w:rFonts w:ascii="Arial" w:eastAsia="Times New Roman" w:hAnsi="Arial" w:cs="Arial"/>
          <w:b/>
          <w:bCs/>
          <w:color w:val="auto"/>
          <w:sz w:val="24"/>
          <w:szCs w:val="24"/>
          <w:lang w:eastAsia="en-GB"/>
        </w:rPr>
      </w:pPr>
      <w:bookmarkStart w:id="3" w:name="_Toc215694777"/>
      <w:r w:rsidRPr="008B5678">
        <w:rPr>
          <w:rFonts w:ascii="Arial" w:eastAsia="Times New Roman" w:hAnsi="Arial" w:cs="Arial"/>
          <w:b/>
          <w:bCs/>
          <w:color w:val="auto"/>
          <w:sz w:val="24"/>
          <w:szCs w:val="24"/>
          <w:lang w:eastAsia="en-GB"/>
        </w:rPr>
        <w:t>Contextual Background and Underlying Factors</w:t>
      </w:r>
      <w:bookmarkEnd w:id="3"/>
      <w:r w:rsidRPr="008B5678">
        <w:rPr>
          <w:rFonts w:ascii="Arial" w:eastAsia="Times New Roman" w:hAnsi="Arial" w:cs="Arial"/>
          <w:b/>
          <w:bCs/>
          <w:color w:val="auto"/>
          <w:sz w:val="24"/>
          <w:szCs w:val="24"/>
          <w:lang w:eastAsia="en-GB"/>
        </w:rPr>
        <w:t xml:space="preserve"> </w:t>
      </w:r>
    </w:p>
    <w:p w14:paraId="0BDEE383" w14:textId="77777777" w:rsidR="00F82A6C" w:rsidRPr="005542F2" w:rsidRDefault="00F82A6C" w:rsidP="005542F2">
      <w:pPr>
        <w:spacing w:after="0" w:line="360" w:lineRule="auto"/>
        <w:rPr>
          <w:rFonts w:ascii="Arial" w:eastAsia="Times New Roman" w:hAnsi="Arial" w:cs="Arial"/>
          <w:b/>
          <w:bCs/>
          <w:kern w:val="0"/>
          <w:lang w:eastAsia="en-GB"/>
          <w14:ligatures w14:val="none"/>
        </w:rPr>
      </w:pPr>
    </w:p>
    <w:p w14:paraId="7C5B9A6C"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1. Higher Prevalence of Dementia (Disease Inequality)</w:t>
      </w:r>
    </w:p>
    <w:p w14:paraId="61401BAA" w14:textId="2A357483"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Dementia disproportionately affects older adults, with approximately 1 in 14 people aged 65 or older living with the condition (Alzheimer’s Society, 2022). Risk is elevated by socioeconomic deprivation, poor cardiovascular health, and barriers to early diagnosis (Marmot et al., 2020). Older adults from minority ethnic backgrounds may experience delayed diagnosis due to stigma, language difficulties and limited culturally appropriate information (Paudyal et al., 2025). Prevalence is also higher in deprived cities such as Liverpool, where chronic illness and poverty are more common (Liverpool City Council, n.d.). Early diagnosis services, culturally tailored </w:t>
      </w:r>
      <w:r w:rsidR="003E0EB9" w:rsidRPr="005542F2">
        <w:rPr>
          <w:rFonts w:ascii="Arial" w:eastAsia="Times New Roman" w:hAnsi="Arial" w:cs="Arial"/>
          <w:kern w:val="0"/>
          <w:lang w:eastAsia="en-GB"/>
          <w14:ligatures w14:val="none"/>
        </w:rPr>
        <w:t>outreach,</w:t>
      </w:r>
      <w:r w:rsidRPr="005542F2">
        <w:rPr>
          <w:rFonts w:ascii="Arial" w:eastAsia="Times New Roman" w:hAnsi="Arial" w:cs="Arial"/>
          <w:kern w:val="0"/>
          <w:lang w:eastAsia="en-GB"/>
          <w14:ligatures w14:val="none"/>
        </w:rPr>
        <w:t xml:space="preserve"> and dementia-friendly community programmes can help reduce these inequalities (NICE, 2018).</w:t>
      </w:r>
    </w:p>
    <w:p w14:paraId="0242347A" w14:textId="77777777" w:rsidR="00F82A6C" w:rsidRPr="005542F2" w:rsidRDefault="00F82A6C" w:rsidP="005542F2">
      <w:pPr>
        <w:spacing w:after="0" w:line="360" w:lineRule="auto"/>
        <w:rPr>
          <w:rFonts w:ascii="Arial" w:eastAsia="Times New Roman" w:hAnsi="Arial" w:cs="Arial"/>
          <w:kern w:val="0"/>
          <w:lang w:eastAsia="en-GB"/>
          <w14:ligatures w14:val="none"/>
        </w:rPr>
      </w:pPr>
    </w:p>
    <w:p w14:paraId="73724177"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lastRenderedPageBreak/>
        <w:t>2. Cardiovascular Disease (Disease Inequality)</w:t>
      </w:r>
    </w:p>
    <w:p w14:paraId="014663FA" w14:textId="7F20EE01"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Cardiovascular disease (CVD) remains a leading cause of illness and death among older adults. Lifestyle risks, multimorbidity and deprivation all contribute to its higher prevalence in older age (British Heart Foundation, 2023). Older adults in deprived neighbourhoods face significantly higher mortality from CVD than those in affluent areas (Bennett et al., 2024). Ethnic minority older adults also experience compounded risk due to structural disadvantages (Evandrou et al., 2016). Community health screening, targeted prevention </w:t>
      </w:r>
      <w:r w:rsidR="003E0EB9" w:rsidRPr="005542F2">
        <w:rPr>
          <w:rFonts w:ascii="Arial" w:eastAsia="Times New Roman" w:hAnsi="Arial" w:cs="Arial"/>
          <w:kern w:val="0"/>
          <w:lang w:eastAsia="en-GB"/>
          <w14:ligatures w14:val="none"/>
        </w:rPr>
        <w:t>initiatives,</w:t>
      </w:r>
      <w:r w:rsidRPr="005542F2">
        <w:rPr>
          <w:rFonts w:ascii="Arial" w:eastAsia="Times New Roman" w:hAnsi="Arial" w:cs="Arial"/>
          <w:kern w:val="0"/>
          <w:lang w:eastAsia="en-GB"/>
          <w14:ligatures w14:val="none"/>
        </w:rPr>
        <w:t xml:space="preserve"> and improved management of conditions such as diabetes and hypertension can help reduce CVD inequalities (Public Health England, 2019).</w:t>
      </w:r>
    </w:p>
    <w:p w14:paraId="00BA1609" w14:textId="77777777" w:rsidR="00F82A6C" w:rsidRPr="005542F2" w:rsidRDefault="00F82A6C" w:rsidP="005542F2">
      <w:pPr>
        <w:spacing w:after="0" w:line="360" w:lineRule="auto"/>
        <w:rPr>
          <w:rFonts w:ascii="Arial" w:eastAsia="Times New Roman" w:hAnsi="Arial" w:cs="Arial"/>
          <w:kern w:val="0"/>
          <w:lang w:eastAsia="en-GB"/>
          <w14:ligatures w14:val="none"/>
        </w:rPr>
      </w:pPr>
    </w:p>
    <w:p w14:paraId="0476171C"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3. Social Isolation and Loneliness (Social Inequality)</w:t>
      </w:r>
    </w:p>
    <w:p w14:paraId="416143DF" w14:textId="287A8072"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More than one million older people in the UK experience chronic loneliness (Age UK, 2019). Social isolation disproportionately affects those living alone, those in deprived areas and those with limited digital access (Wu, Xue &amp; Ma, 2025). Loneliness increases the risk of depression, </w:t>
      </w:r>
      <w:r w:rsidR="003E0EB9" w:rsidRPr="005542F2">
        <w:rPr>
          <w:rFonts w:ascii="Arial" w:eastAsia="Times New Roman" w:hAnsi="Arial" w:cs="Arial"/>
          <w:kern w:val="0"/>
          <w:lang w:eastAsia="en-GB"/>
          <w14:ligatures w14:val="none"/>
        </w:rPr>
        <w:t>dementia,</w:t>
      </w:r>
      <w:r w:rsidRPr="005542F2">
        <w:rPr>
          <w:rFonts w:ascii="Arial" w:eastAsia="Times New Roman" w:hAnsi="Arial" w:cs="Arial"/>
          <w:kern w:val="0"/>
          <w:lang w:eastAsia="en-GB"/>
          <w14:ligatures w14:val="none"/>
        </w:rPr>
        <w:t xml:space="preserve"> and early mortality (Westwood et al., 2020). Solutions include befriending services, digital inclusion </w:t>
      </w:r>
      <w:r w:rsidR="003E0EB9" w:rsidRPr="005542F2">
        <w:rPr>
          <w:rFonts w:ascii="Arial" w:eastAsia="Times New Roman" w:hAnsi="Arial" w:cs="Arial"/>
          <w:kern w:val="0"/>
          <w:lang w:eastAsia="en-GB"/>
          <w14:ligatures w14:val="none"/>
        </w:rPr>
        <w:t>programmes,</w:t>
      </w:r>
      <w:r w:rsidRPr="005542F2">
        <w:rPr>
          <w:rFonts w:ascii="Arial" w:eastAsia="Times New Roman" w:hAnsi="Arial" w:cs="Arial"/>
          <w:kern w:val="0"/>
          <w:lang w:eastAsia="en-GB"/>
          <w14:ligatures w14:val="none"/>
        </w:rPr>
        <w:t xml:space="preserve"> and community-led social activities.</w:t>
      </w:r>
    </w:p>
    <w:p w14:paraId="62BE5A8F" w14:textId="77777777" w:rsidR="00F82A6C" w:rsidRPr="005542F2" w:rsidRDefault="00F82A6C" w:rsidP="005542F2">
      <w:pPr>
        <w:spacing w:after="0" w:line="360" w:lineRule="auto"/>
        <w:rPr>
          <w:rFonts w:ascii="Arial" w:eastAsia="Times New Roman" w:hAnsi="Arial" w:cs="Arial"/>
          <w:kern w:val="0"/>
          <w:lang w:eastAsia="en-GB"/>
          <w14:ligatures w14:val="none"/>
        </w:rPr>
      </w:pPr>
    </w:p>
    <w:p w14:paraId="4B7597E9"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4. Poverty and Financial Insecurity (Social Inequality)</w:t>
      </w:r>
    </w:p>
    <w:p w14:paraId="7951B4AF" w14:textId="77777777"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An estimated 2.1 million UK pensioners live in relative poverty (Department for Work and Pensions, 2023). Poverty contributes to poor nutrition, stress, reduced access to health care, cold housing and difficulty navigating services. Socioeconomic disparities in later life remain deeply rooted (Lima-Costa et al., 2012; Rahman, Khan &amp; Hafford-Letchfield, 2015). Increasing access to Pension Credit, extending Warm Home Discount support, and improving financial advice services can mitigate these inequalities.</w:t>
      </w:r>
    </w:p>
    <w:p w14:paraId="4E8DA51E" w14:textId="7DE55ED7" w:rsidR="005542F2" w:rsidRPr="005542F2" w:rsidRDefault="005542F2" w:rsidP="005542F2">
      <w:pPr>
        <w:spacing w:after="0" w:line="360" w:lineRule="auto"/>
        <w:rPr>
          <w:rFonts w:ascii="Arial" w:eastAsia="Times New Roman" w:hAnsi="Arial" w:cs="Arial"/>
          <w:kern w:val="0"/>
          <w:lang w:eastAsia="en-GB"/>
          <w14:ligatures w14:val="none"/>
        </w:rPr>
      </w:pPr>
    </w:p>
    <w:p w14:paraId="2B04605E" w14:textId="29984118" w:rsidR="005542F2" w:rsidRPr="008B5678" w:rsidRDefault="005542F2" w:rsidP="008B5678">
      <w:pPr>
        <w:pStyle w:val="Heading3"/>
        <w:numPr>
          <w:ilvl w:val="0"/>
          <w:numId w:val="31"/>
        </w:numPr>
        <w:rPr>
          <w:rFonts w:ascii="Arial" w:eastAsia="Times New Roman" w:hAnsi="Arial" w:cs="Arial"/>
          <w:b/>
          <w:bCs/>
          <w:color w:val="auto"/>
          <w:sz w:val="24"/>
          <w:szCs w:val="24"/>
          <w:lang w:eastAsia="en-GB"/>
        </w:rPr>
      </w:pPr>
      <w:bookmarkStart w:id="4" w:name="_Toc215694778"/>
      <w:r w:rsidRPr="008B5678">
        <w:rPr>
          <w:rFonts w:ascii="Arial" w:eastAsia="Times New Roman" w:hAnsi="Arial" w:cs="Arial"/>
          <w:b/>
          <w:bCs/>
          <w:color w:val="auto"/>
          <w:sz w:val="24"/>
          <w:szCs w:val="24"/>
          <w:lang w:eastAsia="en-GB"/>
        </w:rPr>
        <w:t>National Response to Reduce Health Inequalities</w:t>
      </w:r>
      <w:bookmarkEnd w:id="4"/>
      <w:r w:rsidRPr="008B5678">
        <w:rPr>
          <w:rFonts w:ascii="Arial" w:eastAsia="Times New Roman" w:hAnsi="Arial" w:cs="Arial"/>
          <w:b/>
          <w:bCs/>
          <w:color w:val="auto"/>
          <w:sz w:val="24"/>
          <w:szCs w:val="24"/>
          <w:lang w:eastAsia="en-GB"/>
        </w:rPr>
        <w:t xml:space="preserve"> </w:t>
      </w:r>
    </w:p>
    <w:p w14:paraId="6C9060A9" w14:textId="77777777" w:rsidR="00F82A6C" w:rsidRPr="005542F2" w:rsidRDefault="00F82A6C" w:rsidP="005542F2">
      <w:pPr>
        <w:spacing w:after="0" w:line="360" w:lineRule="auto"/>
        <w:rPr>
          <w:rFonts w:ascii="Arial" w:eastAsia="Times New Roman" w:hAnsi="Arial" w:cs="Arial"/>
          <w:b/>
          <w:bCs/>
          <w:kern w:val="0"/>
          <w:lang w:eastAsia="en-GB"/>
          <w14:ligatures w14:val="none"/>
        </w:rPr>
      </w:pPr>
    </w:p>
    <w:p w14:paraId="61F1C246"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Marmot Review and Policy Frameworks</w:t>
      </w:r>
    </w:p>
    <w:p w14:paraId="12B6E640" w14:textId="2C248042"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Marmot Review (2010) and the follow-up Marmot Review: 10 Years On (2020) highlight how inequalities across the life course shape poorer health in old age. Key determinants—such as poor housing, low income, limited </w:t>
      </w:r>
      <w:r w:rsidR="003E0EB9" w:rsidRPr="005542F2">
        <w:rPr>
          <w:rFonts w:ascii="Arial" w:eastAsia="Times New Roman" w:hAnsi="Arial" w:cs="Arial"/>
          <w:kern w:val="0"/>
          <w:lang w:eastAsia="en-GB"/>
          <w14:ligatures w14:val="none"/>
        </w:rPr>
        <w:t>mobility,</w:t>
      </w:r>
      <w:r w:rsidRPr="005542F2">
        <w:rPr>
          <w:rFonts w:ascii="Arial" w:eastAsia="Times New Roman" w:hAnsi="Arial" w:cs="Arial"/>
          <w:kern w:val="0"/>
          <w:lang w:eastAsia="en-GB"/>
          <w14:ligatures w14:val="none"/>
        </w:rPr>
        <w:t xml:space="preserve"> and reduced access to transport—disproportionately affect older adults (Marmot et al., 2020). The review recommends proportionate universal policies, including stronger community support, integrated health and social care, age-friendly housing </w:t>
      </w:r>
      <w:r w:rsidR="003E0EB9" w:rsidRPr="005542F2">
        <w:rPr>
          <w:rFonts w:ascii="Arial" w:eastAsia="Times New Roman" w:hAnsi="Arial" w:cs="Arial"/>
          <w:kern w:val="0"/>
          <w:lang w:eastAsia="en-GB"/>
          <w14:ligatures w14:val="none"/>
        </w:rPr>
        <w:t>infrastructure,</w:t>
      </w:r>
      <w:r w:rsidRPr="005542F2">
        <w:rPr>
          <w:rFonts w:ascii="Arial" w:eastAsia="Times New Roman" w:hAnsi="Arial" w:cs="Arial"/>
          <w:kern w:val="0"/>
          <w:lang w:eastAsia="en-GB"/>
          <w14:ligatures w14:val="none"/>
        </w:rPr>
        <w:t xml:space="preserve"> and investment in deprived regions. These policies aim to empower older adults, improve autonomy, and address structural inequities contributing to premature ill health.</w:t>
      </w:r>
    </w:p>
    <w:p w14:paraId="0DABF188"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lastRenderedPageBreak/>
        <w:t>NHS Healthy Ageing and Dementia Strategies</w:t>
      </w:r>
    </w:p>
    <w:p w14:paraId="185D9E70" w14:textId="619F953F"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NHS Long Term Plan emphasises early dementia diagnosis, personalised </w:t>
      </w:r>
      <w:r w:rsidR="003E0EB9" w:rsidRPr="005542F2">
        <w:rPr>
          <w:rFonts w:ascii="Arial" w:eastAsia="Times New Roman" w:hAnsi="Arial" w:cs="Arial"/>
          <w:kern w:val="0"/>
          <w:lang w:eastAsia="en-GB"/>
          <w14:ligatures w14:val="none"/>
        </w:rPr>
        <w:t>care,</w:t>
      </w:r>
      <w:r w:rsidRPr="005542F2">
        <w:rPr>
          <w:rFonts w:ascii="Arial" w:eastAsia="Times New Roman" w:hAnsi="Arial" w:cs="Arial"/>
          <w:kern w:val="0"/>
          <w:lang w:eastAsia="en-GB"/>
          <w14:ligatures w14:val="none"/>
        </w:rPr>
        <w:t xml:space="preserve"> and improved support for carers, all of which reduce age-related health inequalities (NHS England, 2023). National frameworks such as </w:t>
      </w:r>
      <w:r w:rsidRPr="005542F2">
        <w:rPr>
          <w:rFonts w:ascii="Arial" w:eastAsia="Times New Roman" w:hAnsi="Arial" w:cs="Arial"/>
          <w:b/>
          <w:bCs/>
          <w:kern w:val="0"/>
          <w:lang w:eastAsia="en-GB"/>
          <w14:ligatures w14:val="none"/>
        </w:rPr>
        <w:t>All Our Health: Dementia</w:t>
      </w:r>
      <w:r w:rsidRPr="005542F2">
        <w:rPr>
          <w:rFonts w:ascii="Arial" w:eastAsia="Times New Roman" w:hAnsi="Arial" w:cs="Arial"/>
          <w:kern w:val="0"/>
          <w:lang w:eastAsia="en-GB"/>
          <w14:ligatures w14:val="none"/>
        </w:rPr>
        <w:t xml:space="preserve"> promote early detection, lifestyle </w:t>
      </w:r>
      <w:r w:rsidR="003E0EB9" w:rsidRPr="005542F2">
        <w:rPr>
          <w:rFonts w:ascii="Arial" w:eastAsia="Times New Roman" w:hAnsi="Arial" w:cs="Arial"/>
          <w:kern w:val="0"/>
          <w:lang w:eastAsia="en-GB"/>
          <w14:ligatures w14:val="none"/>
        </w:rPr>
        <w:t>modification,</w:t>
      </w:r>
      <w:r w:rsidRPr="005542F2">
        <w:rPr>
          <w:rFonts w:ascii="Arial" w:eastAsia="Times New Roman" w:hAnsi="Arial" w:cs="Arial"/>
          <w:kern w:val="0"/>
          <w:lang w:eastAsia="en-GB"/>
          <w14:ligatures w14:val="none"/>
        </w:rPr>
        <w:t xml:space="preserve"> and community-based support (Gov.uk, 2022). Improved care planning guidance (NHS England, 2020) also aims to reduce disparities in dementia care.</w:t>
      </w:r>
    </w:p>
    <w:p w14:paraId="5A93F2B9"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Relevant Legislation</w:t>
      </w:r>
    </w:p>
    <w:p w14:paraId="78D37A58" w14:textId="117AFFC8"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w:t>
      </w:r>
      <w:r w:rsidRPr="005542F2">
        <w:rPr>
          <w:rFonts w:ascii="Arial" w:eastAsia="Times New Roman" w:hAnsi="Arial" w:cs="Arial"/>
          <w:b/>
          <w:bCs/>
          <w:kern w:val="0"/>
          <w:lang w:eastAsia="en-GB"/>
          <w14:ligatures w14:val="none"/>
        </w:rPr>
        <w:t>Equality Act 2010</w:t>
      </w:r>
      <w:r w:rsidRPr="005542F2">
        <w:rPr>
          <w:rFonts w:ascii="Arial" w:eastAsia="Times New Roman" w:hAnsi="Arial" w:cs="Arial"/>
          <w:kern w:val="0"/>
          <w:lang w:eastAsia="en-GB"/>
          <w14:ligatures w14:val="none"/>
        </w:rPr>
        <w:t xml:space="preserve"> legally protects older adults from discrimination in employment, healthcare and access to services.</w:t>
      </w:r>
      <w:r w:rsidRPr="005542F2">
        <w:rPr>
          <w:rFonts w:ascii="Arial" w:eastAsia="Times New Roman" w:hAnsi="Arial" w:cs="Arial"/>
          <w:kern w:val="0"/>
          <w:lang w:eastAsia="en-GB"/>
          <w14:ligatures w14:val="none"/>
        </w:rPr>
        <w:br/>
        <w:t xml:space="preserve">The </w:t>
      </w:r>
      <w:r w:rsidRPr="005542F2">
        <w:rPr>
          <w:rFonts w:ascii="Arial" w:eastAsia="Times New Roman" w:hAnsi="Arial" w:cs="Arial"/>
          <w:b/>
          <w:bCs/>
          <w:kern w:val="0"/>
          <w:lang w:eastAsia="en-GB"/>
          <w14:ligatures w14:val="none"/>
        </w:rPr>
        <w:t>Human Rights Act 1998</w:t>
      </w:r>
      <w:r w:rsidRPr="005542F2">
        <w:rPr>
          <w:rFonts w:ascii="Arial" w:eastAsia="Times New Roman" w:hAnsi="Arial" w:cs="Arial"/>
          <w:kern w:val="0"/>
          <w:lang w:eastAsia="en-GB"/>
          <w14:ligatures w14:val="none"/>
        </w:rPr>
        <w:t xml:space="preserve"> ensures dignity, autonomy and protection from degrading treatment</w:t>
      </w:r>
      <w:r w:rsidR="00A711D5">
        <w:rPr>
          <w:rFonts w:ascii="Arial" w:eastAsia="Times New Roman" w:hAnsi="Arial" w:cs="Arial"/>
          <w:kern w:val="0"/>
          <w:lang w:eastAsia="en-GB"/>
          <w14:ligatures w14:val="none"/>
        </w:rPr>
        <w:t xml:space="preserve">, </w:t>
      </w:r>
      <w:r w:rsidRPr="005542F2">
        <w:rPr>
          <w:rFonts w:ascii="Arial" w:eastAsia="Times New Roman" w:hAnsi="Arial" w:cs="Arial"/>
          <w:kern w:val="0"/>
          <w:lang w:eastAsia="en-GB"/>
          <w14:ligatures w14:val="none"/>
        </w:rPr>
        <w:t>critical for safeguarding vulnerable older adults, particularly those with dementia or disabilities.</w:t>
      </w:r>
      <w:r w:rsidRPr="005542F2">
        <w:rPr>
          <w:rFonts w:ascii="Arial" w:eastAsia="Times New Roman" w:hAnsi="Arial" w:cs="Arial"/>
          <w:kern w:val="0"/>
          <w:lang w:eastAsia="en-GB"/>
          <w14:ligatures w14:val="none"/>
        </w:rPr>
        <w:br/>
        <w:t xml:space="preserve">Additional protections include the </w:t>
      </w:r>
      <w:r w:rsidRPr="005542F2">
        <w:rPr>
          <w:rFonts w:ascii="Arial" w:eastAsia="Times New Roman" w:hAnsi="Arial" w:cs="Arial"/>
          <w:b/>
          <w:bCs/>
          <w:kern w:val="0"/>
          <w:lang w:eastAsia="en-GB"/>
          <w14:ligatures w14:val="none"/>
        </w:rPr>
        <w:t>Care Act 2014</w:t>
      </w:r>
      <w:r w:rsidRPr="005542F2">
        <w:rPr>
          <w:rFonts w:ascii="Arial" w:eastAsia="Times New Roman" w:hAnsi="Arial" w:cs="Arial"/>
          <w:kern w:val="0"/>
          <w:lang w:eastAsia="en-GB"/>
          <w14:ligatures w14:val="none"/>
        </w:rPr>
        <w:t xml:space="preserve"> and </w:t>
      </w:r>
      <w:r w:rsidRPr="005542F2">
        <w:rPr>
          <w:rFonts w:ascii="Arial" w:eastAsia="Times New Roman" w:hAnsi="Arial" w:cs="Arial"/>
          <w:b/>
          <w:bCs/>
          <w:kern w:val="0"/>
          <w:lang w:eastAsia="en-GB"/>
          <w14:ligatures w14:val="none"/>
        </w:rPr>
        <w:t>Mental Capacity Act 2005</w:t>
      </w:r>
      <w:r w:rsidRPr="005542F2">
        <w:rPr>
          <w:rFonts w:ascii="Arial" w:eastAsia="Times New Roman" w:hAnsi="Arial" w:cs="Arial"/>
          <w:kern w:val="0"/>
          <w:lang w:eastAsia="en-GB"/>
          <w14:ligatures w14:val="none"/>
        </w:rPr>
        <w:t>, which set duties for local authorities to safeguard adults and support decision-making.</w:t>
      </w:r>
    </w:p>
    <w:p w14:paraId="64098BAF" w14:textId="39445883" w:rsidR="005542F2" w:rsidRPr="00FE29DF" w:rsidRDefault="005542F2" w:rsidP="00FE29DF">
      <w:pPr>
        <w:pStyle w:val="Heading4"/>
        <w:rPr>
          <w:rFonts w:ascii="Arial" w:eastAsia="Times New Roman" w:hAnsi="Arial" w:cs="Arial"/>
          <w:b/>
          <w:bCs/>
          <w:i w:val="0"/>
          <w:iCs w:val="0"/>
          <w:color w:val="auto"/>
          <w:lang w:eastAsia="en-GB"/>
        </w:rPr>
      </w:pPr>
    </w:p>
    <w:p w14:paraId="5D40B361" w14:textId="4D0AD317" w:rsidR="005542F2"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 xml:space="preserve">Organisations Supporting Older Adults </w:t>
      </w:r>
    </w:p>
    <w:p w14:paraId="78377974" w14:textId="77777777" w:rsidR="00FE29DF" w:rsidRPr="00FE29DF" w:rsidRDefault="00FE29DF" w:rsidP="00FE29DF">
      <w:pPr>
        <w:rPr>
          <w:lang w:eastAsia="en-GB"/>
        </w:rPr>
      </w:pPr>
    </w:p>
    <w:p w14:paraId="162E8547" w14:textId="77777777" w:rsidR="005542F2" w:rsidRPr="005542F2" w:rsidRDefault="005542F2" w:rsidP="005542F2">
      <w:pPr>
        <w:spacing w:after="0" w:line="360" w:lineRule="auto"/>
        <w:rPr>
          <w:rFonts w:ascii="Arial" w:eastAsia="Times New Roman" w:hAnsi="Arial" w:cs="Arial"/>
          <w:b/>
          <w:bCs/>
          <w:kern w:val="0"/>
          <w:lang w:eastAsia="en-GB"/>
          <w14:ligatures w14:val="none"/>
        </w:rPr>
      </w:pPr>
      <w:r w:rsidRPr="005542F2">
        <w:rPr>
          <w:rFonts w:ascii="Arial" w:eastAsia="Times New Roman" w:hAnsi="Arial" w:cs="Arial"/>
          <w:b/>
          <w:bCs/>
          <w:kern w:val="0"/>
          <w:lang w:eastAsia="en-GB"/>
          <w14:ligatures w14:val="none"/>
        </w:rPr>
        <w:t>Age UK</w:t>
      </w:r>
    </w:p>
    <w:p w14:paraId="11BBC3FF" w14:textId="3052DE67"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Age UK is one of the largest organisations addressing health inequality among older adults. It provides evidence-based reports on ageing, financial guidance, falls prevention programmes, information </w:t>
      </w:r>
      <w:r w:rsidR="003E0EB9" w:rsidRPr="005542F2">
        <w:rPr>
          <w:rFonts w:ascii="Arial" w:eastAsia="Times New Roman" w:hAnsi="Arial" w:cs="Arial"/>
          <w:kern w:val="0"/>
          <w:lang w:eastAsia="en-GB"/>
          <w14:ligatures w14:val="none"/>
        </w:rPr>
        <w:t>services,</w:t>
      </w:r>
      <w:r w:rsidRPr="005542F2">
        <w:rPr>
          <w:rFonts w:ascii="Arial" w:eastAsia="Times New Roman" w:hAnsi="Arial" w:cs="Arial"/>
          <w:kern w:val="0"/>
          <w:lang w:eastAsia="en-GB"/>
          <w14:ligatures w14:val="none"/>
        </w:rPr>
        <w:t xml:space="preserve"> and befriending schemes to combat loneliness (Age UK, 2019). Its goals include promoting healthy ageing, reducing social isolation, improving financial </w:t>
      </w:r>
      <w:r w:rsidR="003E0EB9" w:rsidRPr="005542F2">
        <w:rPr>
          <w:rFonts w:ascii="Arial" w:eastAsia="Times New Roman" w:hAnsi="Arial" w:cs="Arial"/>
          <w:kern w:val="0"/>
          <w:lang w:eastAsia="en-GB"/>
          <w14:ligatures w14:val="none"/>
        </w:rPr>
        <w:t>security,</w:t>
      </w:r>
      <w:r w:rsidRPr="005542F2">
        <w:rPr>
          <w:rFonts w:ascii="Arial" w:eastAsia="Times New Roman" w:hAnsi="Arial" w:cs="Arial"/>
          <w:kern w:val="0"/>
          <w:lang w:eastAsia="en-GB"/>
          <w14:ligatures w14:val="none"/>
        </w:rPr>
        <w:t xml:space="preserve"> and influencing national policy to ensure older people receive fair and equitable support. Age UK also campaigns for improved pensions, age-friendly communities, access to social care and protections for vulnerable older adults.</w:t>
      </w:r>
    </w:p>
    <w:p w14:paraId="12470601" w14:textId="77777777" w:rsidR="000A3B12" w:rsidRPr="005542F2" w:rsidRDefault="000A3B12" w:rsidP="005542F2">
      <w:pPr>
        <w:spacing w:after="0" w:line="360" w:lineRule="auto"/>
        <w:rPr>
          <w:rFonts w:ascii="Arial" w:eastAsia="Times New Roman" w:hAnsi="Arial" w:cs="Arial"/>
          <w:kern w:val="0"/>
          <w:lang w:eastAsia="en-GB"/>
          <w14:ligatures w14:val="none"/>
        </w:rPr>
      </w:pPr>
    </w:p>
    <w:p w14:paraId="6B5AC0E3" w14:textId="77777777" w:rsidR="005542F2" w:rsidRPr="005542F2" w:rsidRDefault="005542F2" w:rsidP="005542F2">
      <w:pPr>
        <w:spacing w:after="0" w:line="360" w:lineRule="auto"/>
        <w:rPr>
          <w:rFonts w:ascii="Arial" w:eastAsia="Times New Roman" w:hAnsi="Arial" w:cs="Arial"/>
          <w:b/>
          <w:bCs/>
          <w:kern w:val="0"/>
          <w:lang w:eastAsia="en-GB"/>
          <w14:ligatures w14:val="none"/>
        </w:rPr>
      </w:pPr>
      <w:r w:rsidRPr="005542F2">
        <w:rPr>
          <w:rFonts w:ascii="Arial" w:eastAsia="Times New Roman" w:hAnsi="Arial" w:cs="Arial"/>
          <w:b/>
          <w:bCs/>
          <w:kern w:val="0"/>
          <w:lang w:eastAsia="en-GB"/>
          <w14:ligatures w14:val="none"/>
        </w:rPr>
        <w:t>Alzheimer’s Society</w:t>
      </w:r>
    </w:p>
    <w:p w14:paraId="13A6A799" w14:textId="4F5AF2CE" w:rsidR="005542F2" w:rsidRP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The Alzheimer’s Society is a leading charity dedicated to supporting people living with dementia and reducing inequalities in diagnosis, </w:t>
      </w:r>
      <w:r w:rsidR="003E0EB9" w:rsidRPr="005542F2">
        <w:rPr>
          <w:rFonts w:ascii="Arial" w:eastAsia="Times New Roman" w:hAnsi="Arial" w:cs="Arial"/>
          <w:kern w:val="0"/>
          <w:lang w:eastAsia="en-GB"/>
          <w14:ligatures w14:val="none"/>
        </w:rPr>
        <w:t>care,</w:t>
      </w:r>
      <w:r w:rsidRPr="005542F2">
        <w:rPr>
          <w:rFonts w:ascii="Arial" w:eastAsia="Times New Roman" w:hAnsi="Arial" w:cs="Arial"/>
          <w:kern w:val="0"/>
          <w:lang w:eastAsia="en-GB"/>
          <w14:ligatures w14:val="none"/>
        </w:rPr>
        <w:t xml:space="preserve"> and support. It offers Dementia Advisors, memory support groups, carer </w:t>
      </w:r>
      <w:r w:rsidR="003E0EB9" w:rsidRPr="005542F2">
        <w:rPr>
          <w:rFonts w:ascii="Arial" w:eastAsia="Times New Roman" w:hAnsi="Arial" w:cs="Arial"/>
          <w:kern w:val="0"/>
          <w:lang w:eastAsia="en-GB"/>
          <w14:ligatures w14:val="none"/>
        </w:rPr>
        <w:t>training,</w:t>
      </w:r>
      <w:r w:rsidRPr="005542F2">
        <w:rPr>
          <w:rFonts w:ascii="Arial" w:eastAsia="Times New Roman" w:hAnsi="Arial" w:cs="Arial"/>
          <w:kern w:val="0"/>
          <w:lang w:eastAsia="en-GB"/>
          <w14:ligatures w14:val="none"/>
        </w:rPr>
        <w:t xml:space="preserve"> and a national helpline. The charity also funds research into early detection and seeks to understand disparities affecting deprived communities and ethnic minority groups (Paudyal et al., 2025). One of its central goals is to create dementia-friendly communities and ensure that people from all backgrounds can access culturally appropriate information and services. Through partnerships with the NHS, local authorities and voluntary organisations, the Alzheimer’s Society works to close gaps in dementia awareness, improve care pathways and influence </w:t>
      </w:r>
      <w:r w:rsidR="002E6CCC">
        <w:rPr>
          <w:rFonts w:ascii="Arial" w:eastAsia="Times New Roman" w:hAnsi="Arial" w:cs="Arial"/>
          <w:kern w:val="0"/>
          <w:lang w:eastAsia="en-GB"/>
          <w14:ligatures w14:val="none"/>
        </w:rPr>
        <w:t xml:space="preserve">the </w:t>
      </w:r>
      <w:r w:rsidRPr="005542F2">
        <w:rPr>
          <w:rFonts w:ascii="Arial" w:eastAsia="Times New Roman" w:hAnsi="Arial" w:cs="Arial"/>
          <w:kern w:val="0"/>
          <w:lang w:eastAsia="en-GB"/>
          <w14:ligatures w14:val="none"/>
        </w:rPr>
        <w:t xml:space="preserve">national dementia strategy. </w:t>
      </w:r>
      <w:r w:rsidRPr="005542F2">
        <w:rPr>
          <w:rFonts w:ascii="Arial" w:eastAsia="Times New Roman" w:hAnsi="Arial" w:cs="Arial"/>
          <w:kern w:val="0"/>
          <w:lang w:eastAsia="en-GB"/>
          <w14:ligatures w14:val="none"/>
        </w:rPr>
        <w:lastRenderedPageBreak/>
        <w:t>Its work is essential in reducing diagnostic inequalities and supporting individuals and families affected by dementia across the UK.</w:t>
      </w:r>
    </w:p>
    <w:p w14:paraId="7B78580B" w14:textId="680B4FC5" w:rsidR="005542F2" w:rsidRPr="005542F2" w:rsidRDefault="005542F2" w:rsidP="005542F2">
      <w:pPr>
        <w:spacing w:after="0" w:line="360" w:lineRule="auto"/>
        <w:rPr>
          <w:rFonts w:ascii="Arial" w:eastAsia="Times New Roman" w:hAnsi="Arial" w:cs="Arial"/>
          <w:kern w:val="0"/>
          <w:lang w:eastAsia="en-GB"/>
          <w14:ligatures w14:val="none"/>
        </w:rPr>
      </w:pPr>
    </w:p>
    <w:p w14:paraId="52D6986E" w14:textId="1D25EA5B" w:rsidR="005542F2" w:rsidRPr="00FE29DF" w:rsidRDefault="005542F2" w:rsidP="00FE29DF">
      <w:pPr>
        <w:pStyle w:val="Heading3"/>
        <w:numPr>
          <w:ilvl w:val="0"/>
          <w:numId w:val="31"/>
        </w:numPr>
        <w:rPr>
          <w:rFonts w:ascii="Arial" w:eastAsia="Times New Roman" w:hAnsi="Arial" w:cs="Arial"/>
          <w:b/>
          <w:bCs/>
          <w:color w:val="auto"/>
          <w:sz w:val="24"/>
          <w:szCs w:val="24"/>
          <w:lang w:eastAsia="en-GB"/>
        </w:rPr>
      </w:pPr>
      <w:bookmarkStart w:id="5" w:name="_Toc215694779"/>
      <w:r w:rsidRPr="00FE29DF">
        <w:rPr>
          <w:rFonts w:ascii="Arial" w:eastAsia="Times New Roman" w:hAnsi="Arial" w:cs="Arial"/>
          <w:b/>
          <w:bCs/>
          <w:color w:val="auto"/>
          <w:sz w:val="24"/>
          <w:szCs w:val="24"/>
          <w:lang w:eastAsia="en-GB"/>
        </w:rPr>
        <w:t>Conclusion and Recommendations</w:t>
      </w:r>
      <w:bookmarkEnd w:id="5"/>
      <w:r w:rsidRPr="00FE29DF">
        <w:rPr>
          <w:rFonts w:ascii="Arial" w:eastAsia="Times New Roman" w:hAnsi="Arial" w:cs="Arial"/>
          <w:b/>
          <w:bCs/>
          <w:color w:val="auto"/>
          <w:sz w:val="24"/>
          <w:szCs w:val="24"/>
          <w:lang w:eastAsia="en-GB"/>
        </w:rPr>
        <w:t xml:space="preserve"> </w:t>
      </w:r>
    </w:p>
    <w:p w14:paraId="0DA2864F" w14:textId="52A15594" w:rsidR="005542F2" w:rsidRDefault="005542F2" w:rsidP="005542F2">
      <w:p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Older adults in the UK experience substantial health inequalities driven by chronic illness, socioeconomic disadvantage, isolation, and unequal access to services. Dementia and cardiovascular disease remain significant disease burdens, while social isolation and poverty continue to shape poorer outcomes in later life. National strategies such as the Marmot Review and the NHS Long Term Plan, alongside </w:t>
      </w:r>
      <w:r w:rsidR="000A3C9C">
        <w:rPr>
          <w:rFonts w:ascii="Arial" w:eastAsia="Times New Roman" w:hAnsi="Arial" w:cs="Arial"/>
          <w:kern w:val="0"/>
          <w:lang w:eastAsia="en-GB"/>
          <w14:ligatures w14:val="none"/>
        </w:rPr>
        <w:t>legislation</w:t>
      </w:r>
      <w:r w:rsidRPr="005542F2">
        <w:rPr>
          <w:rFonts w:ascii="Arial" w:eastAsia="Times New Roman" w:hAnsi="Arial" w:cs="Arial"/>
          <w:kern w:val="0"/>
          <w:lang w:eastAsia="en-GB"/>
          <w14:ligatures w14:val="none"/>
        </w:rPr>
        <w:t xml:space="preserve"> such as the Equality Act 2010 and the Human Rights Act 1998, offer important frameworks for addressing these inequalities. Organisations such as Age UK and the Alzheimer’s Society play key roles in promoting healthy ageing, supporting diagnosis, and improving quality of life.</w:t>
      </w:r>
    </w:p>
    <w:p w14:paraId="5FD1597C" w14:textId="77777777" w:rsidR="000A3C9C" w:rsidRPr="005542F2" w:rsidRDefault="000A3C9C" w:rsidP="005542F2">
      <w:pPr>
        <w:spacing w:after="0" w:line="360" w:lineRule="auto"/>
        <w:rPr>
          <w:rFonts w:ascii="Arial" w:eastAsia="Times New Roman" w:hAnsi="Arial" w:cs="Arial"/>
          <w:b/>
          <w:bCs/>
          <w:kern w:val="0"/>
          <w:lang w:eastAsia="en-GB"/>
          <w14:ligatures w14:val="none"/>
        </w:rPr>
      </w:pPr>
    </w:p>
    <w:p w14:paraId="2F075014" w14:textId="77777777" w:rsidR="005542F2" w:rsidRPr="00FE29DF" w:rsidRDefault="005542F2" w:rsidP="00FE29DF">
      <w:pPr>
        <w:pStyle w:val="Heading4"/>
        <w:rPr>
          <w:rFonts w:ascii="Arial" w:eastAsia="Times New Roman" w:hAnsi="Arial" w:cs="Arial"/>
          <w:b/>
          <w:bCs/>
          <w:i w:val="0"/>
          <w:iCs w:val="0"/>
          <w:color w:val="auto"/>
          <w:lang w:eastAsia="en-GB"/>
        </w:rPr>
      </w:pPr>
      <w:r w:rsidRPr="00FE29DF">
        <w:rPr>
          <w:rFonts w:ascii="Arial" w:eastAsia="Times New Roman" w:hAnsi="Arial" w:cs="Arial"/>
          <w:b/>
          <w:bCs/>
          <w:i w:val="0"/>
          <w:iCs w:val="0"/>
          <w:color w:val="auto"/>
          <w:lang w:eastAsia="en-GB"/>
        </w:rPr>
        <w:t>Recommendations:</w:t>
      </w:r>
    </w:p>
    <w:p w14:paraId="4697DEC4" w14:textId="77777777" w:rsidR="005542F2" w:rsidRPr="005542F2" w:rsidRDefault="005542F2" w:rsidP="005542F2">
      <w:pPr>
        <w:numPr>
          <w:ilvl w:val="0"/>
          <w:numId w:val="16"/>
        </w:num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Expand community memory screening and culturally tailored dementia awareness programmes.</w:t>
      </w:r>
    </w:p>
    <w:p w14:paraId="4B49D454" w14:textId="442BA23B" w:rsidR="005542F2" w:rsidRPr="005542F2" w:rsidRDefault="005542F2" w:rsidP="005542F2">
      <w:pPr>
        <w:numPr>
          <w:ilvl w:val="0"/>
          <w:numId w:val="16"/>
        </w:num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Increase funding for carer support, befriending </w:t>
      </w:r>
      <w:r w:rsidR="003E0EB9" w:rsidRPr="005542F2">
        <w:rPr>
          <w:rFonts w:ascii="Arial" w:eastAsia="Times New Roman" w:hAnsi="Arial" w:cs="Arial"/>
          <w:kern w:val="0"/>
          <w:lang w:eastAsia="en-GB"/>
          <w14:ligatures w14:val="none"/>
        </w:rPr>
        <w:t>schemes,</w:t>
      </w:r>
      <w:r w:rsidRPr="005542F2">
        <w:rPr>
          <w:rFonts w:ascii="Arial" w:eastAsia="Times New Roman" w:hAnsi="Arial" w:cs="Arial"/>
          <w:kern w:val="0"/>
          <w:lang w:eastAsia="en-GB"/>
          <w14:ligatures w14:val="none"/>
        </w:rPr>
        <w:t xml:space="preserve"> and digital inclusion for older adults.</w:t>
      </w:r>
    </w:p>
    <w:p w14:paraId="6A636D29" w14:textId="0E48DD83" w:rsidR="005542F2" w:rsidRPr="005542F2" w:rsidRDefault="005542F2" w:rsidP="005542F2">
      <w:pPr>
        <w:numPr>
          <w:ilvl w:val="0"/>
          <w:numId w:val="16"/>
        </w:numPr>
        <w:spacing w:after="0" w:line="360" w:lineRule="auto"/>
        <w:rPr>
          <w:rFonts w:ascii="Arial" w:eastAsia="Times New Roman" w:hAnsi="Arial" w:cs="Arial"/>
          <w:kern w:val="0"/>
          <w:lang w:eastAsia="en-GB"/>
          <w14:ligatures w14:val="none"/>
        </w:rPr>
      </w:pPr>
      <w:r w:rsidRPr="005542F2">
        <w:rPr>
          <w:rFonts w:ascii="Arial" w:eastAsia="Times New Roman" w:hAnsi="Arial" w:cs="Arial"/>
          <w:kern w:val="0"/>
          <w:lang w:eastAsia="en-GB"/>
          <w14:ligatures w14:val="none"/>
        </w:rPr>
        <w:t xml:space="preserve">Improve pension uptake, housing </w:t>
      </w:r>
      <w:r w:rsidR="003E0EB9" w:rsidRPr="005542F2">
        <w:rPr>
          <w:rFonts w:ascii="Arial" w:eastAsia="Times New Roman" w:hAnsi="Arial" w:cs="Arial"/>
          <w:kern w:val="0"/>
          <w:lang w:eastAsia="en-GB"/>
          <w14:ligatures w14:val="none"/>
        </w:rPr>
        <w:t>quality,</w:t>
      </w:r>
      <w:r w:rsidRPr="005542F2">
        <w:rPr>
          <w:rFonts w:ascii="Arial" w:eastAsia="Times New Roman" w:hAnsi="Arial" w:cs="Arial"/>
          <w:kern w:val="0"/>
          <w:lang w:eastAsia="en-GB"/>
          <w14:ligatures w14:val="none"/>
        </w:rPr>
        <w:t xml:space="preserve"> and integrated health–social care pathways to reduce poverty and frailty.</w:t>
      </w:r>
    </w:p>
    <w:p w14:paraId="59CC4E0B" w14:textId="77777777" w:rsidR="00E65540" w:rsidRPr="0020613C" w:rsidRDefault="00E65540" w:rsidP="006623C0">
      <w:pPr>
        <w:spacing w:after="0" w:line="360" w:lineRule="auto"/>
        <w:rPr>
          <w:rFonts w:ascii="Arial" w:eastAsia="Times New Roman" w:hAnsi="Arial" w:cs="Arial"/>
          <w:kern w:val="0"/>
          <w:lang w:eastAsia="en-GB"/>
          <w14:ligatures w14:val="none"/>
        </w:rPr>
      </w:pPr>
    </w:p>
    <w:p w14:paraId="31A6035A" w14:textId="32C2FA6A" w:rsidR="003B2D33" w:rsidRDefault="003B2D33" w:rsidP="00FE29DF">
      <w:pPr>
        <w:pStyle w:val="Heading1"/>
        <w:rPr>
          <w:rFonts w:ascii="Arial" w:hAnsi="Arial" w:cs="Arial"/>
          <w:b/>
          <w:bCs/>
          <w:color w:val="auto"/>
          <w:sz w:val="32"/>
          <w:szCs w:val="32"/>
        </w:rPr>
      </w:pPr>
      <w:bookmarkStart w:id="6" w:name="_Toc215694780"/>
      <w:r w:rsidRPr="00FE29DF">
        <w:rPr>
          <w:rFonts w:ascii="Arial" w:hAnsi="Arial" w:cs="Arial"/>
          <w:b/>
          <w:bCs/>
          <w:color w:val="auto"/>
          <w:sz w:val="32"/>
          <w:szCs w:val="32"/>
        </w:rPr>
        <w:t>TASK 2: Epidemiological Analysis</w:t>
      </w:r>
      <w:bookmarkEnd w:id="6"/>
    </w:p>
    <w:p w14:paraId="603AB8AE" w14:textId="77777777" w:rsidR="00FE29DF" w:rsidRPr="00FE29DF" w:rsidRDefault="00FE29DF" w:rsidP="00FE29DF"/>
    <w:p w14:paraId="128FE6F3" w14:textId="77777777" w:rsidR="006004FE" w:rsidRPr="00FE29DF" w:rsidRDefault="006004FE" w:rsidP="00FE29DF">
      <w:pPr>
        <w:pStyle w:val="Heading2"/>
        <w:rPr>
          <w:rFonts w:ascii="Arial" w:hAnsi="Arial" w:cs="Arial"/>
          <w:b/>
          <w:bCs/>
          <w:color w:val="auto"/>
          <w:sz w:val="28"/>
          <w:szCs w:val="28"/>
          <w:lang w:eastAsia="en-GB"/>
        </w:rPr>
      </w:pPr>
      <w:bookmarkStart w:id="7" w:name="_Toc215694781"/>
      <w:r w:rsidRPr="00FE29DF">
        <w:rPr>
          <w:rFonts w:ascii="Arial" w:hAnsi="Arial" w:cs="Arial"/>
          <w:b/>
          <w:bCs/>
          <w:color w:val="auto"/>
          <w:sz w:val="28"/>
          <w:szCs w:val="28"/>
          <w:lang w:eastAsia="en-GB"/>
        </w:rPr>
        <w:t>Dementia Among Older Adults in Liverpool: An Epidemiological Report</w:t>
      </w:r>
      <w:bookmarkEnd w:id="7"/>
    </w:p>
    <w:p w14:paraId="359BA8C2" w14:textId="42EF649E" w:rsidR="006004FE" w:rsidRPr="006004FE" w:rsidRDefault="006004FE" w:rsidP="006004FE">
      <w:pPr>
        <w:spacing w:line="360" w:lineRule="auto"/>
        <w:rPr>
          <w:rFonts w:ascii="Arial" w:hAnsi="Arial" w:cs="Arial"/>
          <w:lang w:eastAsia="en-GB"/>
        </w:rPr>
      </w:pPr>
    </w:p>
    <w:p w14:paraId="2FA5E1F6" w14:textId="0AB0E42D" w:rsidR="006004FE" w:rsidRPr="003A2448" w:rsidRDefault="006004FE" w:rsidP="003A2448">
      <w:pPr>
        <w:pStyle w:val="Heading2"/>
        <w:numPr>
          <w:ilvl w:val="0"/>
          <w:numId w:val="31"/>
        </w:numPr>
        <w:rPr>
          <w:rFonts w:ascii="Arial" w:hAnsi="Arial" w:cs="Arial"/>
          <w:b/>
          <w:bCs/>
          <w:color w:val="auto"/>
          <w:sz w:val="28"/>
          <w:szCs w:val="28"/>
          <w:lang w:eastAsia="en-GB"/>
        </w:rPr>
      </w:pPr>
      <w:bookmarkStart w:id="8" w:name="_Toc215694782"/>
      <w:r w:rsidRPr="003A2448">
        <w:rPr>
          <w:rFonts w:ascii="Arial" w:hAnsi="Arial" w:cs="Arial"/>
          <w:b/>
          <w:bCs/>
          <w:color w:val="auto"/>
          <w:sz w:val="28"/>
          <w:szCs w:val="28"/>
          <w:lang w:eastAsia="en-GB"/>
        </w:rPr>
        <w:t>Introduction</w:t>
      </w:r>
      <w:bookmarkEnd w:id="8"/>
    </w:p>
    <w:p w14:paraId="09DA58C9" w14:textId="00574E92"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is a progressive neurocognitive disorder characterised by memory loss, impaired reasoning, behavioural </w:t>
      </w:r>
      <w:r w:rsidR="003E0EB9" w:rsidRPr="006004FE">
        <w:rPr>
          <w:rFonts w:ascii="Arial" w:hAnsi="Arial" w:cs="Arial"/>
          <w:lang w:eastAsia="en-GB"/>
        </w:rPr>
        <w:t>changes,</w:t>
      </w:r>
      <w:r w:rsidRPr="006004FE">
        <w:rPr>
          <w:rFonts w:ascii="Arial" w:hAnsi="Arial" w:cs="Arial"/>
          <w:lang w:eastAsia="en-GB"/>
        </w:rPr>
        <w:t xml:space="preserve"> and a decline in functional ability (Alzheimer’s Society, 2022). It represents a major public health challenge globally and nationally, especially among older adults aged 65 and above. Dementia affects independence, increases long-term care needs, contributes to disability, and imposes significant financial and emotional burdens on families, </w:t>
      </w:r>
      <w:r w:rsidR="003E0EB9" w:rsidRPr="006004FE">
        <w:rPr>
          <w:rFonts w:ascii="Arial" w:hAnsi="Arial" w:cs="Arial"/>
          <w:lang w:eastAsia="en-GB"/>
        </w:rPr>
        <w:t>communities,</w:t>
      </w:r>
      <w:r w:rsidRPr="006004FE">
        <w:rPr>
          <w:rFonts w:ascii="Arial" w:hAnsi="Arial" w:cs="Arial"/>
          <w:lang w:eastAsia="en-GB"/>
        </w:rPr>
        <w:t xml:space="preserve"> and health systems (WHO, 2019). Liverpool is one of the most socioeconomically deprived local authority areas in England, with disproportionately </w:t>
      </w:r>
      <w:r w:rsidR="000F6127" w:rsidRPr="006004FE">
        <w:rPr>
          <w:rFonts w:ascii="Arial" w:hAnsi="Arial" w:cs="Arial"/>
          <w:lang w:eastAsia="en-GB"/>
        </w:rPr>
        <w:lastRenderedPageBreak/>
        <w:t>important levels</w:t>
      </w:r>
      <w:r w:rsidRPr="006004FE">
        <w:rPr>
          <w:rFonts w:ascii="Arial" w:hAnsi="Arial" w:cs="Arial"/>
          <w:lang w:eastAsia="en-GB"/>
        </w:rPr>
        <w:t xml:space="preserve"> of chronic disease, multimorbidity and premature mortality. These contextual factors contribute to a higher prevalence of dementia among Liverpool’s older population compared to national averages (Liverpool City Council, n.d.; Public Health England, 2019). Because of its high-risk demographics and manageable population size (thousands rather than millions), older adults with dementia in Liverpool constitute an appropriate target group for a regional epidemiological analysis. This report examines the epidemiology of dementia in Liverpool, outlining its incidence, risk factors, monitoring systems, public health measures and the design of an intervention programme aimed at reducing dementia-related health inequalities.</w:t>
      </w:r>
    </w:p>
    <w:p w14:paraId="6E048780" w14:textId="2E8D1D20" w:rsidR="006004FE" w:rsidRPr="003A2448" w:rsidRDefault="006004FE" w:rsidP="003A2448">
      <w:pPr>
        <w:pStyle w:val="Heading2"/>
        <w:numPr>
          <w:ilvl w:val="0"/>
          <w:numId w:val="31"/>
        </w:numPr>
        <w:rPr>
          <w:rFonts w:ascii="Arial" w:hAnsi="Arial" w:cs="Arial"/>
          <w:b/>
          <w:bCs/>
          <w:color w:val="auto"/>
          <w:sz w:val="28"/>
          <w:szCs w:val="28"/>
          <w:lang w:eastAsia="en-GB"/>
        </w:rPr>
      </w:pPr>
      <w:bookmarkStart w:id="9" w:name="_Toc215694783"/>
      <w:r w:rsidRPr="003A2448">
        <w:rPr>
          <w:rFonts w:ascii="Arial" w:hAnsi="Arial" w:cs="Arial"/>
          <w:b/>
          <w:bCs/>
          <w:color w:val="auto"/>
          <w:sz w:val="28"/>
          <w:szCs w:val="28"/>
          <w:lang w:eastAsia="en-GB"/>
        </w:rPr>
        <w:t>Definition of the Health Problem and Its Social, Cultural and Health Consequences</w:t>
      </w:r>
      <w:bookmarkEnd w:id="9"/>
    </w:p>
    <w:p w14:paraId="3ECF3E6C" w14:textId="30E1200C"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encompasses neurodegenerative conditions, including Alzheimer’s disease and vascular dementia, </w:t>
      </w:r>
      <w:r w:rsidR="003E0EB9" w:rsidRPr="006004FE">
        <w:rPr>
          <w:rFonts w:ascii="Arial" w:hAnsi="Arial" w:cs="Arial"/>
          <w:lang w:eastAsia="en-GB"/>
        </w:rPr>
        <w:t>which</w:t>
      </w:r>
      <w:r w:rsidRPr="006004FE">
        <w:rPr>
          <w:rFonts w:ascii="Arial" w:hAnsi="Arial" w:cs="Arial"/>
          <w:lang w:eastAsia="en-GB"/>
        </w:rPr>
        <w:t xml:space="preserve"> lead to progressive cognitive decline (Alzheimer’s Society, 2022). Health consequences include disability, increased frailty, higher risk of hospitalisation, behavioural </w:t>
      </w:r>
      <w:r w:rsidR="003E0EB9" w:rsidRPr="006004FE">
        <w:rPr>
          <w:rFonts w:ascii="Arial" w:hAnsi="Arial" w:cs="Arial"/>
          <w:lang w:eastAsia="en-GB"/>
        </w:rPr>
        <w:t>changes,</w:t>
      </w:r>
      <w:r w:rsidRPr="006004FE">
        <w:rPr>
          <w:rFonts w:ascii="Arial" w:hAnsi="Arial" w:cs="Arial"/>
          <w:lang w:eastAsia="en-GB"/>
        </w:rPr>
        <w:t xml:space="preserve"> and reduced life expectancy. Social and cultural consequences are equally substantial. Older people with dementia often experience stigma, isolation, reduced autonomy, and a loss of social roles. Family carers face emotional strain, financial </w:t>
      </w:r>
      <w:r w:rsidR="003E0EB9" w:rsidRPr="006004FE">
        <w:rPr>
          <w:rFonts w:ascii="Arial" w:hAnsi="Arial" w:cs="Arial"/>
          <w:lang w:eastAsia="en-GB"/>
        </w:rPr>
        <w:t>stress,</w:t>
      </w:r>
      <w:r w:rsidRPr="006004FE">
        <w:rPr>
          <w:rFonts w:ascii="Arial" w:hAnsi="Arial" w:cs="Arial"/>
          <w:lang w:eastAsia="en-GB"/>
        </w:rPr>
        <w:t xml:space="preserve"> and exhaustion (Age UK, 2019). In Liverpool, cultural </w:t>
      </w:r>
      <w:proofErr w:type="gramStart"/>
      <w:r w:rsidR="00D260C2" w:rsidRPr="006004FE">
        <w:rPr>
          <w:rFonts w:ascii="Arial" w:hAnsi="Arial" w:cs="Arial"/>
          <w:lang w:eastAsia="en-GB"/>
        </w:rPr>
        <w:t>stigma</w:t>
      </w:r>
      <w:proofErr w:type="gramEnd"/>
      <w:r w:rsidRPr="006004FE">
        <w:rPr>
          <w:rFonts w:ascii="Arial" w:hAnsi="Arial" w:cs="Arial"/>
          <w:lang w:eastAsia="en-GB"/>
        </w:rPr>
        <w:t xml:space="preserve"> and limited understanding of dementia among minority ethnic groups may delay help-seeking and diagnosis (Paudyal et al., 2025). Dementia therefore has wide-ranging implications not only for health but for social participation, safeguarding, and community inclusion.</w:t>
      </w:r>
    </w:p>
    <w:p w14:paraId="58C88E0E" w14:textId="79528314" w:rsidR="006004FE" w:rsidRPr="003A2448" w:rsidRDefault="006004FE" w:rsidP="003A2448">
      <w:pPr>
        <w:pStyle w:val="Heading2"/>
        <w:numPr>
          <w:ilvl w:val="0"/>
          <w:numId w:val="31"/>
        </w:numPr>
        <w:rPr>
          <w:rFonts w:ascii="Arial" w:hAnsi="Arial" w:cs="Arial"/>
          <w:b/>
          <w:bCs/>
          <w:color w:val="auto"/>
          <w:sz w:val="28"/>
          <w:szCs w:val="28"/>
          <w:lang w:eastAsia="en-GB"/>
        </w:rPr>
      </w:pPr>
      <w:bookmarkStart w:id="10" w:name="_Toc215694784"/>
      <w:r w:rsidRPr="003A2448">
        <w:rPr>
          <w:rFonts w:ascii="Arial" w:hAnsi="Arial" w:cs="Arial"/>
          <w:b/>
          <w:bCs/>
          <w:color w:val="auto"/>
          <w:sz w:val="28"/>
          <w:szCs w:val="28"/>
          <w:lang w:eastAsia="en-GB"/>
        </w:rPr>
        <w:t>Incidence and Prevalence: Global, UK and Liverpool Statistics</w:t>
      </w:r>
      <w:bookmarkEnd w:id="10"/>
    </w:p>
    <w:p w14:paraId="20FE8CAC"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Globally, around 55 million people live with dementia, and 10 million new cases occur each year (WHO, 2019). In the UK, approximately 944,000 people currently have dementia, a number projected to reach one million by 2030 due to demographic ageing (Alzheimer’s Research UK, 2023). Dementia is now one of the leading causes of death in the UK (ONS, 2020).</w:t>
      </w:r>
    </w:p>
    <w:p w14:paraId="6067774D" w14:textId="4A7A2B8F" w:rsidR="006004FE" w:rsidRDefault="006004FE" w:rsidP="006004FE">
      <w:pPr>
        <w:spacing w:line="360" w:lineRule="auto"/>
        <w:rPr>
          <w:rFonts w:ascii="Arial" w:hAnsi="Arial" w:cs="Arial"/>
          <w:lang w:eastAsia="en-GB"/>
        </w:rPr>
      </w:pPr>
      <w:r w:rsidRPr="006004FE">
        <w:rPr>
          <w:rFonts w:ascii="Arial" w:hAnsi="Arial" w:cs="Arial"/>
          <w:lang w:eastAsia="en-GB"/>
        </w:rPr>
        <w:t xml:space="preserve">Liverpool demonstrates </w:t>
      </w:r>
      <w:r w:rsidR="00A711D5">
        <w:rPr>
          <w:rFonts w:ascii="Arial" w:hAnsi="Arial" w:cs="Arial"/>
          <w:lang w:eastAsia="en-GB"/>
        </w:rPr>
        <w:t xml:space="preserve">a </w:t>
      </w:r>
      <w:r w:rsidRPr="006004FE">
        <w:rPr>
          <w:rFonts w:ascii="Arial" w:hAnsi="Arial" w:cs="Arial"/>
          <w:lang w:eastAsia="en-GB"/>
        </w:rPr>
        <w:t xml:space="preserve">higher prevalence than national levels due to higher rates of cardiovascular disease, smoking, alcohol-related </w:t>
      </w:r>
      <w:r w:rsidR="003E0EB9" w:rsidRPr="006004FE">
        <w:rPr>
          <w:rFonts w:ascii="Arial" w:hAnsi="Arial" w:cs="Arial"/>
          <w:lang w:eastAsia="en-GB"/>
        </w:rPr>
        <w:t>harm,</w:t>
      </w:r>
      <w:r w:rsidRPr="006004FE">
        <w:rPr>
          <w:rFonts w:ascii="Arial" w:hAnsi="Arial" w:cs="Arial"/>
          <w:lang w:eastAsia="en-GB"/>
        </w:rPr>
        <w:t xml:space="preserve"> and socioeconomic deprivation (Public Health England, 2019). Local estimates show that dementia prevalence among adults aged 65+ in Liverpool exceeds the England average, especially in deprived neighbourhoods where multimorbidity is more common (Liverpool City Council, n.d.). These statistics demonstrate the severity and concentration of the problem within the region, highlighting the need for targeted interventions.</w:t>
      </w:r>
    </w:p>
    <w:p w14:paraId="5C94DBAF" w14:textId="77777777" w:rsidR="00F24A39" w:rsidRPr="006004FE" w:rsidRDefault="00F24A39" w:rsidP="006004FE">
      <w:pPr>
        <w:spacing w:line="360" w:lineRule="auto"/>
        <w:rPr>
          <w:rFonts w:ascii="Arial" w:hAnsi="Arial" w:cs="Arial"/>
          <w:lang w:eastAsia="en-GB"/>
        </w:rPr>
      </w:pPr>
    </w:p>
    <w:p w14:paraId="725DBA5D" w14:textId="4767DBCC" w:rsidR="006004FE" w:rsidRPr="003A2448" w:rsidRDefault="006004FE" w:rsidP="003A2448">
      <w:pPr>
        <w:pStyle w:val="Heading2"/>
        <w:numPr>
          <w:ilvl w:val="0"/>
          <w:numId w:val="31"/>
        </w:numPr>
        <w:rPr>
          <w:rFonts w:ascii="Arial" w:hAnsi="Arial" w:cs="Arial"/>
          <w:b/>
          <w:bCs/>
          <w:color w:val="auto"/>
          <w:sz w:val="28"/>
          <w:szCs w:val="28"/>
          <w:lang w:eastAsia="en-GB"/>
        </w:rPr>
      </w:pPr>
      <w:bookmarkStart w:id="11" w:name="_Toc215694785"/>
      <w:r w:rsidRPr="003A2448">
        <w:rPr>
          <w:rFonts w:ascii="Arial" w:hAnsi="Arial" w:cs="Arial"/>
          <w:b/>
          <w:bCs/>
          <w:color w:val="auto"/>
          <w:sz w:val="28"/>
          <w:szCs w:val="28"/>
          <w:lang w:eastAsia="en-GB"/>
        </w:rPr>
        <w:lastRenderedPageBreak/>
        <w:t>Risk Factors and Aetiology</w:t>
      </w:r>
      <w:bookmarkEnd w:id="11"/>
    </w:p>
    <w:p w14:paraId="10C383CA" w14:textId="32C813C8"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results from a combination of biological, behavioural, </w:t>
      </w:r>
      <w:r w:rsidR="003E0EB9" w:rsidRPr="006004FE">
        <w:rPr>
          <w:rFonts w:ascii="Arial" w:hAnsi="Arial" w:cs="Arial"/>
          <w:lang w:eastAsia="en-GB"/>
        </w:rPr>
        <w:t>social,</w:t>
      </w:r>
      <w:r w:rsidRPr="006004FE">
        <w:rPr>
          <w:rFonts w:ascii="Arial" w:hAnsi="Arial" w:cs="Arial"/>
          <w:lang w:eastAsia="en-GB"/>
        </w:rPr>
        <w:t xml:space="preserve"> and environmental factors.</w:t>
      </w:r>
    </w:p>
    <w:p w14:paraId="37A3958E" w14:textId="77777777" w:rsidR="006004FE" w:rsidRPr="003A2448" w:rsidRDefault="006004FE" w:rsidP="003A2448">
      <w:pPr>
        <w:pStyle w:val="Heading3"/>
        <w:rPr>
          <w:rFonts w:ascii="Arial" w:hAnsi="Arial" w:cs="Arial"/>
          <w:b/>
          <w:bCs/>
          <w:color w:val="auto"/>
          <w:sz w:val="24"/>
          <w:szCs w:val="24"/>
          <w:lang w:eastAsia="en-GB"/>
        </w:rPr>
      </w:pPr>
      <w:bookmarkStart w:id="12" w:name="_Toc215694786"/>
      <w:r w:rsidRPr="003A2448">
        <w:rPr>
          <w:rFonts w:ascii="Arial" w:hAnsi="Arial" w:cs="Arial"/>
          <w:b/>
          <w:bCs/>
          <w:color w:val="auto"/>
          <w:sz w:val="24"/>
          <w:szCs w:val="24"/>
          <w:lang w:eastAsia="en-GB"/>
        </w:rPr>
        <w:t>Biological factors</w:t>
      </w:r>
      <w:bookmarkEnd w:id="12"/>
    </w:p>
    <w:p w14:paraId="19AD32C5" w14:textId="3A5D0573"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Age remains the strongest predictor of dementia, with risk doubling every five years after age 65 (Alzheimer’s Society, 2022). Multimorbidity, frailty and previous stroke also </w:t>
      </w:r>
      <w:r w:rsidR="003E0EB9" w:rsidRPr="006004FE">
        <w:rPr>
          <w:rFonts w:ascii="Arial" w:hAnsi="Arial" w:cs="Arial"/>
          <w:lang w:eastAsia="en-GB"/>
        </w:rPr>
        <w:t>increased</w:t>
      </w:r>
      <w:r w:rsidRPr="006004FE">
        <w:rPr>
          <w:rFonts w:ascii="Arial" w:hAnsi="Arial" w:cs="Arial"/>
          <w:lang w:eastAsia="en-GB"/>
        </w:rPr>
        <w:t xml:space="preserve"> risk (Woldemariam et al., 2024).</w:t>
      </w:r>
    </w:p>
    <w:p w14:paraId="24815C4D" w14:textId="77777777" w:rsidR="006004FE" w:rsidRPr="003A2448" w:rsidRDefault="006004FE" w:rsidP="003A2448">
      <w:pPr>
        <w:pStyle w:val="Heading3"/>
        <w:rPr>
          <w:rFonts w:ascii="Arial" w:hAnsi="Arial" w:cs="Arial"/>
          <w:b/>
          <w:bCs/>
          <w:color w:val="auto"/>
          <w:sz w:val="24"/>
          <w:szCs w:val="24"/>
          <w:lang w:eastAsia="en-GB"/>
        </w:rPr>
      </w:pPr>
      <w:bookmarkStart w:id="13" w:name="_Toc215694787"/>
      <w:r w:rsidRPr="003A2448">
        <w:rPr>
          <w:rFonts w:ascii="Arial" w:hAnsi="Arial" w:cs="Arial"/>
          <w:b/>
          <w:bCs/>
          <w:color w:val="auto"/>
          <w:sz w:val="24"/>
          <w:szCs w:val="24"/>
          <w:lang w:eastAsia="en-GB"/>
        </w:rPr>
        <w:t>Behavioural and lifestyle factors</w:t>
      </w:r>
      <w:bookmarkEnd w:id="13"/>
    </w:p>
    <w:p w14:paraId="11BEBA4F" w14:textId="57CCA79D"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Liverpool has </w:t>
      </w:r>
      <w:r w:rsidR="000F6127" w:rsidRPr="006004FE">
        <w:rPr>
          <w:rFonts w:ascii="Arial" w:hAnsi="Arial" w:cs="Arial"/>
          <w:lang w:eastAsia="en-GB"/>
        </w:rPr>
        <w:t>important levels</w:t>
      </w:r>
      <w:r w:rsidRPr="006004FE">
        <w:rPr>
          <w:rFonts w:ascii="Arial" w:hAnsi="Arial" w:cs="Arial"/>
          <w:lang w:eastAsia="en-GB"/>
        </w:rPr>
        <w:t xml:space="preserve"> of smoking, obesity, diabetes, </w:t>
      </w:r>
      <w:r w:rsidR="003E0EB9" w:rsidRPr="006004FE">
        <w:rPr>
          <w:rFonts w:ascii="Arial" w:hAnsi="Arial" w:cs="Arial"/>
          <w:lang w:eastAsia="en-GB"/>
        </w:rPr>
        <w:t>hypertension,</w:t>
      </w:r>
      <w:r w:rsidRPr="006004FE">
        <w:rPr>
          <w:rFonts w:ascii="Arial" w:hAnsi="Arial" w:cs="Arial"/>
          <w:lang w:eastAsia="en-GB"/>
        </w:rPr>
        <w:t xml:space="preserve"> and alcohol use, all of which contribute to vascular dementia risk (British Heart Foundation, 2023).</w:t>
      </w:r>
    </w:p>
    <w:p w14:paraId="5CFE3559" w14:textId="77777777" w:rsidR="006004FE" w:rsidRPr="003A2448" w:rsidRDefault="006004FE" w:rsidP="003A2448">
      <w:pPr>
        <w:pStyle w:val="Heading3"/>
        <w:rPr>
          <w:rFonts w:ascii="Arial" w:hAnsi="Arial" w:cs="Arial"/>
          <w:b/>
          <w:bCs/>
          <w:color w:val="auto"/>
          <w:sz w:val="24"/>
          <w:szCs w:val="24"/>
          <w:lang w:eastAsia="en-GB"/>
        </w:rPr>
      </w:pPr>
      <w:bookmarkStart w:id="14" w:name="_Toc215694788"/>
      <w:r w:rsidRPr="003A2448">
        <w:rPr>
          <w:rFonts w:ascii="Arial" w:hAnsi="Arial" w:cs="Arial"/>
          <w:b/>
          <w:bCs/>
          <w:color w:val="auto"/>
          <w:sz w:val="24"/>
          <w:szCs w:val="24"/>
          <w:lang w:eastAsia="en-GB"/>
        </w:rPr>
        <w:t>Social determinants of health</w:t>
      </w:r>
      <w:bookmarkEnd w:id="14"/>
    </w:p>
    <w:p w14:paraId="1F519091" w14:textId="5DD37324"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Liverpool ranks among the 10% most deprived areas in England (Local Government Association, 2010). Deprivation contributes to poor housing, limited access to healthy food, chronic </w:t>
      </w:r>
      <w:r w:rsidR="003E0EB9" w:rsidRPr="006004FE">
        <w:rPr>
          <w:rFonts w:ascii="Arial" w:hAnsi="Arial" w:cs="Arial"/>
          <w:lang w:eastAsia="en-GB"/>
        </w:rPr>
        <w:t>stress,</w:t>
      </w:r>
      <w:r w:rsidRPr="006004FE">
        <w:rPr>
          <w:rFonts w:ascii="Arial" w:hAnsi="Arial" w:cs="Arial"/>
          <w:lang w:eastAsia="en-GB"/>
        </w:rPr>
        <w:t xml:space="preserve"> and reduced uptake of preventative services, accelerating cognitive decline (Marmot et al., 2020; Lima-Costa et al., 2012).</w:t>
      </w:r>
    </w:p>
    <w:p w14:paraId="1723E079" w14:textId="77777777" w:rsidR="006004FE" w:rsidRPr="003A2448" w:rsidRDefault="006004FE" w:rsidP="003A2448">
      <w:pPr>
        <w:pStyle w:val="Heading3"/>
        <w:rPr>
          <w:rFonts w:ascii="Arial" w:hAnsi="Arial" w:cs="Arial"/>
          <w:b/>
          <w:bCs/>
          <w:color w:val="auto"/>
          <w:sz w:val="24"/>
          <w:szCs w:val="24"/>
          <w:lang w:eastAsia="en-GB"/>
        </w:rPr>
      </w:pPr>
      <w:bookmarkStart w:id="15" w:name="_Toc215694789"/>
      <w:r w:rsidRPr="003A2448">
        <w:rPr>
          <w:rFonts w:ascii="Arial" w:hAnsi="Arial" w:cs="Arial"/>
          <w:b/>
          <w:bCs/>
          <w:color w:val="auto"/>
          <w:sz w:val="24"/>
          <w:szCs w:val="24"/>
          <w:lang w:eastAsia="en-GB"/>
        </w:rPr>
        <w:t>Psychosocial factors</w:t>
      </w:r>
      <w:bookmarkEnd w:id="15"/>
    </w:p>
    <w:p w14:paraId="5667349C" w14:textId="244B307D"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Loneliness and social isolation are linked to cognitive decline (Westwood et al., 2020). </w:t>
      </w:r>
      <w:r w:rsidR="000F6127">
        <w:rPr>
          <w:rFonts w:ascii="Arial" w:hAnsi="Arial" w:cs="Arial"/>
          <w:lang w:eastAsia="en-GB"/>
        </w:rPr>
        <w:t>O</w:t>
      </w:r>
      <w:r w:rsidRPr="006004FE">
        <w:rPr>
          <w:rFonts w:ascii="Arial" w:hAnsi="Arial" w:cs="Arial"/>
          <w:lang w:eastAsia="en-GB"/>
        </w:rPr>
        <w:t>lder people in Liverpool live alone and lack social support (Age UK, 2019).</w:t>
      </w:r>
    </w:p>
    <w:p w14:paraId="505A166B" w14:textId="77777777" w:rsidR="006004FE" w:rsidRPr="003A2448" w:rsidRDefault="006004FE" w:rsidP="003A2448">
      <w:pPr>
        <w:pStyle w:val="Heading3"/>
        <w:rPr>
          <w:rFonts w:ascii="Arial" w:hAnsi="Arial" w:cs="Arial"/>
          <w:b/>
          <w:bCs/>
          <w:color w:val="auto"/>
          <w:sz w:val="24"/>
          <w:szCs w:val="24"/>
          <w:lang w:eastAsia="en-GB"/>
        </w:rPr>
      </w:pPr>
      <w:bookmarkStart w:id="16" w:name="_Toc215694790"/>
      <w:r w:rsidRPr="003A2448">
        <w:rPr>
          <w:rFonts w:ascii="Arial" w:hAnsi="Arial" w:cs="Arial"/>
          <w:b/>
          <w:bCs/>
          <w:color w:val="auto"/>
          <w:sz w:val="24"/>
          <w:szCs w:val="24"/>
          <w:lang w:eastAsia="en-GB"/>
        </w:rPr>
        <w:t>Cultural factors</w:t>
      </w:r>
      <w:bookmarkEnd w:id="16"/>
    </w:p>
    <w:p w14:paraId="2B1AE73B"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Ethnic minority older adults may experience stigma, language barriers and difficulty accessing dementia information or services (Paudyal et al., 2025; Husain &amp; Greenhalgh, 2025). This contributes to underdiagnosis and delayed care.</w:t>
      </w:r>
    </w:p>
    <w:p w14:paraId="358D5643" w14:textId="387D8CD6" w:rsidR="006004FE" w:rsidRPr="003A2448" w:rsidRDefault="006004FE" w:rsidP="003A2448">
      <w:pPr>
        <w:pStyle w:val="Heading2"/>
        <w:numPr>
          <w:ilvl w:val="0"/>
          <w:numId w:val="31"/>
        </w:numPr>
        <w:rPr>
          <w:rFonts w:ascii="Arial" w:hAnsi="Arial" w:cs="Arial"/>
          <w:b/>
          <w:bCs/>
          <w:color w:val="auto"/>
          <w:sz w:val="28"/>
          <w:szCs w:val="28"/>
          <w:lang w:eastAsia="en-GB"/>
        </w:rPr>
      </w:pPr>
      <w:bookmarkStart w:id="17" w:name="_Toc215694791"/>
      <w:r w:rsidRPr="003A2448">
        <w:rPr>
          <w:rFonts w:ascii="Arial" w:hAnsi="Arial" w:cs="Arial"/>
          <w:b/>
          <w:bCs/>
          <w:color w:val="auto"/>
          <w:sz w:val="28"/>
          <w:szCs w:val="28"/>
          <w:lang w:eastAsia="en-GB"/>
        </w:rPr>
        <w:t>Identifying Those Affected: Use of Epidemiological Studies and Health Needs Assessment</w:t>
      </w:r>
      <w:bookmarkEnd w:id="17"/>
    </w:p>
    <w:p w14:paraId="0A3310CD"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Epidemiological studies in Liverpool reveal that dementia prevalence among adults aged 65+ is significantly above England’s average and concentrated in deprived wards (Liverpool City Council, n.d.; Bennett et al., 2024). Studies across Europe also demonstrate that frailty and disability increase dementia progression, which is particularly relevant given Liverpool’s high frailty burden (Woldemariam et al., 2024).</w:t>
      </w:r>
    </w:p>
    <w:p w14:paraId="64182E62"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A Health Needs Assessment (HNA) in Liverpool identified:</w:t>
      </w:r>
    </w:p>
    <w:p w14:paraId="0EB8625C"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t>High unmet need in early diagnosis</w:t>
      </w:r>
    </w:p>
    <w:p w14:paraId="52A22775"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t>Limited dementia-friendly housing</w:t>
      </w:r>
    </w:p>
    <w:p w14:paraId="31D08AA6"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lastRenderedPageBreak/>
        <w:t>Insufficient support for carers</w:t>
      </w:r>
    </w:p>
    <w:p w14:paraId="2863BF4C" w14:textId="77777777" w:rsidR="006004FE" w:rsidRPr="006004FE" w:rsidRDefault="006004FE" w:rsidP="006004FE">
      <w:pPr>
        <w:numPr>
          <w:ilvl w:val="0"/>
          <w:numId w:val="17"/>
        </w:numPr>
        <w:spacing w:line="360" w:lineRule="auto"/>
        <w:rPr>
          <w:rFonts w:ascii="Arial" w:hAnsi="Arial" w:cs="Arial"/>
          <w:lang w:eastAsia="en-GB"/>
        </w:rPr>
      </w:pPr>
      <w:r w:rsidRPr="006004FE">
        <w:rPr>
          <w:rFonts w:ascii="Arial" w:hAnsi="Arial" w:cs="Arial"/>
          <w:lang w:eastAsia="en-GB"/>
        </w:rPr>
        <w:t>High emergency hospital admission rates for dementia-related complications</w:t>
      </w:r>
    </w:p>
    <w:p w14:paraId="15AE9AE8"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Intersectional studies further show that gender, ethnicity and socioeconomic status influence dementia risk and access to care (Hermans et al., 2025; Kneale et al., 2020). These findings guide resource allocation and help identify vulnerable subgroups.</w:t>
      </w:r>
    </w:p>
    <w:p w14:paraId="5CD7D242" w14:textId="41E24376" w:rsidR="006004FE" w:rsidRPr="003A2448" w:rsidRDefault="006004FE" w:rsidP="003A2448">
      <w:pPr>
        <w:pStyle w:val="ListParagraph"/>
        <w:numPr>
          <w:ilvl w:val="0"/>
          <w:numId w:val="31"/>
        </w:numPr>
        <w:spacing w:line="360" w:lineRule="auto"/>
        <w:rPr>
          <w:rFonts w:ascii="Arial" w:hAnsi="Arial" w:cs="Arial"/>
          <w:lang w:eastAsia="en-GB"/>
        </w:rPr>
      </w:pPr>
      <w:bookmarkStart w:id="18" w:name="_Toc215694792"/>
      <w:r w:rsidRPr="003A2448">
        <w:rPr>
          <w:rStyle w:val="Heading2Char"/>
          <w:rFonts w:ascii="Arial" w:hAnsi="Arial" w:cs="Arial"/>
          <w:b/>
          <w:bCs/>
          <w:color w:val="auto"/>
          <w:sz w:val="28"/>
          <w:szCs w:val="28"/>
          <w:lang w:eastAsia="en-GB"/>
        </w:rPr>
        <w:t>Monitoring and Surveillance Systems</w:t>
      </w:r>
      <w:bookmarkEnd w:id="18"/>
    </w:p>
    <w:p w14:paraId="5EAA06D7" w14:textId="7E0E2F80" w:rsidR="006004FE" w:rsidRPr="006004FE" w:rsidRDefault="006004FE" w:rsidP="006004FE">
      <w:pPr>
        <w:spacing w:line="360" w:lineRule="auto"/>
        <w:rPr>
          <w:rFonts w:ascii="Arial" w:hAnsi="Arial" w:cs="Arial"/>
          <w:lang w:eastAsia="en-GB"/>
        </w:rPr>
      </w:pPr>
      <w:r w:rsidRPr="006004FE">
        <w:rPr>
          <w:rFonts w:ascii="Arial" w:hAnsi="Arial" w:cs="Arial"/>
          <w:lang w:eastAsia="en-GB"/>
        </w:rPr>
        <w:t>Liverpool uses surveillance systems to track dementia incidence and outcomes:</w:t>
      </w:r>
    </w:p>
    <w:p w14:paraId="3BD55048" w14:textId="77777777"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GP Dementia Registers (QOF)</w:t>
      </w:r>
      <w:r w:rsidRPr="006004FE">
        <w:rPr>
          <w:rFonts w:ascii="Arial" w:hAnsi="Arial" w:cs="Arial"/>
          <w:lang w:eastAsia="en-GB"/>
        </w:rPr>
        <w:t xml:space="preserve"> – record diagnosed cases and help track early detection (NHS, 2023).</w:t>
      </w:r>
    </w:p>
    <w:p w14:paraId="01759C66" w14:textId="77777777"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Hospital Episode Statistics (HES)</w:t>
      </w:r>
      <w:r w:rsidRPr="006004FE">
        <w:rPr>
          <w:rFonts w:ascii="Arial" w:hAnsi="Arial" w:cs="Arial"/>
          <w:lang w:eastAsia="en-GB"/>
        </w:rPr>
        <w:t xml:space="preserve"> – monitor admissions for dementia-related complications.</w:t>
      </w:r>
    </w:p>
    <w:p w14:paraId="17FD980D" w14:textId="77777777"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Mortality data from ONS</w:t>
      </w:r>
      <w:r w:rsidRPr="006004FE">
        <w:rPr>
          <w:rFonts w:ascii="Arial" w:hAnsi="Arial" w:cs="Arial"/>
          <w:lang w:eastAsia="en-GB"/>
        </w:rPr>
        <w:t xml:space="preserve"> – show dementia as a leading cause of death, with higher mortality in deprived areas (ONS, 2020).</w:t>
      </w:r>
    </w:p>
    <w:p w14:paraId="76BED787" w14:textId="540AFCFF"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Public Health England ‘Fingertips’</w:t>
      </w:r>
      <w:r w:rsidRPr="006004FE">
        <w:rPr>
          <w:rFonts w:ascii="Arial" w:hAnsi="Arial" w:cs="Arial"/>
          <w:lang w:eastAsia="en-GB"/>
        </w:rPr>
        <w:t xml:space="preserve"> – provides prevalence estimates, risk </w:t>
      </w:r>
      <w:r w:rsidR="003E0EB9" w:rsidRPr="006004FE">
        <w:rPr>
          <w:rFonts w:ascii="Arial" w:hAnsi="Arial" w:cs="Arial"/>
          <w:lang w:eastAsia="en-GB"/>
        </w:rPr>
        <w:t>factors,</w:t>
      </w:r>
      <w:r w:rsidRPr="006004FE">
        <w:rPr>
          <w:rFonts w:ascii="Arial" w:hAnsi="Arial" w:cs="Arial"/>
          <w:lang w:eastAsia="en-GB"/>
        </w:rPr>
        <w:t xml:space="preserve"> and emergency admission data (Public Health England, 2018).</w:t>
      </w:r>
    </w:p>
    <w:p w14:paraId="125F5337" w14:textId="5637D7AD" w:rsidR="006004FE" w:rsidRPr="006004FE" w:rsidRDefault="006004FE" w:rsidP="006004FE">
      <w:pPr>
        <w:numPr>
          <w:ilvl w:val="0"/>
          <w:numId w:val="18"/>
        </w:numPr>
        <w:spacing w:line="360" w:lineRule="auto"/>
        <w:rPr>
          <w:rFonts w:ascii="Arial" w:hAnsi="Arial" w:cs="Arial"/>
          <w:lang w:eastAsia="en-GB"/>
        </w:rPr>
      </w:pPr>
      <w:r w:rsidRPr="006004FE">
        <w:rPr>
          <w:rFonts w:ascii="Arial" w:hAnsi="Arial" w:cs="Arial"/>
          <w:b/>
          <w:bCs/>
          <w:lang w:eastAsia="en-GB"/>
        </w:rPr>
        <w:t>Social care records</w:t>
      </w:r>
      <w:r w:rsidRPr="006004FE">
        <w:rPr>
          <w:rFonts w:ascii="Arial" w:hAnsi="Arial" w:cs="Arial"/>
          <w:lang w:eastAsia="en-GB"/>
        </w:rPr>
        <w:t xml:space="preserve"> – highlight safeguarding concerns, care home </w:t>
      </w:r>
      <w:r w:rsidR="003E0EB9" w:rsidRPr="006004FE">
        <w:rPr>
          <w:rFonts w:ascii="Arial" w:hAnsi="Arial" w:cs="Arial"/>
          <w:lang w:eastAsia="en-GB"/>
        </w:rPr>
        <w:t>placements,</w:t>
      </w:r>
      <w:r w:rsidRPr="006004FE">
        <w:rPr>
          <w:rFonts w:ascii="Arial" w:hAnsi="Arial" w:cs="Arial"/>
          <w:lang w:eastAsia="en-GB"/>
        </w:rPr>
        <w:t xml:space="preserve"> and dependence levels.</w:t>
      </w:r>
    </w:p>
    <w:p w14:paraId="6E0815E8" w14:textId="77777777" w:rsidR="006004FE" w:rsidRPr="003A2448" w:rsidRDefault="006004FE" w:rsidP="003A2448">
      <w:pPr>
        <w:pStyle w:val="Heading3"/>
        <w:rPr>
          <w:rFonts w:ascii="Arial" w:hAnsi="Arial" w:cs="Arial"/>
          <w:b/>
          <w:bCs/>
          <w:color w:val="auto"/>
          <w:sz w:val="24"/>
          <w:szCs w:val="24"/>
          <w:lang w:eastAsia="en-GB"/>
        </w:rPr>
      </w:pPr>
      <w:bookmarkStart w:id="19" w:name="_Toc215694793"/>
      <w:r w:rsidRPr="003A2448">
        <w:rPr>
          <w:rFonts w:ascii="Arial" w:hAnsi="Arial" w:cs="Arial"/>
          <w:b/>
          <w:bCs/>
          <w:color w:val="auto"/>
          <w:sz w:val="24"/>
          <w:szCs w:val="24"/>
          <w:lang w:eastAsia="en-GB"/>
        </w:rPr>
        <w:t>Limitations of surveillance:</w:t>
      </w:r>
      <w:bookmarkEnd w:id="19"/>
    </w:p>
    <w:p w14:paraId="473D5693" w14:textId="415E497E"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 xml:space="preserve">Dementia is underdiagnosed, especially in </w:t>
      </w:r>
      <w:r w:rsidR="00A711D5">
        <w:rPr>
          <w:rFonts w:ascii="Arial" w:hAnsi="Arial" w:cs="Arial"/>
          <w:lang w:eastAsia="en-GB"/>
        </w:rPr>
        <w:t xml:space="preserve">the </w:t>
      </w:r>
      <w:r w:rsidR="000F6127" w:rsidRPr="006004FE">
        <w:rPr>
          <w:rFonts w:ascii="Arial" w:hAnsi="Arial" w:cs="Arial"/>
          <w:lang w:eastAsia="en-GB"/>
        </w:rPr>
        <w:t>initial stages</w:t>
      </w:r>
      <w:r w:rsidRPr="006004FE">
        <w:rPr>
          <w:rFonts w:ascii="Arial" w:hAnsi="Arial" w:cs="Arial"/>
          <w:lang w:eastAsia="en-GB"/>
        </w:rPr>
        <w:t xml:space="preserve"> (NICE, 2018).</w:t>
      </w:r>
    </w:p>
    <w:p w14:paraId="172F1175" w14:textId="77777777"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Ethnicity data is often incomplete.</w:t>
      </w:r>
    </w:p>
    <w:p w14:paraId="03BD76FF" w14:textId="77777777"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HES data may misclassify dementia due to coding inconsistencies.</w:t>
      </w:r>
    </w:p>
    <w:p w14:paraId="168ABEAD" w14:textId="77777777" w:rsidR="006004FE" w:rsidRPr="006004FE" w:rsidRDefault="006004FE" w:rsidP="006004FE">
      <w:pPr>
        <w:numPr>
          <w:ilvl w:val="0"/>
          <w:numId w:val="19"/>
        </w:numPr>
        <w:spacing w:line="360" w:lineRule="auto"/>
        <w:rPr>
          <w:rFonts w:ascii="Arial" w:hAnsi="Arial" w:cs="Arial"/>
          <w:lang w:eastAsia="en-GB"/>
        </w:rPr>
      </w:pPr>
      <w:r w:rsidRPr="006004FE">
        <w:rPr>
          <w:rFonts w:ascii="Arial" w:hAnsi="Arial" w:cs="Arial"/>
          <w:lang w:eastAsia="en-GB"/>
        </w:rPr>
        <w:t>Stigma and language barriers influence reporting accuracy (Husain &amp; Greenhalgh, 2025).</w:t>
      </w:r>
    </w:p>
    <w:p w14:paraId="1683F66C" w14:textId="2467534B" w:rsidR="006004FE" w:rsidRPr="003A2448" w:rsidRDefault="006004FE" w:rsidP="003A2448">
      <w:pPr>
        <w:pStyle w:val="Heading2"/>
        <w:numPr>
          <w:ilvl w:val="0"/>
          <w:numId w:val="19"/>
        </w:numPr>
        <w:rPr>
          <w:rFonts w:ascii="Arial" w:hAnsi="Arial" w:cs="Arial"/>
          <w:b/>
          <w:bCs/>
          <w:color w:val="auto"/>
          <w:sz w:val="28"/>
          <w:szCs w:val="28"/>
          <w:lang w:eastAsia="en-GB"/>
        </w:rPr>
      </w:pPr>
      <w:bookmarkStart w:id="20" w:name="_Toc215694794"/>
      <w:r w:rsidRPr="003A2448">
        <w:rPr>
          <w:rFonts w:ascii="Arial" w:hAnsi="Arial" w:cs="Arial"/>
          <w:b/>
          <w:bCs/>
          <w:color w:val="auto"/>
          <w:sz w:val="28"/>
          <w:szCs w:val="28"/>
          <w:lang w:eastAsia="en-GB"/>
        </w:rPr>
        <w:t>Public Health Measures in Liverpool: The 3 Ps Framework</w:t>
      </w:r>
      <w:bookmarkEnd w:id="20"/>
    </w:p>
    <w:p w14:paraId="5F91529E"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Prevention</w:t>
      </w:r>
    </w:p>
    <w:p w14:paraId="651B58E1"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Liverpool prioritises dementia prevention due to the strong influence of modifiable factors. Key measures include:</w:t>
      </w:r>
    </w:p>
    <w:p w14:paraId="652D95A4" w14:textId="464E0C03" w:rsidR="006004FE" w:rsidRPr="006004FE" w:rsidRDefault="006004FE" w:rsidP="006004FE">
      <w:pPr>
        <w:numPr>
          <w:ilvl w:val="0"/>
          <w:numId w:val="20"/>
        </w:numPr>
        <w:spacing w:line="360" w:lineRule="auto"/>
        <w:rPr>
          <w:rFonts w:ascii="Arial" w:hAnsi="Arial" w:cs="Arial"/>
          <w:lang w:eastAsia="en-GB"/>
        </w:rPr>
      </w:pPr>
      <w:r w:rsidRPr="006004FE">
        <w:rPr>
          <w:rFonts w:ascii="Arial" w:hAnsi="Arial" w:cs="Arial"/>
          <w:lang w:eastAsia="en-GB"/>
        </w:rPr>
        <w:t xml:space="preserve">The </w:t>
      </w:r>
      <w:r w:rsidRPr="006004FE">
        <w:rPr>
          <w:rFonts w:ascii="Arial" w:hAnsi="Arial" w:cs="Arial"/>
          <w:i/>
          <w:iCs/>
          <w:lang w:eastAsia="en-GB"/>
        </w:rPr>
        <w:t>Healthy Liverpool Programme</w:t>
      </w:r>
      <w:r w:rsidRPr="006004FE">
        <w:rPr>
          <w:rFonts w:ascii="Arial" w:hAnsi="Arial" w:cs="Arial"/>
          <w:lang w:eastAsia="en-GB"/>
        </w:rPr>
        <w:t xml:space="preserve">, promoting physical activity, </w:t>
      </w:r>
      <w:r w:rsidR="003E0EB9" w:rsidRPr="006004FE">
        <w:rPr>
          <w:rFonts w:ascii="Arial" w:hAnsi="Arial" w:cs="Arial"/>
          <w:lang w:eastAsia="en-GB"/>
        </w:rPr>
        <w:t>diet,</w:t>
      </w:r>
      <w:r w:rsidRPr="006004FE">
        <w:rPr>
          <w:rFonts w:ascii="Arial" w:hAnsi="Arial" w:cs="Arial"/>
          <w:lang w:eastAsia="en-GB"/>
        </w:rPr>
        <w:t xml:space="preserve"> and smoking cessation (Liverpool CCG, 2019).</w:t>
      </w:r>
    </w:p>
    <w:p w14:paraId="20D28F9E" w14:textId="76955C74" w:rsidR="006004FE" w:rsidRPr="006004FE" w:rsidRDefault="006004FE" w:rsidP="006004FE">
      <w:pPr>
        <w:numPr>
          <w:ilvl w:val="0"/>
          <w:numId w:val="20"/>
        </w:numPr>
        <w:spacing w:line="360" w:lineRule="auto"/>
        <w:rPr>
          <w:rFonts w:ascii="Arial" w:hAnsi="Arial" w:cs="Arial"/>
          <w:lang w:eastAsia="en-GB"/>
        </w:rPr>
      </w:pPr>
      <w:r w:rsidRPr="006004FE">
        <w:rPr>
          <w:rFonts w:ascii="Arial" w:hAnsi="Arial" w:cs="Arial"/>
          <w:lang w:eastAsia="en-GB"/>
        </w:rPr>
        <w:lastRenderedPageBreak/>
        <w:t xml:space="preserve">Risk factor audits for diabetes, </w:t>
      </w:r>
      <w:r w:rsidR="003E0EB9" w:rsidRPr="006004FE">
        <w:rPr>
          <w:rFonts w:ascii="Arial" w:hAnsi="Arial" w:cs="Arial"/>
          <w:lang w:eastAsia="en-GB"/>
        </w:rPr>
        <w:t>obesity,</w:t>
      </w:r>
      <w:r w:rsidRPr="006004FE">
        <w:rPr>
          <w:rFonts w:ascii="Arial" w:hAnsi="Arial" w:cs="Arial"/>
          <w:lang w:eastAsia="en-GB"/>
        </w:rPr>
        <w:t xml:space="preserve"> and hypertension (British Heart Foundation, 2023).</w:t>
      </w:r>
    </w:p>
    <w:p w14:paraId="48DC6E79" w14:textId="77777777" w:rsidR="006004FE" w:rsidRPr="006004FE" w:rsidRDefault="006004FE" w:rsidP="006004FE">
      <w:pPr>
        <w:numPr>
          <w:ilvl w:val="0"/>
          <w:numId w:val="20"/>
        </w:numPr>
        <w:spacing w:line="360" w:lineRule="auto"/>
        <w:rPr>
          <w:rFonts w:ascii="Arial" w:hAnsi="Arial" w:cs="Arial"/>
          <w:lang w:eastAsia="en-GB"/>
        </w:rPr>
      </w:pPr>
      <w:r w:rsidRPr="006004FE">
        <w:rPr>
          <w:rFonts w:ascii="Arial" w:hAnsi="Arial" w:cs="Arial"/>
          <w:lang w:eastAsia="en-GB"/>
        </w:rPr>
        <w:t>Alcohol reduction and cardiovascular health campaigns (Public Health England, 2019).</w:t>
      </w:r>
    </w:p>
    <w:p w14:paraId="4B86FC23"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These align with WHO recommendations emphasising lifestyle change to reduce dementia risk (WHO, 2019).</w:t>
      </w:r>
    </w:p>
    <w:p w14:paraId="14839EF0" w14:textId="77777777" w:rsidR="006004FE" w:rsidRPr="003A2448" w:rsidRDefault="006004FE" w:rsidP="003A2448">
      <w:pPr>
        <w:pStyle w:val="Heading3"/>
        <w:rPr>
          <w:rFonts w:ascii="Arial" w:hAnsi="Arial" w:cs="Arial"/>
          <w:b/>
          <w:bCs/>
          <w:color w:val="auto"/>
          <w:sz w:val="24"/>
          <w:szCs w:val="24"/>
          <w:lang w:eastAsia="en-GB"/>
        </w:rPr>
      </w:pPr>
      <w:bookmarkStart w:id="21" w:name="_Toc215694795"/>
      <w:r w:rsidRPr="003A2448">
        <w:rPr>
          <w:rFonts w:ascii="Arial" w:hAnsi="Arial" w:cs="Arial"/>
          <w:b/>
          <w:bCs/>
          <w:color w:val="auto"/>
          <w:sz w:val="24"/>
          <w:szCs w:val="24"/>
          <w:lang w:eastAsia="en-GB"/>
        </w:rPr>
        <w:t>Protection</w:t>
      </w:r>
      <w:bookmarkEnd w:id="21"/>
    </w:p>
    <w:p w14:paraId="187516F6" w14:textId="588FAF43"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Protection measures focus on safeguarding vulnerable older adults and preventing </w:t>
      </w:r>
      <w:r w:rsidR="00A711D5">
        <w:rPr>
          <w:rFonts w:ascii="Arial" w:hAnsi="Arial" w:cs="Arial"/>
          <w:lang w:eastAsia="en-GB"/>
        </w:rPr>
        <w:t>crises</w:t>
      </w:r>
      <w:r w:rsidRPr="006004FE">
        <w:rPr>
          <w:rFonts w:ascii="Arial" w:hAnsi="Arial" w:cs="Arial"/>
          <w:lang w:eastAsia="en-GB"/>
        </w:rPr>
        <w:t>:</w:t>
      </w:r>
    </w:p>
    <w:p w14:paraId="5EFE9091" w14:textId="77777777" w:rsidR="006004FE" w:rsidRPr="006004FE" w:rsidRDefault="006004FE" w:rsidP="006004FE">
      <w:pPr>
        <w:numPr>
          <w:ilvl w:val="0"/>
          <w:numId w:val="21"/>
        </w:numPr>
        <w:spacing w:line="360" w:lineRule="auto"/>
        <w:rPr>
          <w:rFonts w:ascii="Arial" w:hAnsi="Arial" w:cs="Arial"/>
          <w:lang w:eastAsia="en-GB"/>
        </w:rPr>
      </w:pPr>
      <w:r w:rsidRPr="006004FE">
        <w:rPr>
          <w:rFonts w:ascii="Arial" w:hAnsi="Arial" w:cs="Arial"/>
          <w:lang w:eastAsia="en-GB"/>
        </w:rPr>
        <w:t>Mandatory safeguarding training for carers and community workers (Maleki et al., 2025).</w:t>
      </w:r>
    </w:p>
    <w:p w14:paraId="66FCE32A" w14:textId="34D7313B" w:rsidR="006004FE" w:rsidRPr="006004FE" w:rsidRDefault="006004FE" w:rsidP="006004FE">
      <w:pPr>
        <w:numPr>
          <w:ilvl w:val="0"/>
          <w:numId w:val="21"/>
        </w:numPr>
        <w:spacing w:line="360" w:lineRule="auto"/>
        <w:rPr>
          <w:rFonts w:ascii="Arial" w:hAnsi="Arial" w:cs="Arial"/>
          <w:lang w:eastAsia="en-GB"/>
        </w:rPr>
      </w:pPr>
      <w:r w:rsidRPr="006004FE">
        <w:rPr>
          <w:rFonts w:ascii="Arial" w:hAnsi="Arial" w:cs="Arial"/>
          <w:lang w:eastAsia="en-GB"/>
        </w:rPr>
        <w:t xml:space="preserve">Crisis response services to prevent hospitalisation after falls, </w:t>
      </w:r>
      <w:r w:rsidR="00A711D5" w:rsidRPr="006004FE">
        <w:rPr>
          <w:rFonts w:ascii="Arial" w:hAnsi="Arial" w:cs="Arial"/>
          <w:lang w:eastAsia="en-GB"/>
        </w:rPr>
        <w:t>infections,</w:t>
      </w:r>
      <w:r w:rsidRPr="006004FE">
        <w:rPr>
          <w:rFonts w:ascii="Arial" w:hAnsi="Arial" w:cs="Arial"/>
          <w:lang w:eastAsia="en-GB"/>
        </w:rPr>
        <w:t xml:space="preserve"> or behavioural decline (Health, 2024).</w:t>
      </w:r>
    </w:p>
    <w:p w14:paraId="0EA3AFF5" w14:textId="77777777" w:rsidR="006004FE" w:rsidRPr="006004FE" w:rsidRDefault="006004FE" w:rsidP="006004FE">
      <w:pPr>
        <w:numPr>
          <w:ilvl w:val="0"/>
          <w:numId w:val="21"/>
        </w:numPr>
        <w:spacing w:line="360" w:lineRule="auto"/>
        <w:rPr>
          <w:rFonts w:ascii="Arial" w:hAnsi="Arial" w:cs="Arial"/>
          <w:lang w:eastAsia="en-GB"/>
        </w:rPr>
      </w:pPr>
      <w:r w:rsidRPr="006004FE">
        <w:rPr>
          <w:rFonts w:ascii="Arial" w:hAnsi="Arial" w:cs="Arial"/>
          <w:lang w:eastAsia="en-GB"/>
        </w:rPr>
        <w:t>Protection of autonomy under Mental Capacity Act procedures.</w:t>
      </w:r>
    </w:p>
    <w:p w14:paraId="38A1FA7C" w14:textId="77777777" w:rsidR="006004FE" w:rsidRPr="003A2448" w:rsidRDefault="006004FE" w:rsidP="003A2448">
      <w:pPr>
        <w:pStyle w:val="Heading3"/>
        <w:rPr>
          <w:rFonts w:ascii="Arial" w:hAnsi="Arial" w:cs="Arial"/>
          <w:b/>
          <w:bCs/>
          <w:color w:val="auto"/>
          <w:sz w:val="24"/>
          <w:szCs w:val="24"/>
          <w:lang w:eastAsia="en-GB"/>
        </w:rPr>
      </w:pPr>
      <w:bookmarkStart w:id="22" w:name="_Toc215694796"/>
      <w:r w:rsidRPr="003A2448">
        <w:rPr>
          <w:rFonts w:ascii="Arial" w:hAnsi="Arial" w:cs="Arial"/>
          <w:b/>
          <w:bCs/>
          <w:color w:val="auto"/>
          <w:sz w:val="24"/>
          <w:szCs w:val="24"/>
          <w:lang w:eastAsia="en-GB"/>
        </w:rPr>
        <w:t>Health Promotion</w:t>
      </w:r>
      <w:bookmarkEnd w:id="22"/>
    </w:p>
    <w:p w14:paraId="39132E87"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Liverpool supports community-led health promotion through:</w:t>
      </w:r>
    </w:p>
    <w:p w14:paraId="2FECD5D3"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Dementia Friendly Liverpool initiatives</w:t>
      </w:r>
    </w:p>
    <w:p w14:paraId="2BD3BEE5"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Peer support groups and dementia cafés</w:t>
      </w:r>
    </w:p>
    <w:p w14:paraId="754F165A"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Education campaigns delivered with the Alzheimer’s Society</w:t>
      </w:r>
    </w:p>
    <w:p w14:paraId="76197F9D" w14:textId="77777777" w:rsidR="006004FE" w:rsidRPr="006004FE" w:rsidRDefault="006004FE" w:rsidP="006004FE">
      <w:pPr>
        <w:numPr>
          <w:ilvl w:val="0"/>
          <w:numId w:val="22"/>
        </w:numPr>
        <w:spacing w:line="360" w:lineRule="auto"/>
        <w:rPr>
          <w:rFonts w:ascii="Arial" w:hAnsi="Arial" w:cs="Arial"/>
          <w:lang w:eastAsia="en-GB"/>
        </w:rPr>
      </w:pPr>
      <w:r w:rsidRPr="006004FE">
        <w:rPr>
          <w:rFonts w:ascii="Arial" w:hAnsi="Arial" w:cs="Arial"/>
          <w:lang w:eastAsia="en-GB"/>
        </w:rPr>
        <w:t>Digital inclusion programmes for older adults (Wu, Xue &amp; Ma, 2025)</w:t>
      </w:r>
    </w:p>
    <w:p w14:paraId="4B41B33A" w14:textId="312E4441"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These reduce stigma, enhance </w:t>
      </w:r>
      <w:r w:rsidR="003E0EB9" w:rsidRPr="006004FE">
        <w:rPr>
          <w:rFonts w:ascii="Arial" w:hAnsi="Arial" w:cs="Arial"/>
          <w:lang w:eastAsia="en-GB"/>
        </w:rPr>
        <w:t>wellbeing,</w:t>
      </w:r>
      <w:r w:rsidRPr="006004FE">
        <w:rPr>
          <w:rFonts w:ascii="Arial" w:hAnsi="Arial" w:cs="Arial"/>
          <w:lang w:eastAsia="en-GB"/>
        </w:rPr>
        <w:t xml:space="preserve"> and promote earlier help-seeking.</w:t>
      </w:r>
    </w:p>
    <w:p w14:paraId="4C99C285" w14:textId="41AAF788" w:rsidR="006004FE" w:rsidRDefault="006004FE" w:rsidP="003A2448">
      <w:pPr>
        <w:pStyle w:val="Heading2"/>
        <w:numPr>
          <w:ilvl w:val="0"/>
          <w:numId w:val="34"/>
        </w:numPr>
        <w:rPr>
          <w:rFonts w:ascii="Arial" w:hAnsi="Arial" w:cs="Arial"/>
          <w:b/>
          <w:bCs/>
          <w:color w:val="auto"/>
          <w:sz w:val="28"/>
          <w:szCs w:val="28"/>
          <w:lang w:eastAsia="en-GB"/>
        </w:rPr>
      </w:pPr>
      <w:bookmarkStart w:id="23" w:name="_Toc215694797"/>
      <w:r w:rsidRPr="003A2448">
        <w:rPr>
          <w:rFonts w:ascii="Arial" w:hAnsi="Arial" w:cs="Arial"/>
          <w:b/>
          <w:bCs/>
          <w:color w:val="auto"/>
          <w:sz w:val="28"/>
          <w:szCs w:val="28"/>
          <w:lang w:eastAsia="en-GB"/>
        </w:rPr>
        <w:t>Public Health Impact: Short- and Long-Term Consequences</w:t>
      </w:r>
      <w:bookmarkEnd w:id="23"/>
    </w:p>
    <w:p w14:paraId="5EEC8EC7" w14:textId="77777777" w:rsidR="00ED7F63" w:rsidRPr="00ED7F63" w:rsidRDefault="00ED7F63" w:rsidP="00ED7F63">
      <w:pPr>
        <w:pStyle w:val="Heading3"/>
        <w:rPr>
          <w:rFonts w:ascii="Arial" w:hAnsi="Arial" w:cs="Arial"/>
          <w:b/>
          <w:bCs/>
          <w:color w:val="auto"/>
          <w:sz w:val="24"/>
          <w:szCs w:val="24"/>
          <w:lang w:eastAsia="en-GB"/>
        </w:rPr>
      </w:pPr>
    </w:p>
    <w:p w14:paraId="41C83904" w14:textId="77777777" w:rsidR="006004FE" w:rsidRPr="00ED7F63" w:rsidRDefault="006004FE" w:rsidP="00ED7F63">
      <w:pPr>
        <w:pStyle w:val="Heading3"/>
        <w:rPr>
          <w:rFonts w:ascii="Arial" w:hAnsi="Arial" w:cs="Arial"/>
          <w:b/>
          <w:bCs/>
          <w:color w:val="auto"/>
          <w:sz w:val="24"/>
          <w:szCs w:val="24"/>
          <w:lang w:eastAsia="en-GB"/>
        </w:rPr>
      </w:pPr>
      <w:bookmarkStart w:id="24" w:name="_Toc215694798"/>
      <w:r w:rsidRPr="00ED7F63">
        <w:rPr>
          <w:rFonts w:ascii="Arial" w:hAnsi="Arial" w:cs="Arial"/>
          <w:b/>
          <w:bCs/>
          <w:color w:val="auto"/>
          <w:sz w:val="24"/>
          <w:szCs w:val="24"/>
          <w:lang w:eastAsia="en-GB"/>
        </w:rPr>
        <w:t>Short-Term Effects</w:t>
      </w:r>
      <w:bookmarkEnd w:id="24"/>
    </w:p>
    <w:p w14:paraId="394019FB" w14:textId="4FA5B90F"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Memory and behavioural changes</w:t>
      </w:r>
      <w:r w:rsidR="00ED7F63">
        <w:rPr>
          <w:rFonts w:ascii="Arial" w:hAnsi="Arial" w:cs="Arial"/>
          <w:lang w:eastAsia="en-GB"/>
        </w:rPr>
        <w:t>.</w:t>
      </w:r>
    </w:p>
    <w:p w14:paraId="6B318F9E" w14:textId="2E26E539"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 xml:space="preserve">Reduced </w:t>
      </w:r>
      <w:r w:rsidR="00ED7F63" w:rsidRPr="006004FE">
        <w:rPr>
          <w:rFonts w:ascii="Arial" w:hAnsi="Arial" w:cs="Arial"/>
          <w:lang w:eastAsia="en-GB"/>
        </w:rPr>
        <w:t>independence.</w:t>
      </w:r>
    </w:p>
    <w:p w14:paraId="675F8DA4" w14:textId="25348DD5"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Increased emergency hospital admissions</w:t>
      </w:r>
      <w:r w:rsidR="00ED7F63">
        <w:rPr>
          <w:rFonts w:ascii="Arial" w:hAnsi="Arial" w:cs="Arial"/>
          <w:lang w:eastAsia="en-GB"/>
        </w:rPr>
        <w:t>.</w:t>
      </w:r>
    </w:p>
    <w:p w14:paraId="57C9C67C" w14:textId="6C31DAD9" w:rsidR="006004FE" w:rsidRPr="006004FE" w:rsidRDefault="006004FE" w:rsidP="006004FE">
      <w:pPr>
        <w:numPr>
          <w:ilvl w:val="0"/>
          <w:numId w:val="23"/>
        </w:numPr>
        <w:spacing w:line="360" w:lineRule="auto"/>
        <w:rPr>
          <w:rFonts w:ascii="Arial" w:hAnsi="Arial" w:cs="Arial"/>
          <w:lang w:eastAsia="en-GB"/>
        </w:rPr>
      </w:pPr>
      <w:r w:rsidRPr="006004FE">
        <w:rPr>
          <w:rFonts w:ascii="Arial" w:hAnsi="Arial" w:cs="Arial"/>
          <w:lang w:eastAsia="en-GB"/>
        </w:rPr>
        <w:t>Carer stress and burnout</w:t>
      </w:r>
      <w:r w:rsidR="00ED7F63">
        <w:rPr>
          <w:rFonts w:ascii="Arial" w:hAnsi="Arial" w:cs="Arial"/>
          <w:lang w:eastAsia="en-GB"/>
        </w:rPr>
        <w:t>.</w:t>
      </w:r>
    </w:p>
    <w:p w14:paraId="72D07130" w14:textId="77777777" w:rsidR="006004FE" w:rsidRPr="003A2448" w:rsidRDefault="006004FE" w:rsidP="003A2448">
      <w:pPr>
        <w:pStyle w:val="Heading3"/>
        <w:rPr>
          <w:rFonts w:ascii="Arial" w:hAnsi="Arial" w:cs="Arial"/>
          <w:b/>
          <w:bCs/>
          <w:color w:val="auto"/>
          <w:sz w:val="24"/>
          <w:szCs w:val="24"/>
          <w:lang w:eastAsia="en-GB"/>
        </w:rPr>
      </w:pPr>
      <w:bookmarkStart w:id="25" w:name="_Toc215694799"/>
      <w:r w:rsidRPr="003A2448">
        <w:rPr>
          <w:rFonts w:ascii="Arial" w:hAnsi="Arial" w:cs="Arial"/>
          <w:b/>
          <w:bCs/>
          <w:color w:val="auto"/>
          <w:sz w:val="24"/>
          <w:szCs w:val="24"/>
          <w:lang w:eastAsia="en-GB"/>
        </w:rPr>
        <w:t>Long-Term Effects</w:t>
      </w:r>
      <w:bookmarkEnd w:id="25"/>
    </w:p>
    <w:p w14:paraId="41933F17" w14:textId="23B9429A"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Severe disability and dependence</w:t>
      </w:r>
      <w:r w:rsidR="00ED7F63">
        <w:rPr>
          <w:rFonts w:ascii="Arial" w:hAnsi="Arial" w:cs="Arial"/>
          <w:lang w:eastAsia="en-GB"/>
        </w:rPr>
        <w:t>.</w:t>
      </w:r>
    </w:p>
    <w:p w14:paraId="48E82A8C" w14:textId="153CD2BC"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lastRenderedPageBreak/>
        <w:t>Institutionalisation</w:t>
      </w:r>
      <w:r w:rsidR="00ED7F63">
        <w:rPr>
          <w:rFonts w:ascii="Arial" w:hAnsi="Arial" w:cs="Arial"/>
          <w:lang w:eastAsia="en-GB"/>
        </w:rPr>
        <w:t>.</w:t>
      </w:r>
    </w:p>
    <w:p w14:paraId="0DB52ADC" w14:textId="596D2008"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Early mortality</w:t>
      </w:r>
      <w:r w:rsidR="00ED7F63">
        <w:rPr>
          <w:rFonts w:ascii="Arial" w:hAnsi="Arial" w:cs="Arial"/>
          <w:lang w:eastAsia="en-GB"/>
        </w:rPr>
        <w:t>.</w:t>
      </w:r>
    </w:p>
    <w:p w14:paraId="7A39DFE8" w14:textId="4A72B36A"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Heightened poverty and financial strain</w:t>
      </w:r>
      <w:r w:rsidR="00ED7F63">
        <w:rPr>
          <w:rFonts w:ascii="Arial" w:hAnsi="Arial" w:cs="Arial"/>
          <w:lang w:eastAsia="en-GB"/>
        </w:rPr>
        <w:t>.</w:t>
      </w:r>
    </w:p>
    <w:p w14:paraId="194FCB02" w14:textId="2D59C18D" w:rsidR="006004FE" w:rsidRPr="006004FE" w:rsidRDefault="006004FE" w:rsidP="006004FE">
      <w:pPr>
        <w:numPr>
          <w:ilvl w:val="0"/>
          <w:numId w:val="24"/>
        </w:numPr>
        <w:spacing w:line="360" w:lineRule="auto"/>
        <w:rPr>
          <w:rFonts w:ascii="Arial" w:hAnsi="Arial" w:cs="Arial"/>
          <w:lang w:eastAsia="en-GB"/>
        </w:rPr>
      </w:pPr>
      <w:r w:rsidRPr="006004FE">
        <w:rPr>
          <w:rFonts w:ascii="Arial" w:hAnsi="Arial" w:cs="Arial"/>
          <w:lang w:eastAsia="en-GB"/>
        </w:rPr>
        <w:t>Increased pressure on NHS and social care services (Rahman, Khan &amp; Hafford-Letchfield, 2015)</w:t>
      </w:r>
      <w:r w:rsidR="00ED7F63">
        <w:rPr>
          <w:rFonts w:ascii="Arial" w:hAnsi="Arial" w:cs="Arial"/>
          <w:lang w:eastAsia="en-GB"/>
        </w:rPr>
        <w:t>.</w:t>
      </w:r>
    </w:p>
    <w:p w14:paraId="252BCBCB" w14:textId="77777777" w:rsidR="006004FE" w:rsidRPr="006004FE" w:rsidRDefault="006004FE" w:rsidP="006004FE">
      <w:pPr>
        <w:spacing w:line="360" w:lineRule="auto"/>
        <w:rPr>
          <w:rFonts w:ascii="Arial" w:hAnsi="Arial" w:cs="Arial"/>
          <w:lang w:eastAsia="en-GB"/>
        </w:rPr>
      </w:pPr>
      <w:r w:rsidRPr="006004FE">
        <w:rPr>
          <w:rFonts w:ascii="Arial" w:hAnsi="Arial" w:cs="Arial"/>
          <w:lang w:eastAsia="en-GB"/>
        </w:rPr>
        <w:t>Social isolation worsens outcomes, especially for those living alone.</w:t>
      </w:r>
    </w:p>
    <w:p w14:paraId="5B588E55" w14:textId="266702BD" w:rsidR="006004FE" w:rsidRDefault="006004FE" w:rsidP="00ED7F63">
      <w:pPr>
        <w:pStyle w:val="Heading2"/>
        <w:numPr>
          <w:ilvl w:val="0"/>
          <w:numId w:val="34"/>
        </w:numPr>
        <w:rPr>
          <w:rFonts w:ascii="Arial" w:hAnsi="Arial" w:cs="Arial"/>
          <w:b/>
          <w:bCs/>
          <w:color w:val="auto"/>
          <w:sz w:val="28"/>
          <w:szCs w:val="28"/>
          <w:lang w:eastAsia="en-GB"/>
        </w:rPr>
      </w:pPr>
      <w:bookmarkStart w:id="26" w:name="_Toc215694800"/>
      <w:r w:rsidRPr="00ED7F63">
        <w:rPr>
          <w:rFonts w:ascii="Arial" w:hAnsi="Arial" w:cs="Arial"/>
          <w:b/>
          <w:bCs/>
          <w:color w:val="auto"/>
          <w:sz w:val="28"/>
          <w:szCs w:val="28"/>
          <w:lang w:eastAsia="en-GB"/>
        </w:rPr>
        <w:t>Intervention Design: Liverpool Dementia Prevention and Support Programme</w:t>
      </w:r>
      <w:bookmarkEnd w:id="26"/>
    </w:p>
    <w:p w14:paraId="40C4A37E" w14:textId="77777777" w:rsidR="00ED7F63" w:rsidRPr="00ED7F63" w:rsidRDefault="00ED7F63" w:rsidP="00ED7F63">
      <w:pPr>
        <w:rPr>
          <w:lang w:eastAsia="en-GB"/>
        </w:rPr>
      </w:pPr>
    </w:p>
    <w:p w14:paraId="6F5939AE"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Target Population</w:t>
      </w:r>
    </w:p>
    <w:p w14:paraId="4D06AA24" w14:textId="26AC3B41"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Adults aged 55+ in Liverpool, with </w:t>
      </w:r>
      <w:r w:rsidR="00A711D5">
        <w:rPr>
          <w:rFonts w:ascii="Arial" w:hAnsi="Arial" w:cs="Arial"/>
          <w:lang w:eastAsia="en-GB"/>
        </w:rPr>
        <w:t xml:space="preserve">a </w:t>
      </w:r>
      <w:r w:rsidRPr="006004FE">
        <w:rPr>
          <w:rFonts w:ascii="Arial" w:hAnsi="Arial" w:cs="Arial"/>
          <w:lang w:eastAsia="en-GB"/>
        </w:rPr>
        <w:t>focus on deprived areas and minority ethnic groups.</w:t>
      </w:r>
    </w:p>
    <w:p w14:paraId="13BA1081"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A. Prevention</w:t>
      </w:r>
    </w:p>
    <w:p w14:paraId="6417EE24" w14:textId="77777777" w:rsidR="006004FE" w:rsidRPr="006004FE" w:rsidRDefault="006004FE" w:rsidP="006004FE">
      <w:pPr>
        <w:numPr>
          <w:ilvl w:val="0"/>
          <w:numId w:val="25"/>
        </w:numPr>
        <w:spacing w:line="360" w:lineRule="auto"/>
        <w:rPr>
          <w:rFonts w:ascii="Arial" w:hAnsi="Arial" w:cs="Arial"/>
          <w:lang w:eastAsia="en-GB"/>
        </w:rPr>
      </w:pPr>
      <w:r w:rsidRPr="006004FE">
        <w:rPr>
          <w:rFonts w:ascii="Arial" w:hAnsi="Arial" w:cs="Arial"/>
          <w:lang w:eastAsia="en-GB"/>
        </w:rPr>
        <w:t>Community health screening (blood pressure, diabetes, obesity)</w:t>
      </w:r>
    </w:p>
    <w:p w14:paraId="0517CDA6" w14:textId="77777777" w:rsidR="006004FE" w:rsidRPr="006004FE" w:rsidRDefault="006004FE" w:rsidP="006004FE">
      <w:pPr>
        <w:numPr>
          <w:ilvl w:val="0"/>
          <w:numId w:val="25"/>
        </w:numPr>
        <w:spacing w:line="360" w:lineRule="auto"/>
        <w:rPr>
          <w:rFonts w:ascii="Arial" w:hAnsi="Arial" w:cs="Arial"/>
          <w:lang w:eastAsia="en-GB"/>
        </w:rPr>
      </w:pPr>
      <w:r w:rsidRPr="006004FE">
        <w:rPr>
          <w:rFonts w:ascii="Arial" w:hAnsi="Arial" w:cs="Arial"/>
          <w:lang w:eastAsia="en-GB"/>
        </w:rPr>
        <w:t>Smoking and alcohol reduction programmes</w:t>
      </w:r>
    </w:p>
    <w:p w14:paraId="7D39025D" w14:textId="77777777" w:rsidR="006004FE" w:rsidRPr="006004FE" w:rsidRDefault="006004FE" w:rsidP="006004FE">
      <w:pPr>
        <w:numPr>
          <w:ilvl w:val="0"/>
          <w:numId w:val="25"/>
        </w:numPr>
        <w:spacing w:line="360" w:lineRule="auto"/>
        <w:rPr>
          <w:rFonts w:ascii="Arial" w:hAnsi="Arial" w:cs="Arial"/>
          <w:lang w:eastAsia="en-GB"/>
        </w:rPr>
      </w:pPr>
      <w:r w:rsidRPr="006004FE">
        <w:rPr>
          <w:rFonts w:ascii="Arial" w:hAnsi="Arial" w:cs="Arial"/>
          <w:lang w:eastAsia="en-GB"/>
        </w:rPr>
        <w:t>Nutrition and exercise classes</w:t>
      </w:r>
    </w:p>
    <w:p w14:paraId="0F1C984F"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B. Early Diagnosis</w:t>
      </w:r>
    </w:p>
    <w:p w14:paraId="570BBF2D" w14:textId="77777777" w:rsidR="006004FE" w:rsidRPr="006004FE" w:rsidRDefault="006004FE" w:rsidP="006004FE">
      <w:pPr>
        <w:numPr>
          <w:ilvl w:val="0"/>
          <w:numId w:val="26"/>
        </w:numPr>
        <w:spacing w:line="360" w:lineRule="auto"/>
        <w:rPr>
          <w:rFonts w:ascii="Arial" w:hAnsi="Arial" w:cs="Arial"/>
          <w:lang w:eastAsia="en-GB"/>
        </w:rPr>
      </w:pPr>
      <w:r w:rsidRPr="006004FE">
        <w:rPr>
          <w:rFonts w:ascii="Arial" w:hAnsi="Arial" w:cs="Arial"/>
          <w:lang w:eastAsia="en-GB"/>
        </w:rPr>
        <w:t>Memory screening events in community centres</w:t>
      </w:r>
    </w:p>
    <w:p w14:paraId="78B20F30" w14:textId="77777777" w:rsidR="006004FE" w:rsidRPr="006004FE" w:rsidRDefault="006004FE" w:rsidP="006004FE">
      <w:pPr>
        <w:numPr>
          <w:ilvl w:val="0"/>
          <w:numId w:val="26"/>
        </w:numPr>
        <w:spacing w:line="360" w:lineRule="auto"/>
        <w:rPr>
          <w:rFonts w:ascii="Arial" w:hAnsi="Arial" w:cs="Arial"/>
          <w:lang w:eastAsia="en-GB"/>
        </w:rPr>
      </w:pPr>
      <w:r w:rsidRPr="006004FE">
        <w:rPr>
          <w:rFonts w:ascii="Arial" w:hAnsi="Arial" w:cs="Arial"/>
          <w:lang w:eastAsia="en-GB"/>
        </w:rPr>
        <w:t>GP training in culturally sensitive dementia assessment</w:t>
      </w:r>
    </w:p>
    <w:p w14:paraId="61FDAF94" w14:textId="77777777" w:rsidR="006004FE" w:rsidRPr="006004FE" w:rsidRDefault="006004FE" w:rsidP="006004FE">
      <w:pPr>
        <w:numPr>
          <w:ilvl w:val="0"/>
          <w:numId w:val="26"/>
        </w:numPr>
        <w:spacing w:line="360" w:lineRule="auto"/>
        <w:rPr>
          <w:rFonts w:ascii="Arial" w:hAnsi="Arial" w:cs="Arial"/>
          <w:lang w:eastAsia="en-GB"/>
        </w:rPr>
      </w:pPr>
      <w:r w:rsidRPr="006004FE">
        <w:rPr>
          <w:rFonts w:ascii="Arial" w:hAnsi="Arial" w:cs="Arial"/>
          <w:lang w:eastAsia="en-GB"/>
        </w:rPr>
        <w:t>Multilingual dementia awareness campaigns (Paudyal et al., 2025)</w:t>
      </w:r>
    </w:p>
    <w:p w14:paraId="5C45A671"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C. Support and Management</w:t>
      </w:r>
    </w:p>
    <w:p w14:paraId="770F298B" w14:textId="77777777"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Dementia-friendly home safety assessments</w:t>
      </w:r>
    </w:p>
    <w:p w14:paraId="1BB9BA4D" w14:textId="00895C71"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 xml:space="preserve">Carer support training, respite </w:t>
      </w:r>
      <w:r w:rsidR="003E0EB9" w:rsidRPr="006004FE">
        <w:rPr>
          <w:rFonts w:ascii="Arial" w:hAnsi="Arial" w:cs="Arial"/>
          <w:lang w:eastAsia="en-GB"/>
        </w:rPr>
        <w:t>care,</w:t>
      </w:r>
      <w:r w:rsidRPr="006004FE">
        <w:rPr>
          <w:rFonts w:ascii="Arial" w:hAnsi="Arial" w:cs="Arial"/>
          <w:lang w:eastAsia="en-GB"/>
        </w:rPr>
        <w:t xml:space="preserve"> and wellbeing groups</w:t>
      </w:r>
    </w:p>
    <w:p w14:paraId="3F2CD8BD" w14:textId="77777777"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Digital inclusion training for older adults (Wu, Xue &amp; Ma, 2025)</w:t>
      </w:r>
    </w:p>
    <w:p w14:paraId="3683B06A" w14:textId="77777777" w:rsidR="006004FE" w:rsidRPr="006004FE" w:rsidRDefault="006004FE" w:rsidP="006004FE">
      <w:pPr>
        <w:numPr>
          <w:ilvl w:val="0"/>
          <w:numId w:val="27"/>
        </w:numPr>
        <w:spacing w:line="360" w:lineRule="auto"/>
        <w:rPr>
          <w:rFonts w:ascii="Arial" w:hAnsi="Arial" w:cs="Arial"/>
          <w:lang w:eastAsia="en-GB"/>
        </w:rPr>
      </w:pPr>
      <w:r w:rsidRPr="006004FE">
        <w:rPr>
          <w:rFonts w:ascii="Arial" w:hAnsi="Arial" w:cs="Arial"/>
          <w:lang w:eastAsia="en-GB"/>
        </w:rPr>
        <w:t>Expansion of dementia cafés and peer support networks</w:t>
      </w:r>
    </w:p>
    <w:p w14:paraId="75139F9B"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Evaluation Indicators (KPIs)</w:t>
      </w:r>
    </w:p>
    <w:p w14:paraId="0CDEF9FE" w14:textId="525FF81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 xml:space="preserve">Increased early diagnosis </w:t>
      </w:r>
      <w:r w:rsidR="003E0EB9" w:rsidRPr="006004FE">
        <w:rPr>
          <w:rFonts w:ascii="Arial" w:hAnsi="Arial" w:cs="Arial"/>
          <w:lang w:eastAsia="en-GB"/>
        </w:rPr>
        <w:t>rates.</w:t>
      </w:r>
    </w:p>
    <w:p w14:paraId="61294257" w14:textId="4D23BCDF"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 xml:space="preserve">Reduced emergency </w:t>
      </w:r>
      <w:r w:rsidR="003E0EB9" w:rsidRPr="006004FE">
        <w:rPr>
          <w:rFonts w:ascii="Arial" w:hAnsi="Arial" w:cs="Arial"/>
          <w:lang w:eastAsia="en-GB"/>
        </w:rPr>
        <w:t>admissions.</w:t>
      </w:r>
    </w:p>
    <w:p w14:paraId="06E2DEDF" w14:textId="7777777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lastRenderedPageBreak/>
        <w:t>Improved carer wellbeing scores</w:t>
      </w:r>
    </w:p>
    <w:p w14:paraId="488CCDA1" w14:textId="7777777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Cost-effectiveness analysis in primary care</w:t>
      </w:r>
    </w:p>
    <w:p w14:paraId="5CB9714E" w14:textId="77777777" w:rsidR="006004FE" w:rsidRPr="006004FE" w:rsidRDefault="006004FE" w:rsidP="006004FE">
      <w:pPr>
        <w:numPr>
          <w:ilvl w:val="0"/>
          <w:numId w:val="28"/>
        </w:numPr>
        <w:spacing w:line="360" w:lineRule="auto"/>
        <w:rPr>
          <w:rFonts w:ascii="Arial" w:hAnsi="Arial" w:cs="Arial"/>
          <w:lang w:eastAsia="en-GB"/>
        </w:rPr>
      </w:pPr>
      <w:r w:rsidRPr="006004FE">
        <w:rPr>
          <w:rFonts w:ascii="Arial" w:hAnsi="Arial" w:cs="Arial"/>
          <w:lang w:eastAsia="en-GB"/>
        </w:rPr>
        <w:t>Improved quality-of-life outcomes in patients and carers</w:t>
      </w:r>
    </w:p>
    <w:p w14:paraId="1BD3F2C8" w14:textId="20F409AD" w:rsidR="006004FE" w:rsidRPr="00BE0F69" w:rsidRDefault="006004FE" w:rsidP="00BE0F69">
      <w:pPr>
        <w:pStyle w:val="Heading2"/>
        <w:numPr>
          <w:ilvl w:val="0"/>
          <w:numId w:val="28"/>
        </w:numPr>
        <w:rPr>
          <w:rFonts w:ascii="Arial" w:hAnsi="Arial" w:cs="Arial"/>
          <w:b/>
          <w:bCs/>
          <w:color w:val="auto"/>
          <w:sz w:val="28"/>
          <w:szCs w:val="28"/>
          <w:lang w:eastAsia="en-GB"/>
        </w:rPr>
      </w:pPr>
      <w:bookmarkStart w:id="27" w:name="_Toc215694801"/>
      <w:r w:rsidRPr="00BE0F69">
        <w:rPr>
          <w:rFonts w:ascii="Arial" w:hAnsi="Arial" w:cs="Arial"/>
          <w:b/>
          <w:bCs/>
          <w:color w:val="auto"/>
          <w:sz w:val="28"/>
          <w:szCs w:val="28"/>
          <w:lang w:eastAsia="en-GB"/>
        </w:rPr>
        <w:t>Strengths and Weaknesses of the Epidemiological Approach</w:t>
      </w:r>
      <w:bookmarkEnd w:id="27"/>
    </w:p>
    <w:p w14:paraId="2D15A6C4"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Strengths</w:t>
      </w:r>
    </w:p>
    <w:p w14:paraId="32AB8B50" w14:textId="77777777" w:rsidR="006004FE" w:rsidRPr="006004FE" w:rsidRDefault="006004FE" w:rsidP="006004FE">
      <w:pPr>
        <w:numPr>
          <w:ilvl w:val="0"/>
          <w:numId w:val="29"/>
        </w:numPr>
        <w:spacing w:line="360" w:lineRule="auto"/>
        <w:rPr>
          <w:rFonts w:ascii="Arial" w:hAnsi="Arial" w:cs="Arial"/>
          <w:lang w:eastAsia="en-GB"/>
        </w:rPr>
      </w:pPr>
      <w:r w:rsidRPr="006004FE">
        <w:rPr>
          <w:rFonts w:ascii="Arial" w:hAnsi="Arial" w:cs="Arial"/>
          <w:lang w:eastAsia="en-GB"/>
        </w:rPr>
        <w:t>Multiple surveillance systems generate comprehensive population-level data.</w:t>
      </w:r>
    </w:p>
    <w:p w14:paraId="7A0C5B4B" w14:textId="77777777" w:rsidR="006004FE" w:rsidRPr="006004FE" w:rsidRDefault="006004FE" w:rsidP="006004FE">
      <w:pPr>
        <w:numPr>
          <w:ilvl w:val="0"/>
          <w:numId w:val="29"/>
        </w:numPr>
        <w:spacing w:line="360" w:lineRule="auto"/>
        <w:rPr>
          <w:rFonts w:ascii="Arial" w:hAnsi="Arial" w:cs="Arial"/>
          <w:lang w:eastAsia="en-GB"/>
        </w:rPr>
      </w:pPr>
      <w:r w:rsidRPr="006004FE">
        <w:rPr>
          <w:rFonts w:ascii="Arial" w:hAnsi="Arial" w:cs="Arial"/>
          <w:lang w:eastAsia="en-GB"/>
        </w:rPr>
        <w:t>Health Needs Assessments enable targeted resource planning.</w:t>
      </w:r>
    </w:p>
    <w:p w14:paraId="47174747" w14:textId="77777777" w:rsidR="006004FE" w:rsidRPr="006004FE" w:rsidRDefault="006004FE" w:rsidP="006004FE">
      <w:pPr>
        <w:numPr>
          <w:ilvl w:val="0"/>
          <w:numId w:val="29"/>
        </w:numPr>
        <w:spacing w:line="360" w:lineRule="auto"/>
        <w:rPr>
          <w:rFonts w:ascii="Arial" w:hAnsi="Arial" w:cs="Arial"/>
          <w:lang w:eastAsia="en-GB"/>
        </w:rPr>
      </w:pPr>
      <w:r w:rsidRPr="006004FE">
        <w:rPr>
          <w:rFonts w:ascii="Arial" w:hAnsi="Arial" w:cs="Arial"/>
          <w:lang w:eastAsia="en-GB"/>
        </w:rPr>
        <w:t>Epidemiological data identify modifiable risk factors and guide intervention design.</w:t>
      </w:r>
    </w:p>
    <w:p w14:paraId="63165285" w14:textId="6CD3232E" w:rsidR="006004FE" w:rsidRPr="00026E4F" w:rsidRDefault="006004FE" w:rsidP="00026E4F">
      <w:pPr>
        <w:pStyle w:val="ListParagraph"/>
        <w:numPr>
          <w:ilvl w:val="0"/>
          <w:numId w:val="29"/>
        </w:numPr>
        <w:rPr>
          <w:rFonts w:ascii="Arial" w:hAnsi="Arial" w:cs="Arial"/>
          <w:lang w:eastAsia="en-GB"/>
        </w:rPr>
      </w:pPr>
      <w:r w:rsidRPr="00026E4F">
        <w:rPr>
          <w:rFonts w:ascii="Arial" w:hAnsi="Arial" w:cs="Arial"/>
          <w:lang w:eastAsia="en-GB"/>
        </w:rPr>
        <w:t xml:space="preserve">Local-level data allows precision in targeting deprived </w:t>
      </w:r>
      <w:r w:rsidR="00026E4F" w:rsidRPr="00026E4F">
        <w:rPr>
          <w:rFonts w:ascii="Arial" w:hAnsi="Arial" w:cs="Arial"/>
          <w:lang w:eastAsia="en-GB"/>
        </w:rPr>
        <w:t>neighbourhoods</w:t>
      </w:r>
      <w:proofErr w:type="gramStart"/>
      <w:r w:rsidR="00026E4F" w:rsidRPr="00026E4F">
        <w:rPr>
          <w:rFonts w:ascii="Arial" w:hAnsi="Arial" w:cs="Arial"/>
          <w:lang w:eastAsia="en-GB"/>
        </w:rPr>
        <w:t xml:space="preserve">. </w:t>
      </w:r>
      <w:r w:rsidR="00026E4F">
        <w:rPr>
          <w:rFonts w:ascii="Arial" w:hAnsi="Arial" w:cs="Arial"/>
          <w:lang w:eastAsia="en-GB"/>
        </w:rPr>
        <w:t xml:space="preserve"> </w:t>
      </w:r>
      <w:proofErr w:type="gramEnd"/>
      <w:r w:rsidR="00026E4F" w:rsidRPr="00026E4F">
        <w:rPr>
          <w:rFonts w:ascii="Arial" w:hAnsi="Arial" w:cs="Arial"/>
          <w:lang w:eastAsia="en-GB"/>
        </w:rPr>
        <w:t>(</w:t>
      </w:r>
      <w:r w:rsidR="00026E4F" w:rsidRPr="00026E4F">
        <w:rPr>
          <w:rFonts w:ascii="Arial" w:hAnsi="Arial" w:cs="Arial"/>
          <w:lang w:eastAsia="en-GB"/>
        </w:rPr>
        <w:t>NICE, 2018).</w:t>
      </w:r>
    </w:p>
    <w:p w14:paraId="6A68AF73" w14:textId="77777777" w:rsidR="006004FE" w:rsidRPr="006004FE" w:rsidRDefault="006004FE" w:rsidP="006004FE">
      <w:pPr>
        <w:spacing w:line="360" w:lineRule="auto"/>
        <w:rPr>
          <w:rFonts w:ascii="Arial" w:hAnsi="Arial" w:cs="Arial"/>
          <w:b/>
          <w:bCs/>
          <w:lang w:eastAsia="en-GB"/>
        </w:rPr>
      </w:pPr>
      <w:r w:rsidRPr="006004FE">
        <w:rPr>
          <w:rFonts w:ascii="Arial" w:hAnsi="Arial" w:cs="Arial"/>
          <w:b/>
          <w:bCs/>
          <w:lang w:eastAsia="en-GB"/>
        </w:rPr>
        <w:t>Weaknesses</w:t>
      </w:r>
    </w:p>
    <w:p w14:paraId="4D1FC7A3" w14:textId="158A4961"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 xml:space="preserve">Significant underdiagnosis in </w:t>
      </w:r>
      <w:r w:rsidR="000F6127" w:rsidRPr="006004FE">
        <w:rPr>
          <w:rFonts w:ascii="Arial" w:hAnsi="Arial" w:cs="Arial"/>
          <w:lang w:eastAsia="en-GB"/>
        </w:rPr>
        <w:t>initial stages</w:t>
      </w:r>
      <w:r w:rsidRPr="006004FE">
        <w:rPr>
          <w:rFonts w:ascii="Arial" w:hAnsi="Arial" w:cs="Arial"/>
          <w:lang w:eastAsia="en-GB"/>
        </w:rPr>
        <w:t xml:space="preserve"> skews prevalence accuracy (NICE, 2018).</w:t>
      </w:r>
    </w:p>
    <w:p w14:paraId="573A9187" w14:textId="77777777"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Ethnic minority groups are often underrepresented in research.</w:t>
      </w:r>
    </w:p>
    <w:p w14:paraId="7CEDD5A9" w14:textId="77777777"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Social determinants such as poverty are difficult to quantify precisely.</w:t>
      </w:r>
    </w:p>
    <w:p w14:paraId="4B2AAAA2" w14:textId="20472860"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 xml:space="preserve">Stigma and language barriers reduce </w:t>
      </w:r>
      <w:r w:rsidR="000F6127">
        <w:rPr>
          <w:rFonts w:ascii="Arial" w:hAnsi="Arial" w:cs="Arial"/>
          <w:lang w:eastAsia="en-GB"/>
        </w:rPr>
        <w:t xml:space="preserve">the </w:t>
      </w:r>
      <w:r w:rsidRPr="006004FE">
        <w:rPr>
          <w:rFonts w:ascii="Arial" w:hAnsi="Arial" w:cs="Arial"/>
          <w:lang w:eastAsia="en-GB"/>
        </w:rPr>
        <w:t>reliability of self-reported data (Husain &amp; Greenhalgh, 2025).</w:t>
      </w:r>
    </w:p>
    <w:p w14:paraId="3EE0D49B" w14:textId="77777777" w:rsidR="006004FE" w:rsidRPr="006004FE" w:rsidRDefault="006004FE" w:rsidP="006004FE">
      <w:pPr>
        <w:numPr>
          <w:ilvl w:val="0"/>
          <w:numId w:val="30"/>
        </w:numPr>
        <w:spacing w:line="360" w:lineRule="auto"/>
        <w:rPr>
          <w:rFonts w:ascii="Arial" w:hAnsi="Arial" w:cs="Arial"/>
          <w:lang w:eastAsia="en-GB"/>
        </w:rPr>
      </w:pPr>
      <w:r w:rsidRPr="006004FE">
        <w:rPr>
          <w:rFonts w:ascii="Arial" w:hAnsi="Arial" w:cs="Arial"/>
          <w:lang w:eastAsia="en-GB"/>
        </w:rPr>
        <w:t>Cross-sectional studies cannot determine causality.</w:t>
      </w:r>
    </w:p>
    <w:p w14:paraId="3D736C6A" w14:textId="77777777" w:rsidR="00BE0F69" w:rsidRDefault="006004FE" w:rsidP="006004FE">
      <w:pPr>
        <w:spacing w:line="360" w:lineRule="auto"/>
        <w:rPr>
          <w:rFonts w:ascii="Arial" w:hAnsi="Arial" w:cs="Arial"/>
          <w:lang w:eastAsia="en-GB"/>
        </w:rPr>
      </w:pPr>
      <w:r w:rsidRPr="006004FE">
        <w:rPr>
          <w:rFonts w:ascii="Arial" w:hAnsi="Arial" w:cs="Arial"/>
          <w:lang w:eastAsia="en-GB"/>
        </w:rPr>
        <w:t>Despite limitations, epidemiology remains essential for planning effective dementia policy and services.</w:t>
      </w:r>
    </w:p>
    <w:p w14:paraId="79840AEF" w14:textId="6C7E1EE0" w:rsidR="006004FE" w:rsidRPr="00BE0F69" w:rsidRDefault="006004FE" w:rsidP="00BE0F69">
      <w:pPr>
        <w:pStyle w:val="Heading2"/>
        <w:numPr>
          <w:ilvl w:val="0"/>
          <w:numId w:val="35"/>
        </w:numPr>
        <w:rPr>
          <w:rFonts w:ascii="Arial" w:hAnsi="Arial" w:cs="Arial"/>
          <w:b/>
          <w:bCs/>
          <w:color w:val="auto"/>
          <w:sz w:val="28"/>
          <w:szCs w:val="28"/>
          <w:lang w:eastAsia="en-GB"/>
        </w:rPr>
      </w:pPr>
      <w:bookmarkStart w:id="28" w:name="_Toc215694802"/>
      <w:r w:rsidRPr="00BE0F69">
        <w:rPr>
          <w:rFonts w:ascii="Arial" w:hAnsi="Arial" w:cs="Arial"/>
          <w:b/>
          <w:bCs/>
          <w:color w:val="auto"/>
          <w:sz w:val="28"/>
          <w:szCs w:val="28"/>
          <w:lang w:eastAsia="en-GB"/>
        </w:rPr>
        <w:t>Conclusion</w:t>
      </w:r>
      <w:bookmarkEnd w:id="28"/>
    </w:p>
    <w:p w14:paraId="59A46ED4" w14:textId="6F0C0D73" w:rsidR="006004FE" w:rsidRPr="006004FE" w:rsidRDefault="006004FE" w:rsidP="006004FE">
      <w:pPr>
        <w:spacing w:line="360" w:lineRule="auto"/>
        <w:rPr>
          <w:rFonts w:ascii="Arial" w:hAnsi="Arial" w:cs="Arial"/>
          <w:lang w:eastAsia="en-GB"/>
        </w:rPr>
      </w:pPr>
      <w:r w:rsidRPr="006004FE">
        <w:rPr>
          <w:rFonts w:ascii="Arial" w:hAnsi="Arial" w:cs="Arial"/>
          <w:lang w:eastAsia="en-GB"/>
        </w:rPr>
        <w:t xml:space="preserve">Dementia is a major and growing public health issue in Liverpool, driven by demographic ageing, socioeconomic deprivation, multimorbidity and social isolation. Epidemiological evidence identifies clear inequalities affecting those in deprived communities and ethnic minority groups. Effective public health approaches must include robust prevention, early diagnosis, appropriate </w:t>
      </w:r>
      <w:r w:rsidR="003E0EB9" w:rsidRPr="006004FE">
        <w:rPr>
          <w:rFonts w:ascii="Arial" w:hAnsi="Arial" w:cs="Arial"/>
          <w:lang w:eastAsia="en-GB"/>
        </w:rPr>
        <w:t>safeguarding,</w:t>
      </w:r>
      <w:r w:rsidRPr="006004FE">
        <w:rPr>
          <w:rFonts w:ascii="Arial" w:hAnsi="Arial" w:cs="Arial"/>
          <w:lang w:eastAsia="en-GB"/>
        </w:rPr>
        <w:t xml:space="preserve"> and long-term community support. The proposed Liverpool Dementia Prevention and Support Programme offers a comprehensive strategy to reduce dementia incidence, delay progression and improve quality of life for older adults. Achieving this will require sustained investment, cross-sector </w:t>
      </w:r>
      <w:r w:rsidR="003E0EB9" w:rsidRPr="006004FE">
        <w:rPr>
          <w:rFonts w:ascii="Arial" w:hAnsi="Arial" w:cs="Arial"/>
          <w:lang w:eastAsia="en-GB"/>
        </w:rPr>
        <w:t>collaboration,</w:t>
      </w:r>
      <w:r w:rsidRPr="006004FE">
        <w:rPr>
          <w:rFonts w:ascii="Arial" w:hAnsi="Arial" w:cs="Arial"/>
          <w:lang w:eastAsia="en-GB"/>
        </w:rPr>
        <w:t xml:space="preserve"> and a commitment to addressing the wider social determinants of health.</w:t>
      </w:r>
    </w:p>
    <w:p w14:paraId="6C830AAA" w14:textId="77777777" w:rsidR="00041763" w:rsidRPr="00041763" w:rsidRDefault="00041763" w:rsidP="00041763">
      <w:pPr>
        <w:rPr>
          <w:lang w:eastAsia="en-GB"/>
        </w:rPr>
      </w:pPr>
    </w:p>
    <w:p w14:paraId="29CA203C" w14:textId="77777777" w:rsidR="00E65540" w:rsidRPr="00041763" w:rsidRDefault="00E65540" w:rsidP="006623C0">
      <w:pPr>
        <w:spacing w:after="0" w:line="240" w:lineRule="auto"/>
        <w:rPr>
          <w:rFonts w:ascii="Arial" w:eastAsia="Times New Roman" w:hAnsi="Arial" w:cs="Arial"/>
          <w:kern w:val="0"/>
          <w:lang w:eastAsia="en-GB"/>
          <w14:ligatures w14:val="none"/>
        </w:rPr>
      </w:pPr>
    </w:p>
    <w:p w14:paraId="6BE05DAF" w14:textId="36939BEC" w:rsidR="00BB149F" w:rsidRPr="00BE0F69" w:rsidRDefault="00BB149F" w:rsidP="00BE0F69">
      <w:pPr>
        <w:pStyle w:val="Heading2"/>
        <w:numPr>
          <w:ilvl w:val="0"/>
          <w:numId w:val="35"/>
        </w:numPr>
        <w:rPr>
          <w:rFonts w:ascii="Arial" w:eastAsia="Times New Roman" w:hAnsi="Arial" w:cs="Arial"/>
          <w:b/>
          <w:bCs/>
          <w:color w:val="auto"/>
          <w:sz w:val="28"/>
          <w:szCs w:val="28"/>
          <w:lang w:eastAsia="en-GB"/>
        </w:rPr>
      </w:pPr>
      <w:bookmarkStart w:id="29" w:name="_Toc215694803"/>
      <w:r w:rsidRPr="00BE0F69">
        <w:rPr>
          <w:rFonts w:ascii="Arial" w:eastAsia="Times New Roman" w:hAnsi="Arial" w:cs="Arial"/>
          <w:b/>
          <w:bCs/>
          <w:color w:val="auto"/>
          <w:sz w:val="28"/>
          <w:szCs w:val="28"/>
          <w:lang w:eastAsia="en-GB"/>
        </w:rPr>
        <w:t>Reference</w:t>
      </w:r>
      <w:r w:rsidR="00D66DE9" w:rsidRPr="00BE0F69">
        <w:rPr>
          <w:rFonts w:ascii="Arial" w:eastAsia="Times New Roman" w:hAnsi="Arial" w:cs="Arial"/>
          <w:b/>
          <w:bCs/>
          <w:color w:val="auto"/>
          <w:sz w:val="28"/>
          <w:szCs w:val="28"/>
          <w:lang w:eastAsia="en-GB"/>
        </w:rPr>
        <w:t>s</w:t>
      </w:r>
      <w:bookmarkEnd w:id="29"/>
    </w:p>
    <w:p w14:paraId="5CE17FD5" w14:textId="7A0D1B4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Age UK (2019)</w:t>
      </w:r>
      <w:r w:rsidRPr="004618DD">
        <w:rPr>
          <w:rFonts w:ascii="Arial" w:hAnsi="Arial" w:cs="Arial"/>
          <w:sz w:val="22"/>
          <w:szCs w:val="22"/>
        </w:rPr>
        <w:t xml:space="preserve"> </w:t>
      </w:r>
      <w:r w:rsidRPr="004618DD">
        <w:rPr>
          <w:rStyle w:val="Emphasis"/>
          <w:rFonts w:ascii="Arial" w:eastAsiaTheme="majorEastAsia" w:hAnsi="Arial" w:cs="Arial"/>
          <w:sz w:val="22"/>
          <w:szCs w:val="22"/>
        </w:rPr>
        <w:t>Reports and briefings | Age UK.</w:t>
      </w:r>
      <w:r w:rsidRPr="004618DD">
        <w:rPr>
          <w:rFonts w:ascii="Arial" w:hAnsi="Arial" w:cs="Arial"/>
          <w:sz w:val="22"/>
          <w:szCs w:val="22"/>
        </w:rPr>
        <w:t xml:space="preserve"> Available at: </w:t>
      </w:r>
      <w:hyperlink r:id="rId12" w:tgtFrame="_new" w:history="1">
        <w:r w:rsidRPr="004618DD">
          <w:rPr>
            <w:rStyle w:val="Hyperlink"/>
            <w:rFonts w:ascii="Arial" w:eastAsiaTheme="majorEastAsia" w:hAnsi="Arial" w:cs="Arial"/>
            <w:sz w:val="22"/>
            <w:szCs w:val="22"/>
          </w:rPr>
          <w:t>https://www.ageuk.org.uk/our-impact/policy-research/publications/reports-and-briefings/</w:t>
        </w:r>
      </w:hyperlink>
      <w:r w:rsidRPr="004618DD">
        <w:rPr>
          <w:rFonts w:ascii="Arial" w:hAnsi="Arial" w:cs="Arial"/>
          <w:sz w:val="22"/>
          <w:szCs w:val="22"/>
        </w:rPr>
        <w:t>.</w:t>
      </w:r>
      <w:r w:rsidR="00FA765A" w:rsidRPr="00FA765A">
        <w:rPr>
          <w:rFonts w:ascii="Arial" w:hAnsi="Arial" w:cs="Arial"/>
          <w:sz w:val="22"/>
          <w:szCs w:val="22"/>
        </w:rPr>
        <w:t>(Accessed: 2</w:t>
      </w:r>
      <w:r w:rsidR="00CD7194">
        <w:rPr>
          <w:rFonts w:ascii="Arial" w:hAnsi="Arial" w:cs="Arial"/>
          <w:sz w:val="22"/>
          <w:szCs w:val="22"/>
        </w:rPr>
        <w:t>1</w:t>
      </w:r>
      <w:r w:rsidR="00FA765A" w:rsidRPr="00FA765A">
        <w:rPr>
          <w:rFonts w:ascii="Arial" w:hAnsi="Arial" w:cs="Arial"/>
          <w:sz w:val="22"/>
          <w:szCs w:val="22"/>
        </w:rPr>
        <w:t xml:space="preserve"> November 2025).</w:t>
      </w:r>
    </w:p>
    <w:p w14:paraId="51F1F255" w14:textId="404C3FF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Alzheimer’s Research UK (2023)</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Statistics Hub.</w:t>
      </w:r>
      <w:r w:rsidRPr="004618DD">
        <w:rPr>
          <w:rFonts w:ascii="Arial" w:hAnsi="Arial" w:cs="Arial"/>
          <w:sz w:val="22"/>
          <w:szCs w:val="22"/>
        </w:rPr>
        <w:t xml:space="preserve"> Available at: </w:t>
      </w:r>
      <w:hyperlink r:id="rId13" w:tgtFrame="_new" w:history="1">
        <w:r w:rsidRPr="004618DD">
          <w:rPr>
            <w:rStyle w:val="Hyperlink"/>
            <w:rFonts w:ascii="Arial" w:eastAsiaTheme="majorEastAsia" w:hAnsi="Arial" w:cs="Arial"/>
            <w:sz w:val="22"/>
            <w:szCs w:val="22"/>
          </w:rPr>
          <w:t>https://dementiastatistics.org/</w:t>
        </w:r>
      </w:hyperlink>
      <w:r w:rsidRPr="004618DD">
        <w:rPr>
          <w:rFonts w:ascii="Arial" w:hAnsi="Arial" w:cs="Arial"/>
          <w:sz w:val="22"/>
          <w:szCs w:val="22"/>
        </w:rPr>
        <w:t>.</w:t>
      </w:r>
      <w:r w:rsidR="00FA765A" w:rsidRPr="00FA765A">
        <w:rPr>
          <w:rFonts w:ascii="Arial" w:hAnsi="Arial" w:cs="Arial"/>
          <w:sz w:val="22"/>
          <w:szCs w:val="22"/>
        </w:rPr>
        <w:t>(Accessed: 2</w:t>
      </w:r>
      <w:r w:rsidR="00CD7194">
        <w:rPr>
          <w:rFonts w:ascii="Arial" w:hAnsi="Arial" w:cs="Arial"/>
          <w:sz w:val="22"/>
          <w:szCs w:val="22"/>
        </w:rPr>
        <w:t>0</w:t>
      </w:r>
      <w:r w:rsidR="00FA765A" w:rsidRPr="00FA765A">
        <w:rPr>
          <w:rFonts w:ascii="Arial" w:hAnsi="Arial" w:cs="Arial"/>
          <w:sz w:val="22"/>
          <w:szCs w:val="22"/>
        </w:rPr>
        <w:t xml:space="preserve"> November 2025).</w:t>
      </w:r>
    </w:p>
    <w:p w14:paraId="49EA8C8E" w14:textId="333EED3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Alzheimer’s Society (2022)</w:t>
      </w:r>
      <w:r w:rsidR="00CB4C1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What is dementia?</w:t>
      </w:r>
      <w:r w:rsidRPr="004618DD">
        <w:rPr>
          <w:rFonts w:ascii="Arial" w:hAnsi="Arial" w:cs="Arial"/>
          <w:sz w:val="22"/>
          <w:szCs w:val="22"/>
        </w:rPr>
        <w:t xml:space="preserve"> Available at: </w:t>
      </w:r>
      <w:hyperlink r:id="rId14" w:tgtFrame="_new" w:history="1">
        <w:r w:rsidRPr="004618DD">
          <w:rPr>
            <w:rStyle w:val="Hyperlink"/>
            <w:rFonts w:ascii="Arial" w:eastAsiaTheme="majorEastAsia" w:hAnsi="Arial" w:cs="Arial"/>
            <w:sz w:val="22"/>
            <w:szCs w:val="22"/>
          </w:rPr>
          <w:t>https://www.alzheimers.org.uk/about-dementia/types-dementia/what-is-dementia</w:t>
        </w:r>
      </w:hyperlink>
      <w:r w:rsidRPr="004618DD">
        <w:rPr>
          <w:rFonts w:ascii="Arial" w:hAnsi="Arial" w:cs="Arial"/>
          <w:sz w:val="22"/>
          <w:szCs w:val="22"/>
        </w:rPr>
        <w:t>.</w:t>
      </w:r>
      <w:r w:rsidR="00FA765A" w:rsidRPr="00FA765A">
        <w:rPr>
          <w:rFonts w:ascii="Arial" w:hAnsi="Arial" w:cs="Arial"/>
          <w:sz w:val="22"/>
          <w:szCs w:val="22"/>
        </w:rPr>
        <w:t>(Accessed: 2</w:t>
      </w:r>
      <w:r w:rsidR="00CD7194">
        <w:rPr>
          <w:rFonts w:ascii="Arial" w:hAnsi="Arial" w:cs="Arial"/>
          <w:sz w:val="22"/>
          <w:szCs w:val="22"/>
        </w:rPr>
        <w:t>2</w:t>
      </w:r>
      <w:r w:rsidR="00FA765A" w:rsidRPr="00FA765A">
        <w:rPr>
          <w:rFonts w:ascii="Arial" w:hAnsi="Arial" w:cs="Arial"/>
          <w:sz w:val="22"/>
          <w:szCs w:val="22"/>
        </w:rPr>
        <w:t xml:space="preserve"> November 2025).</w:t>
      </w:r>
    </w:p>
    <w:p w14:paraId="461F1015" w14:textId="4BAE9DB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Alzheimer’s Society (2023)</w:t>
      </w:r>
      <w:r w:rsidRPr="004618DD">
        <w:rPr>
          <w:rFonts w:ascii="Arial" w:hAnsi="Arial" w:cs="Arial"/>
          <w:sz w:val="22"/>
          <w:szCs w:val="22"/>
        </w:rPr>
        <w:t xml:space="preserve"> </w:t>
      </w:r>
      <w:r w:rsidR="00CB4C1E">
        <w:rPr>
          <w:rStyle w:val="Emphasis"/>
          <w:rFonts w:ascii="Arial" w:eastAsiaTheme="majorEastAsia" w:hAnsi="Arial" w:cs="Arial"/>
          <w:sz w:val="22"/>
          <w:szCs w:val="22"/>
        </w:rPr>
        <w:t>Trustees'</w:t>
      </w:r>
      <w:r w:rsidRPr="004618DD">
        <w:rPr>
          <w:rStyle w:val="Emphasis"/>
          <w:rFonts w:ascii="Arial" w:eastAsiaTheme="majorEastAsia" w:hAnsi="Arial" w:cs="Arial"/>
          <w:sz w:val="22"/>
          <w:szCs w:val="22"/>
        </w:rPr>
        <w:t xml:space="preserve"> annual report 2023 – Adjusting to living with dementia.</w:t>
      </w:r>
      <w:r w:rsidRPr="004618DD">
        <w:rPr>
          <w:rFonts w:ascii="Arial" w:hAnsi="Arial" w:cs="Arial"/>
          <w:sz w:val="22"/>
          <w:szCs w:val="22"/>
        </w:rPr>
        <w:t xml:space="preserve"> Available at:</w:t>
      </w:r>
      <w:r w:rsidRPr="004618DD">
        <w:rPr>
          <w:rFonts w:ascii="Arial" w:hAnsi="Arial" w:cs="Arial"/>
          <w:sz w:val="22"/>
          <w:szCs w:val="22"/>
        </w:rPr>
        <w:br/>
      </w:r>
      <w:hyperlink r:id="rId15" w:tgtFrame="_new" w:history="1">
        <w:r w:rsidRPr="004618DD">
          <w:rPr>
            <w:rStyle w:val="Hyperlink"/>
            <w:rFonts w:ascii="Arial" w:eastAsiaTheme="majorEastAsia" w:hAnsi="Arial" w:cs="Arial"/>
            <w:sz w:val="22"/>
            <w:szCs w:val="22"/>
          </w:rPr>
          <w:t>https://www.alzheimers.org.uk/about-us/strategy-and-annual-reports/annual-reports/trustees-annual-report-2023-living-with-dementia</w:t>
        </w:r>
      </w:hyperlink>
      <w:r w:rsidRPr="004618DD">
        <w:rPr>
          <w:rFonts w:ascii="Arial" w:hAnsi="Arial" w:cs="Arial"/>
          <w:sz w:val="22"/>
          <w:szCs w:val="22"/>
        </w:rPr>
        <w:t>.</w:t>
      </w:r>
      <w:r w:rsidR="00FA765A" w:rsidRPr="00FA765A">
        <w:rPr>
          <w:rFonts w:ascii="Arial" w:hAnsi="Arial" w:cs="Arial"/>
          <w:sz w:val="22"/>
          <w:szCs w:val="22"/>
        </w:rPr>
        <w:t xml:space="preserve">(Accessed: </w:t>
      </w:r>
      <w:r w:rsidR="00CD7194">
        <w:rPr>
          <w:rFonts w:ascii="Arial" w:hAnsi="Arial" w:cs="Arial"/>
          <w:sz w:val="22"/>
          <w:szCs w:val="22"/>
        </w:rPr>
        <w:t>16</w:t>
      </w:r>
      <w:r w:rsidR="00FA765A" w:rsidRPr="00FA765A">
        <w:rPr>
          <w:rFonts w:ascii="Arial" w:hAnsi="Arial" w:cs="Arial"/>
          <w:sz w:val="22"/>
          <w:szCs w:val="22"/>
        </w:rPr>
        <w:t xml:space="preserve"> November 2025).</w:t>
      </w:r>
    </w:p>
    <w:p w14:paraId="30B8D012" w14:textId="61DD0D2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Bennett, N.C., Norman, P., Albani, V., Kingston, A. &amp; Bambra, C. (2024)</w:t>
      </w:r>
      <w:r w:rsidRPr="004618DD">
        <w:rPr>
          <w:rFonts w:ascii="Arial" w:hAnsi="Arial" w:cs="Arial"/>
          <w:sz w:val="22"/>
          <w:szCs w:val="22"/>
        </w:rPr>
        <w:t xml:space="preserve"> ‘The impact of the English national health inequalities strategy on inequalities in mortality at age 65: a time-trend analysis’, </w:t>
      </w:r>
      <w:r w:rsidRPr="004618DD">
        <w:rPr>
          <w:rStyle w:val="Emphasis"/>
          <w:rFonts w:ascii="Arial" w:eastAsiaTheme="majorEastAsia" w:hAnsi="Arial" w:cs="Arial"/>
          <w:sz w:val="22"/>
          <w:szCs w:val="22"/>
        </w:rPr>
        <w:t>European Journal of Public Health</w:t>
      </w:r>
      <w:r w:rsidRPr="004618DD">
        <w:rPr>
          <w:rFonts w:ascii="Arial" w:hAnsi="Arial" w:cs="Arial"/>
          <w:sz w:val="22"/>
          <w:szCs w:val="22"/>
        </w:rPr>
        <w:t xml:space="preserve">. Available at: </w:t>
      </w:r>
      <w:hyperlink r:id="rId16" w:tgtFrame="_new" w:history="1">
        <w:r w:rsidRPr="004618DD">
          <w:rPr>
            <w:rStyle w:val="Hyperlink"/>
            <w:rFonts w:ascii="Arial" w:eastAsiaTheme="majorEastAsia" w:hAnsi="Arial" w:cs="Arial"/>
            <w:sz w:val="22"/>
            <w:szCs w:val="22"/>
          </w:rPr>
          <w:t>https://doi.org/10.1093/eurpub/ckae081</w:t>
        </w:r>
      </w:hyperlink>
      <w:r w:rsidRPr="004618DD">
        <w:rPr>
          <w:rFonts w:ascii="Arial" w:hAnsi="Arial" w:cs="Arial"/>
          <w:sz w:val="22"/>
          <w:szCs w:val="22"/>
        </w:rPr>
        <w:t>.</w:t>
      </w:r>
      <w:r w:rsidR="00FA765A" w:rsidRPr="00FA765A">
        <w:rPr>
          <w:rFonts w:ascii="Arial" w:hAnsi="Arial" w:cs="Arial"/>
          <w:sz w:val="22"/>
          <w:szCs w:val="22"/>
        </w:rPr>
        <w:t xml:space="preserve">(Accessed: </w:t>
      </w:r>
      <w:r w:rsidR="00CD7194">
        <w:rPr>
          <w:rFonts w:ascii="Arial" w:hAnsi="Arial" w:cs="Arial"/>
          <w:sz w:val="22"/>
          <w:szCs w:val="22"/>
        </w:rPr>
        <w:t>12</w:t>
      </w:r>
      <w:r w:rsidR="00FA765A" w:rsidRPr="00FA765A">
        <w:rPr>
          <w:rFonts w:ascii="Arial" w:hAnsi="Arial" w:cs="Arial"/>
          <w:sz w:val="22"/>
          <w:szCs w:val="22"/>
        </w:rPr>
        <w:t xml:space="preserve"> November 2025).</w:t>
      </w:r>
    </w:p>
    <w:p w14:paraId="3D12FF3B" w14:textId="67FE9DB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Bennett, N.C., Norman, P., Albani, V., Kingston, A. &amp; Bambra, C. (2024)</w:t>
      </w:r>
      <w:r w:rsidRPr="004618DD">
        <w:rPr>
          <w:rFonts w:ascii="Arial" w:hAnsi="Arial" w:cs="Arial"/>
          <w:sz w:val="22"/>
          <w:szCs w:val="22"/>
        </w:rPr>
        <w:t xml:space="preserve"> ‘The impact of the English national health inequalities strategy on inequalities in mortality at age 65’, </w:t>
      </w:r>
      <w:r w:rsidRPr="004618DD">
        <w:rPr>
          <w:rStyle w:val="Emphasis"/>
          <w:rFonts w:ascii="Arial" w:eastAsiaTheme="majorEastAsia" w:hAnsi="Arial" w:cs="Arial"/>
          <w:sz w:val="22"/>
          <w:szCs w:val="22"/>
        </w:rPr>
        <w:t>European Journal of Public Health</w:t>
      </w:r>
      <w:r w:rsidRPr="004618DD">
        <w:rPr>
          <w:rFonts w:ascii="Arial" w:hAnsi="Arial" w:cs="Arial"/>
          <w:sz w:val="22"/>
          <w:szCs w:val="22"/>
        </w:rPr>
        <w:t>, 34(4), pp. 660–665.</w:t>
      </w:r>
      <w:r w:rsidR="00CD7194">
        <w:rPr>
          <w:rFonts w:ascii="Arial" w:hAnsi="Arial" w:cs="Arial"/>
          <w:sz w:val="22"/>
          <w:szCs w:val="22"/>
        </w:rPr>
        <w:t xml:space="preserve"> </w:t>
      </w:r>
      <w:r w:rsidR="00FA765A" w:rsidRPr="00FA765A">
        <w:rPr>
          <w:rFonts w:ascii="Arial" w:hAnsi="Arial" w:cs="Arial"/>
          <w:sz w:val="22"/>
          <w:szCs w:val="22"/>
        </w:rPr>
        <w:t xml:space="preserve">(Accessed: </w:t>
      </w:r>
      <w:r w:rsidR="00CD7194">
        <w:rPr>
          <w:rFonts w:ascii="Arial" w:hAnsi="Arial" w:cs="Arial"/>
          <w:sz w:val="22"/>
          <w:szCs w:val="22"/>
        </w:rPr>
        <w:t>13</w:t>
      </w:r>
      <w:r w:rsidR="00FA765A" w:rsidRPr="00FA765A">
        <w:rPr>
          <w:rFonts w:ascii="Arial" w:hAnsi="Arial" w:cs="Arial"/>
          <w:sz w:val="22"/>
          <w:szCs w:val="22"/>
        </w:rPr>
        <w:t xml:space="preserve"> November 2025).</w:t>
      </w:r>
    </w:p>
    <w:p w14:paraId="1CD65938" w14:textId="77FB475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British Heart Foundation (2023)</w:t>
      </w:r>
      <w:r w:rsidRPr="004618DD">
        <w:rPr>
          <w:rFonts w:ascii="Arial" w:hAnsi="Arial" w:cs="Arial"/>
          <w:sz w:val="22"/>
          <w:szCs w:val="22"/>
        </w:rPr>
        <w:t xml:space="preserve"> </w:t>
      </w:r>
      <w:r w:rsidRPr="004618DD">
        <w:rPr>
          <w:rStyle w:val="Emphasis"/>
          <w:rFonts w:ascii="Arial" w:eastAsiaTheme="majorEastAsia" w:hAnsi="Arial" w:cs="Arial"/>
          <w:sz w:val="22"/>
          <w:szCs w:val="22"/>
        </w:rPr>
        <w:t>Heart &amp; Circulatory Disease Statistics 2023.</w:t>
      </w:r>
      <w:r w:rsidRPr="004618DD">
        <w:rPr>
          <w:rFonts w:ascii="Arial" w:hAnsi="Arial" w:cs="Arial"/>
          <w:sz w:val="22"/>
          <w:szCs w:val="22"/>
        </w:rPr>
        <w:t xml:space="preserve"> Available at:</w:t>
      </w:r>
      <w:r w:rsidRPr="004618DD">
        <w:rPr>
          <w:rFonts w:ascii="Arial" w:hAnsi="Arial" w:cs="Arial"/>
          <w:sz w:val="22"/>
          <w:szCs w:val="22"/>
        </w:rPr>
        <w:br/>
      </w:r>
      <w:hyperlink r:id="rId17" w:tgtFrame="_new" w:history="1">
        <w:r w:rsidRPr="004618DD">
          <w:rPr>
            <w:rStyle w:val="Hyperlink"/>
            <w:rFonts w:ascii="Arial" w:eastAsiaTheme="majorEastAsia" w:hAnsi="Arial" w:cs="Arial"/>
            <w:sz w:val="22"/>
            <w:szCs w:val="22"/>
          </w:rPr>
          <w:t>https://www.bhf.org.uk/what-we-do/our-research/heart-statistics/heart-statistics-publications/cardiovascular-disease-statistics-2023</w:t>
        </w:r>
      </w:hyperlink>
      <w:r w:rsidRPr="004618DD">
        <w:rPr>
          <w:rFonts w:ascii="Arial" w:hAnsi="Arial" w:cs="Arial"/>
          <w:sz w:val="22"/>
          <w:szCs w:val="22"/>
        </w:rPr>
        <w:t>.</w:t>
      </w:r>
      <w:r w:rsidR="00FA765A" w:rsidRPr="00FA765A">
        <w:rPr>
          <w:rFonts w:ascii="Arial" w:hAnsi="Arial" w:cs="Arial"/>
          <w:sz w:val="22"/>
          <w:szCs w:val="22"/>
        </w:rPr>
        <w:t xml:space="preserve">(Accessed: </w:t>
      </w:r>
      <w:r w:rsidR="00CD7194">
        <w:rPr>
          <w:rFonts w:ascii="Arial" w:hAnsi="Arial" w:cs="Arial"/>
          <w:sz w:val="22"/>
          <w:szCs w:val="22"/>
        </w:rPr>
        <w:t>17</w:t>
      </w:r>
      <w:r w:rsidR="00FA765A" w:rsidRPr="00FA765A">
        <w:rPr>
          <w:rFonts w:ascii="Arial" w:hAnsi="Arial" w:cs="Arial"/>
          <w:sz w:val="22"/>
          <w:szCs w:val="22"/>
        </w:rPr>
        <w:t xml:space="preserve"> November 2025).</w:t>
      </w:r>
    </w:p>
    <w:p w14:paraId="66298A90" w14:textId="066A328D"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Centre for Ageing Better (2024)</w:t>
      </w:r>
      <w:r w:rsidR="00CB4C1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Our Ageing Population: The State of Ageing 2023–24.</w:t>
      </w:r>
      <w:r w:rsidRPr="004618DD">
        <w:rPr>
          <w:rFonts w:ascii="Arial" w:hAnsi="Arial" w:cs="Arial"/>
          <w:sz w:val="22"/>
          <w:szCs w:val="22"/>
        </w:rPr>
        <w:t xml:space="preserve"> Available at: </w:t>
      </w:r>
      <w:hyperlink r:id="rId18" w:history="1">
        <w:r w:rsidR="00B6195F" w:rsidRPr="00C56652">
          <w:rPr>
            <w:rStyle w:val="Hyperlink"/>
            <w:rFonts w:ascii="Arial" w:eastAsiaTheme="majorEastAsia" w:hAnsi="Arial" w:cs="Arial"/>
            <w:sz w:val="22"/>
            <w:szCs w:val="22"/>
          </w:rPr>
          <w:t>https://ageing-better.org.uk/our-ageing-population-state-ageing20234</w:t>
        </w:r>
      </w:hyperlink>
      <w:r w:rsidRPr="004618DD">
        <w:rPr>
          <w:rFonts w:ascii="Arial" w:hAnsi="Arial" w:cs="Arial"/>
          <w:sz w:val="22"/>
          <w:szCs w:val="22"/>
        </w:rPr>
        <w:t>.</w:t>
      </w:r>
      <w:r w:rsidR="00FA765A" w:rsidRPr="00FA765A">
        <w:rPr>
          <w:rFonts w:ascii="Arial" w:hAnsi="Arial" w:cs="Arial"/>
          <w:sz w:val="22"/>
          <w:szCs w:val="22"/>
        </w:rPr>
        <w:t>(Accessed: 2</w:t>
      </w:r>
      <w:r w:rsidR="000A5B95">
        <w:rPr>
          <w:rFonts w:ascii="Arial" w:hAnsi="Arial" w:cs="Arial"/>
          <w:sz w:val="22"/>
          <w:szCs w:val="22"/>
        </w:rPr>
        <w:t>3</w:t>
      </w:r>
      <w:r w:rsidR="00FA765A" w:rsidRPr="00FA765A">
        <w:rPr>
          <w:rFonts w:ascii="Arial" w:hAnsi="Arial" w:cs="Arial"/>
          <w:sz w:val="22"/>
          <w:szCs w:val="22"/>
        </w:rPr>
        <w:t xml:space="preserve"> November 2025).</w:t>
      </w:r>
    </w:p>
    <w:p w14:paraId="62B5B29E" w14:textId="1CDF25E3"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Chan, M.S., van den Hout, A., Pujades-Rodriguez, M., Jones, M.M., Matthews, F.E., Jagger, C., Raine, R. &amp; Bajekal, M. (2019)</w:t>
      </w:r>
      <w:r w:rsidRPr="004618DD">
        <w:rPr>
          <w:rFonts w:ascii="Arial" w:hAnsi="Arial" w:cs="Arial"/>
          <w:sz w:val="22"/>
          <w:szCs w:val="22"/>
        </w:rPr>
        <w:t xml:space="preserve"> ‘Socio-economic inequalities in life expectancy of older adults with and without multimorbidity’, </w:t>
      </w:r>
      <w:r w:rsidRPr="004618DD">
        <w:rPr>
          <w:rStyle w:val="Emphasis"/>
          <w:rFonts w:ascii="Arial" w:eastAsiaTheme="majorEastAsia" w:hAnsi="Arial" w:cs="Arial"/>
          <w:sz w:val="22"/>
          <w:szCs w:val="22"/>
        </w:rPr>
        <w:t>International Journal of Epidemiology</w:t>
      </w:r>
      <w:r w:rsidRPr="004618DD">
        <w:rPr>
          <w:rFonts w:ascii="Arial" w:hAnsi="Arial" w:cs="Arial"/>
          <w:sz w:val="22"/>
          <w:szCs w:val="22"/>
        </w:rPr>
        <w:t xml:space="preserve">, 48(4), pp. </w:t>
      </w:r>
      <w:r w:rsidRPr="004618DD">
        <w:rPr>
          <w:rFonts w:ascii="Arial" w:hAnsi="Arial" w:cs="Arial"/>
          <w:sz w:val="22"/>
          <w:szCs w:val="22"/>
        </w:rPr>
        <w:lastRenderedPageBreak/>
        <w:t>1340–1351.</w:t>
      </w:r>
      <w:r w:rsidRPr="004618DD">
        <w:rPr>
          <w:rFonts w:ascii="Arial" w:hAnsi="Arial" w:cs="Arial"/>
          <w:sz w:val="22"/>
          <w:szCs w:val="22"/>
        </w:rPr>
        <w:br/>
      </w:r>
      <w:hyperlink r:id="rId19" w:tgtFrame="_new" w:history="1">
        <w:r w:rsidRPr="004618DD">
          <w:rPr>
            <w:rStyle w:val="Hyperlink"/>
            <w:rFonts w:ascii="Arial" w:eastAsiaTheme="majorEastAsia" w:hAnsi="Arial" w:cs="Arial"/>
            <w:sz w:val="22"/>
            <w:szCs w:val="22"/>
          </w:rPr>
          <w:t>https://doi.org/10.1093/ije/dyz052</w:t>
        </w:r>
      </w:hyperlink>
      <w:r w:rsidRPr="004618DD">
        <w:rPr>
          <w:rFonts w:ascii="Arial" w:hAnsi="Arial" w:cs="Arial"/>
          <w:sz w:val="22"/>
          <w:szCs w:val="22"/>
        </w:rPr>
        <w:t>.</w:t>
      </w:r>
      <w:r w:rsidR="00FA765A" w:rsidRPr="00FA765A">
        <w:rPr>
          <w:rFonts w:ascii="Arial" w:hAnsi="Arial" w:cs="Arial"/>
          <w:sz w:val="22"/>
          <w:szCs w:val="22"/>
        </w:rPr>
        <w:t xml:space="preserve">(Accessed: </w:t>
      </w:r>
      <w:r w:rsidR="000A5B95">
        <w:rPr>
          <w:rFonts w:ascii="Arial" w:hAnsi="Arial" w:cs="Arial"/>
          <w:sz w:val="22"/>
          <w:szCs w:val="22"/>
        </w:rPr>
        <w:t>11</w:t>
      </w:r>
      <w:r w:rsidR="00FA765A" w:rsidRPr="00FA765A">
        <w:rPr>
          <w:rFonts w:ascii="Arial" w:hAnsi="Arial" w:cs="Arial"/>
          <w:sz w:val="22"/>
          <w:szCs w:val="22"/>
        </w:rPr>
        <w:t xml:space="preserve"> November 2025).</w:t>
      </w:r>
    </w:p>
    <w:p w14:paraId="6F923E59" w14:textId="63C5C28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Department for Work and Pensions (2023)</w:t>
      </w:r>
      <w:r w:rsidRPr="004618DD">
        <w:rPr>
          <w:rFonts w:ascii="Arial" w:hAnsi="Arial" w:cs="Arial"/>
          <w:sz w:val="22"/>
          <w:szCs w:val="22"/>
        </w:rPr>
        <w:t xml:space="preserve"> </w:t>
      </w:r>
      <w:r w:rsidRPr="004618DD">
        <w:rPr>
          <w:rStyle w:val="Emphasis"/>
          <w:rFonts w:ascii="Arial" w:eastAsiaTheme="majorEastAsia" w:hAnsi="Arial" w:cs="Arial"/>
          <w:sz w:val="22"/>
          <w:szCs w:val="22"/>
        </w:rPr>
        <w:t>Households Below Average Income (HBAI) statistics.</w:t>
      </w:r>
      <w:r w:rsidRPr="004618DD">
        <w:rPr>
          <w:rFonts w:ascii="Arial" w:hAnsi="Arial" w:cs="Arial"/>
          <w:sz w:val="22"/>
          <w:szCs w:val="22"/>
        </w:rPr>
        <w:t xml:space="preserve"> Available at: </w:t>
      </w:r>
      <w:hyperlink r:id="rId20" w:tgtFrame="_new" w:history="1">
        <w:r w:rsidRPr="004618DD">
          <w:rPr>
            <w:rStyle w:val="Hyperlink"/>
            <w:rFonts w:ascii="Arial" w:eastAsiaTheme="majorEastAsia" w:hAnsi="Arial" w:cs="Arial"/>
            <w:sz w:val="22"/>
            <w:szCs w:val="22"/>
          </w:rPr>
          <w:t>https://www.gov.uk/government/collections/households-below-average-income-hbai--2</w:t>
        </w:r>
      </w:hyperlink>
      <w:r w:rsidRPr="004618DD">
        <w:rPr>
          <w:rFonts w:ascii="Arial" w:hAnsi="Arial" w:cs="Arial"/>
          <w:sz w:val="22"/>
          <w:szCs w:val="22"/>
        </w:rPr>
        <w:t>.</w:t>
      </w:r>
      <w:r w:rsidR="00FA765A" w:rsidRPr="00FA765A">
        <w:rPr>
          <w:rFonts w:ascii="Arial" w:hAnsi="Arial" w:cs="Arial"/>
          <w:sz w:val="22"/>
          <w:szCs w:val="22"/>
        </w:rPr>
        <w:t xml:space="preserve">(Accessed: </w:t>
      </w:r>
      <w:r w:rsidR="000A5B95">
        <w:rPr>
          <w:rFonts w:ascii="Arial" w:hAnsi="Arial" w:cs="Arial"/>
          <w:sz w:val="22"/>
          <w:szCs w:val="22"/>
        </w:rPr>
        <w:t>17</w:t>
      </w:r>
      <w:r w:rsidR="00FA765A" w:rsidRPr="00FA765A">
        <w:rPr>
          <w:rFonts w:ascii="Arial" w:hAnsi="Arial" w:cs="Arial"/>
          <w:sz w:val="22"/>
          <w:szCs w:val="22"/>
        </w:rPr>
        <w:t xml:space="preserve"> November 2025).</w:t>
      </w:r>
    </w:p>
    <w:p w14:paraId="586ECC33" w14:textId="69A9197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 xml:space="preserve">Elburg, </w:t>
      </w:r>
      <w:r w:rsidR="00CB4C1E">
        <w:rPr>
          <w:rStyle w:val="Strong"/>
          <w:rFonts w:ascii="Arial" w:eastAsiaTheme="majorEastAsia" w:hAnsi="Arial" w:cs="Arial"/>
          <w:b w:val="0"/>
          <w:bCs w:val="0"/>
          <w:sz w:val="22"/>
          <w:szCs w:val="22"/>
        </w:rPr>
        <w:t>V.B.</w:t>
      </w:r>
      <w:r w:rsidRPr="004618DD">
        <w:rPr>
          <w:rStyle w:val="Strong"/>
          <w:rFonts w:ascii="Arial" w:eastAsiaTheme="majorEastAsia" w:hAnsi="Arial" w:cs="Arial"/>
          <w:b w:val="0"/>
          <w:bCs w:val="0"/>
          <w:sz w:val="22"/>
          <w:szCs w:val="22"/>
        </w:rPr>
        <w:t>, Keating, P., Wasara, N., Rodriguez, E., Escobio, F., Pellecchia, U., van de Kamp, J., Dada, M., Franco, O., Fredj, N., Barathi, G.K., Agirdo, D.A., Staunton, M., Browne, J.L., Caleo, G. &amp; Sleit, R. (2025)</w:t>
      </w:r>
      <w:r w:rsidRPr="004618DD">
        <w:rPr>
          <w:rFonts w:ascii="Arial" w:hAnsi="Arial" w:cs="Arial"/>
          <w:sz w:val="22"/>
          <w:szCs w:val="22"/>
        </w:rPr>
        <w:t xml:space="preserve"> ‘Mental health of older adults in humanitarian settings’, </w:t>
      </w:r>
      <w:r w:rsidRPr="004618DD">
        <w:rPr>
          <w:rStyle w:val="Emphasis"/>
          <w:rFonts w:ascii="Arial" w:eastAsiaTheme="majorEastAsia" w:hAnsi="Arial" w:cs="Arial"/>
          <w:sz w:val="22"/>
          <w:szCs w:val="22"/>
        </w:rPr>
        <w:t>BMJ Global Health</w:t>
      </w:r>
      <w:r w:rsidRPr="004618DD">
        <w:rPr>
          <w:rFonts w:ascii="Arial" w:hAnsi="Arial" w:cs="Arial"/>
          <w:sz w:val="22"/>
          <w:szCs w:val="22"/>
        </w:rPr>
        <w:t>, 10(7).</w:t>
      </w:r>
      <w:r w:rsidR="000A5B95">
        <w:rPr>
          <w:rFonts w:ascii="Arial" w:hAnsi="Arial" w:cs="Arial"/>
          <w:sz w:val="22"/>
          <w:szCs w:val="22"/>
        </w:rPr>
        <w:t xml:space="preserve"> </w:t>
      </w:r>
      <w:r w:rsidR="00FA765A" w:rsidRPr="00FA765A">
        <w:rPr>
          <w:rFonts w:ascii="Arial" w:hAnsi="Arial" w:cs="Arial"/>
          <w:sz w:val="22"/>
          <w:szCs w:val="22"/>
        </w:rPr>
        <w:t>(Accessed: 2</w:t>
      </w:r>
      <w:r w:rsidR="000A5B95">
        <w:rPr>
          <w:rFonts w:ascii="Arial" w:hAnsi="Arial" w:cs="Arial"/>
          <w:sz w:val="22"/>
          <w:szCs w:val="22"/>
        </w:rPr>
        <w:t>1</w:t>
      </w:r>
      <w:r w:rsidR="00FA765A" w:rsidRPr="00FA765A">
        <w:rPr>
          <w:rFonts w:ascii="Arial" w:hAnsi="Arial" w:cs="Arial"/>
          <w:sz w:val="22"/>
          <w:szCs w:val="22"/>
        </w:rPr>
        <w:t xml:space="preserve"> November 2025).</w:t>
      </w:r>
    </w:p>
    <w:p w14:paraId="2D9CA1B6" w14:textId="4AD3A82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Evandrou, M., Falkingham, J., Feng, Z. &amp; Vlachantoni, A. (2016)</w:t>
      </w:r>
      <w:r w:rsidRPr="004618DD">
        <w:rPr>
          <w:rFonts w:ascii="Arial" w:hAnsi="Arial" w:cs="Arial"/>
          <w:sz w:val="22"/>
          <w:szCs w:val="22"/>
        </w:rPr>
        <w:t xml:space="preserve"> ‘Ethnic inequalities in limiting health in later life’, </w:t>
      </w:r>
      <w:r w:rsidRPr="004618DD">
        <w:rPr>
          <w:rStyle w:val="Emphasis"/>
          <w:rFonts w:ascii="Arial" w:eastAsiaTheme="majorEastAsia" w:hAnsi="Arial" w:cs="Arial"/>
          <w:sz w:val="22"/>
          <w:szCs w:val="22"/>
        </w:rPr>
        <w:t>Journal of Epidemiology &amp; Community Health</w:t>
      </w:r>
      <w:r w:rsidRPr="004618DD">
        <w:rPr>
          <w:rFonts w:ascii="Arial" w:hAnsi="Arial" w:cs="Arial"/>
          <w:sz w:val="22"/>
          <w:szCs w:val="22"/>
        </w:rPr>
        <w:t>, 70(7), pp. 653–662.</w:t>
      </w:r>
      <w:r w:rsidR="00337BCC">
        <w:rPr>
          <w:rFonts w:ascii="Arial" w:hAnsi="Arial" w:cs="Arial"/>
          <w:sz w:val="22"/>
          <w:szCs w:val="22"/>
        </w:rPr>
        <w:t xml:space="preserve"> </w:t>
      </w:r>
      <w:r w:rsidR="00FA765A">
        <w:rPr>
          <w:rFonts w:ascii="Arial" w:hAnsi="Arial" w:cs="Arial"/>
          <w:sz w:val="22"/>
          <w:szCs w:val="22"/>
        </w:rPr>
        <w:t xml:space="preserve">Available at: </w:t>
      </w:r>
      <w:hyperlink r:id="rId21" w:history="1">
        <w:r w:rsidR="00FA765A" w:rsidRPr="00543BB0">
          <w:rPr>
            <w:rStyle w:val="Hyperlink"/>
            <w:rFonts w:ascii="Arial" w:eastAsiaTheme="majorEastAsia" w:hAnsi="Arial" w:cs="Arial"/>
            <w:sz w:val="22"/>
            <w:szCs w:val="22"/>
          </w:rPr>
          <w:t>https://doi.org/10.1136/jech-2015-206074</w:t>
        </w:r>
      </w:hyperlink>
      <w:r w:rsidRPr="004618DD">
        <w:rPr>
          <w:rFonts w:ascii="Arial" w:hAnsi="Arial" w:cs="Arial"/>
          <w:sz w:val="22"/>
          <w:szCs w:val="22"/>
        </w:rPr>
        <w:t>.</w:t>
      </w:r>
      <w:r w:rsidR="00337BCC" w:rsidRPr="00337BCC">
        <w:rPr>
          <w:rFonts w:ascii="Arial" w:hAnsi="Arial" w:cs="Arial"/>
          <w:sz w:val="22"/>
          <w:szCs w:val="22"/>
        </w:rPr>
        <w:t xml:space="preserve">(Accessed: </w:t>
      </w:r>
      <w:r w:rsidR="000A5B95">
        <w:rPr>
          <w:rFonts w:ascii="Arial" w:hAnsi="Arial" w:cs="Arial"/>
          <w:sz w:val="22"/>
          <w:szCs w:val="22"/>
        </w:rPr>
        <w:t>19</w:t>
      </w:r>
      <w:r w:rsidR="00337BCC" w:rsidRPr="00337BCC">
        <w:rPr>
          <w:rFonts w:ascii="Arial" w:hAnsi="Arial" w:cs="Arial"/>
          <w:sz w:val="22"/>
          <w:szCs w:val="22"/>
        </w:rPr>
        <w:t xml:space="preserve"> November 2025).</w:t>
      </w:r>
    </w:p>
    <w:p w14:paraId="6CF48D25" w14:textId="43052153"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Gov.uk (2022)</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Applying All Our Health.</w:t>
      </w:r>
      <w:r w:rsidRPr="004618DD">
        <w:rPr>
          <w:rFonts w:ascii="Arial" w:hAnsi="Arial" w:cs="Arial"/>
          <w:sz w:val="22"/>
          <w:szCs w:val="22"/>
        </w:rPr>
        <w:t xml:space="preserve"> Available at: </w:t>
      </w:r>
      <w:hyperlink r:id="rId22" w:tgtFrame="_new" w:history="1">
        <w:r w:rsidRPr="004618DD">
          <w:rPr>
            <w:rStyle w:val="Hyperlink"/>
            <w:rFonts w:ascii="Arial" w:eastAsiaTheme="majorEastAsia" w:hAnsi="Arial" w:cs="Arial"/>
            <w:sz w:val="22"/>
            <w:szCs w:val="22"/>
          </w:rPr>
          <w:t>https://www.gov.uk/government/publications/dementia-applying-all-our-health/dementia-applying-all-our-health</w:t>
        </w:r>
      </w:hyperlink>
      <w:r w:rsidRPr="004618DD">
        <w:rPr>
          <w:rFonts w:ascii="Arial" w:hAnsi="Arial" w:cs="Arial"/>
          <w:sz w:val="22"/>
          <w:szCs w:val="22"/>
        </w:rPr>
        <w:t>.</w:t>
      </w:r>
      <w:r w:rsidR="00337BCC" w:rsidRPr="00337BCC">
        <w:rPr>
          <w:rFonts w:ascii="Arial" w:hAnsi="Arial" w:cs="Arial"/>
          <w:sz w:val="22"/>
          <w:szCs w:val="22"/>
        </w:rPr>
        <w:t>(Accessed: 2</w:t>
      </w:r>
      <w:r w:rsidR="000A5B95">
        <w:rPr>
          <w:rFonts w:ascii="Arial" w:hAnsi="Arial" w:cs="Arial"/>
          <w:sz w:val="22"/>
          <w:szCs w:val="22"/>
        </w:rPr>
        <w:t>0</w:t>
      </w:r>
      <w:r w:rsidR="00337BCC" w:rsidRPr="00337BCC">
        <w:rPr>
          <w:rFonts w:ascii="Arial" w:hAnsi="Arial" w:cs="Arial"/>
          <w:sz w:val="22"/>
          <w:szCs w:val="22"/>
        </w:rPr>
        <w:t xml:space="preserve"> November 2025).</w:t>
      </w:r>
    </w:p>
    <w:p w14:paraId="7CD7AFF6" w14:textId="5955A9E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Health (2024)</w:t>
      </w:r>
      <w:r w:rsidR="00CB4C1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The adult social care outcomes framework: handbook of definitions.</w:t>
      </w:r>
      <w:r w:rsidRPr="004618DD">
        <w:rPr>
          <w:rFonts w:ascii="Arial" w:hAnsi="Arial" w:cs="Arial"/>
          <w:sz w:val="22"/>
          <w:szCs w:val="22"/>
        </w:rPr>
        <w:t xml:space="preserve"> Available at: </w:t>
      </w:r>
      <w:hyperlink r:id="rId23" w:tgtFrame="_new" w:history="1">
        <w:r w:rsidRPr="004618DD">
          <w:rPr>
            <w:rStyle w:val="Hyperlink"/>
            <w:rFonts w:ascii="Arial" w:eastAsiaTheme="majorEastAsia" w:hAnsi="Arial" w:cs="Arial"/>
            <w:sz w:val="22"/>
            <w:szCs w:val="22"/>
          </w:rPr>
          <w:t>https://www.gov.uk/government/publications/adult-social-care-outcomes-framework-handbook-of-definitions/the-adult-social-care-outcomes-framework-handbook-of-definitions</w:t>
        </w:r>
      </w:hyperlink>
      <w:r w:rsidRPr="004618DD">
        <w:rPr>
          <w:rFonts w:ascii="Arial" w:hAnsi="Arial" w:cs="Arial"/>
          <w:sz w:val="22"/>
          <w:szCs w:val="22"/>
        </w:rPr>
        <w:t>.</w:t>
      </w:r>
      <w:r w:rsidR="00337BCC" w:rsidRPr="00337BCC">
        <w:rPr>
          <w:rFonts w:ascii="Arial" w:hAnsi="Arial" w:cs="Arial"/>
          <w:sz w:val="22"/>
          <w:szCs w:val="22"/>
        </w:rPr>
        <w:t>(Accessed: 2</w:t>
      </w:r>
      <w:r w:rsidR="003B4DA4">
        <w:rPr>
          <w:rFonts w:ascii="Arial" w:hAnsi="Arial" w:cs="Arial"/>
          <w:sz w:val="22"/>
          <w:szCs w:val="22"/>
        </w:rPr>
        <w:t>3</w:t>
      </w:r>
      <w:r w:rsidR="00337BCC" w:rsidRPr="00337BCC">
        <w:rPr>
          <w:rFonts w:ascii="Arial" w:hAnsi="Arial" w:cs="Arial"/>
          <w:sz w:val="22"/>
          <w:szCs w:val="22"/>
        </w:rPr>
        <w:t xml:space="preserve"> November 2025).</w:t>
      </w:r>
    </w:p>
    <w:p w14:paraId="79866361" w14:textId="133BDC3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Hermans, L., Duveau, C., Demarest, S., Gisle, L. &amp; Charafeddine, R. (2025)</w:t>
      </w:r>
      <w:r w:rsidRPr="004618DD">
        <w:rPr>
          <w:rFonts w:ascii="Arial" w:hAnsi="Arial" w:cs="Arial"/>
          <w:sz w:val="22"/>
          <w:szCs w:val="22"/>
        </w:rPr>
        <w:t xml:space="preserve"> ‘Life satisfaction through an intersectional lens’, </w:t>
      </w:r>
      <w:r w:rsidRPr="004618DD">
        <w:rPr>
          <w:rStyle w:val="Emphasis"/>
          <w:rFonts w:ascii="Arial" w:eastAsiaTheme="majorEastAsia" w:hAnsi="Arial" w:cs="Arial"/>
          <w:sz w:val="22"/>
          <w:szCs w:val="22"/>
        </w:rPr>
        <w:t>European Journal of Public Health</w:t>
      </w:r>
      <w:r w:rsidRPr="004618DD">
        <w:rPr>
          <w:rFonts w:ascii="Arial" w:hAnsi="Arial" w:cs="Arial"/>
          <w:sz w:val="22"/>
          <w:szCs w:val="22"/>
        </w:rPr>
        <w:t>, 35, p. 3.</w:t>
      </w:r>
      <w:r w:rsidR="003B4DA4">
        <w:rPr>
          <w:rFonts w:ascii="Arial" w:hAnsi="Arial" w:cs="Arial"/>
          <w:sz w:val="22"/>
          <w:szCs w:val="22"/>
        </w:rPr>
        <w:t xml:space="preserve"> </w:t>
      </w:r>
      <w:r w:rsidR="00337BCC" w:rsidRPr="00337BCC">
        <w:rPr>
          <w:rFonts w:ascii="Arial" w:hAnsi="Arial" w:cs="Arial"/>
          <w:sz w:val="22"/>
          <w:szCs w:val="22"/>
        </w:rPr>
        <w:t>(Accessed: 2</w:t>
      </w:r>
      <w:r w:rsidR="003B4DA4">
        <w:rPr>
          <w:rFonts w:ascii="Arial" w:hAnsi="Arial" w:cs="Arial"/>
          <w:sz w:val="22"/>
          <w:szCs w:val="22"/>
        </w:rPr>
        <w:t>6</w:t>
      </w:r>
      <w:r w:rsidR="00337BCC" w:rsidRPr="00337BCC">
        <w:rPr>
          <w:rFonts w:ascii="Arial" w:hAnsi="Arial" w:cs="Arial"/>
          <w:sz w:val="22"/>
          <w:szCs w:val="22"/>
        </w:rPr>
        <w:t xml:space="preserve"> November 2025).</w:t>
      </w:r>
    </w:p>
    <w:p w14:paraId="339F798C" w14:textId="0FDCE902"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Husain, L. &amp; Greenhalgh, T. (2025)</w:t>
      </w:r>
      <w:r w:rsidRPr="004618DD">
        <w:rPr>
          <w:rFonts w:ascii="Arial" w:hAnsi="Arial" w:cs="Arial"/>
          <w:sz w:val="22"/>
          <w:szCs w:val="22"/>
        </w:rPr>
        <w:t xml:space="preserve"> ‘Barriers to video consultations among older adults from disadvantaged backgrounds’, </w:t>
      </w:r>
      <w:r w:rsidRPr="004618DD">
        <w:rPr>
          <w:rStyle w:val="Emphasis"/>
          <w:rFonts w:ascii="Arial" w:eastAsiaTheme="majorEastAsia" w:hAnsi="Arial" w:cs="Arial"/>
          <w:sz w:val="22"/>
          <w:szCs w:val="22"/>
        </w:rPr>
        <w:t>Journal of Medical Internet Research</w:t>
      </w:r>
      <w:r w:rsidRPr="004618DD">
        <w:rPr>
          <w:rFonts w:ascii="Arial" w:hAnsi="Arial" w:cs="Arial"/>
          <w:sz w:val="22"/>
          <w:szCs w:val="22"/>
        </w:rPr>
        <w:t>, 27.</w:t>
      </w:r>
      <w:r w:rsidR="003B4DA4">
        <w:rPr>
          <w:rFonts w:ascii="Arial" w:hAnsi="Arial" w:cs="Arial"/>
          <w:sz w:val="22"/>
          <w:szCs w:val="22"/>
        </w:rPr>
        <w:t xml:space="preserve"> </w:t>
      </w:r>
      <w:r w:rsidR="00337BCC" w:rsidRPr="00337BCC">
        <w:rPr>
          <w:rFonts w:ascii="Arial" w:hAnsi="Arial" w:cs="Arial"/>
          <w:sz w:val="22"/>
          <w:szCs w:val="22"/>
        </w:rPr>
        <w:t>(Accessed: 2</w:t>
      </w:r>
      <w:r w:rsidR="003B4DA4">
        <w:rPr>
          <w:rFonts w:ascii="Arial" w:hAnsi="Arial" w:cs="Arial"/>
          <w:sz w:val="22"/>
          <w:szCs w:val="22"/>
        </w:rPr>
        <w:t>1</w:t>
      </w:r>
      <w:r w:rsidR="00337BCC" w:rsidRPr="00337BCC">
        <w:rPr>
          <w:rFonts w:ascii="Arial" w:hAnsi="Arial" w:cs="Arial"/>
          <w:sz w:val="22"/>
          <w:szCs w:val="22"/>
        </w:rPr>
        <w:t xml:space="preserve"> November 2025).</w:t>
      </w:r>
    </w:p>
    <w:p w14:paraId="0806CCB3" w14:textId="105F1DB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Institute of Health Equity (n.d.)</w:t>
      </w:r>
      <w:r w:rsidRPr="004618DD">
        <w:rPr>
          <w:rFonts w:ascii="Arial" w:hAnsi="Arial" w:cs="Arial"/>
          <w:sz w:val="22"/>
          <w:szCs w:val="22"/>
        </w:rPr>
        <w:t xml:space="preserve"> </w:t>
      </w:r>
      <w:r w:rsidRPr="004618DD">
        <w:rPr>
          <w:rStyle w:val="Emphasis"/>
          <w:rFonts w:ascii="Arial" w:eastAsiaTheme="majorEastAsia" w:hAnsi="Arial" w:cs="Arial"/>
          <w:sz w:val="22"/>
          <w:szCs w:val="22"/>
        </w:rPr>
        <w:t xml:space="preserve">Inequalities in mental health, cognitive </w:t>
      </w:r>
      <w:r w:rsidR="00920F34" w:rsidRPr="004618DD">
        <w:rPr>
          <w:rStyle w:val="Emphasis"/>
          <w:rFonts w:ascii="Arial" w:eastAsiaTheme="majorEastAsia" w:hAnsi="Arial" w:cs="Arial"/>
          <w:sz w:val="22"/>
          <w:szCs w:val="22"/>
        </w:rPr>
        <w:t>impairment,</w:t>
      </w:r>
      <w:r w:rsidRPr="004618DD">
        <w:rPr>
          <w:rStyle w:val="Emphasis"/>
          <w:rFonts w:ascii="Arial" w:eastAsiaTheme="majorEastAsia" w:hAnsi="Arial" w:cs="Arial"/>
          <w:sz w:val="22"/>
          <w:szCs w:val="22"/>
        </w:rPr>
        <w:t xml:space="preserve"> and dementia among older people.</w:t>
      </w:r>
      <w:r w:rsidRPr="004618DD">
        <w:rPr>
          <w:rFonts w:ascii="Arial" w:hAnsi="Arial" w:cs="Arial"/>
          <w:sz w:val="22"/>
          <w:szCs w:val="22"/>
        </w:rPr>
        <w:t xml:space="preserve"> Available at:</w:t>
      </w:r>
      <w:r w:rsidRPr="004618DD">
        <w:rPr>
          <w:rFonts w:ascii="Arial" w:hAnsi="Arial" w:cs="Arial"/>
          <w:sz w:val="22"/>
          <w:szCs w:val="22"/>
        </w:rPr>
        <w:br/>
      </w:r>
      <w:hyperlink r:id="rId24" w:tgtFrame="_new" w:history="1">
        <w:r w:rsidRPr="004618DD">
          <w:rPr>
            <w:rStyle w:val="Hyperlink"/>
            <w:rFonts w:ascii="Arial" w:eastAsiaTheme="majorEastAsia" w:hAnsi="Arial" w:cs="Arial"/>
            <w:sz w:val="22"/>
            <w:szCs w:val="22"/>
          </w:rPr>
          <w:t>https://www.instituteofhealthequity.org/resources-reports/inequalities-in-mental-health-cognitive-impairment-and-dementia-among-older-people/inequalities-in-mental-health-cognitive-impairement-and-dementia-among-older-people.pdf</w:t>
        </w:r>
      </w:hyperlink>
      <w:r w:rsidRPr="004618DD">
        <w:rPr>
          <w:rFonts w:ascii="Arial" w:hAnsi="Arial" w:cs="Arial"/>
          <w:sz w:val="22"/>
          <w:szCs w:val="22"/>
        </w:rPr>
        <w:t>.</w:t>
      </w:r>
      <w:r w:rsidR="00337BCC" w:rsidRPr="00337BCC">
        <w:rPr>
          <w:rFonts w:ascii="Arial" w:hAnsi="Arial" w:cs="Arial"/>
          <w:sz w:val="22"/>
          <w:szCs w:val="22"/>
        </w:rPr>
        <w:t xml:space="preserve">(Accessed: </w:t>
      </w:r>
      <w:r w:rsidR="003B4DA4">
        <w:rPr>
          <w:rFonts w:ascii="Arial" w:hAnsi="Arial" w:cs="Arial"/>
          <w:sz w:val="22"/>
          <w:szCs w:val="22"/>
        </w:rPr>
        <w:t>16</w:t>
      </w:r>
      <w:r w:rsidR="00337BCC" w:rsidRPr="00337BCC">
        <w:rPr>
          <w:rFonts w:ascii="Arial" w:hAnsi="Arial" w:cs="Arial"/>
          <w:sz w:val="22"/>
          <w:szCs w:val="22"/>
        </w:rPr>
        <w:t xml:space="preserve"> November 2025).</w:t>
      </w:r>
    </w:p>
    <w:p w14:paraId="07E7A488" w14:textId="6B0DF486"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lastRenderedPageBreak/>
        <w:t>Kneale, D., Thomas, J. &amp; French, R. (2020)</w:t>
      </w:r>
      <w:r w:rsidRPr="004618DD">
        <w:rPr>
          <w:rFonts w:ascii="Arial" w:hAnsi="Arial" w:cs="Arial"/>
          <w:sz w:val="22"/>
          <w:szCs w:val="22"/>
        </w:rPr>
        <w:t xml:space="preserve"> ‘Inequalities in health among LGB older adults in the UK’, </w:t>
      </w:r>
      <w:r w:rsidRPr="004618DD">
        <w:rPr>
          <w:rStyle w:val="Emphasis"/>
          <w:rFonts w:ascii="Arial" w:eastAsiaTheme="majorEastAsia" w:hAnsi="Arial" w:cs="Arial"/>
          <w:sz w:val="22"/>
          <w:szCs w:val="22"/>
        </w:rPr>
        <w:t>The Journals of Gerontology: Series B</w:t>
      </w:r>
      <w:r w:rsidRPr="004618DD">
        <w:rPr>
          <w:rFonts w:ascii="Arial" w:hAnsi="Arial" w:cs="Arial"/>
          <w:sz w:val="22"/>
          <w:szCs w:val="22"/>
        </w:rPr>
        <w:t>, 75(8).</w:t>
      </w:r>
      <w:r w:rsidRPr="004618DD">
        <w:rPr>
          <w:rFonts w:ascii="Arial" w:hAnsi="Arial" w:cs="Arial"/>
          <w:sz w:val="22"/>
          <w:szCs w:val="22"/>
        </w:rPr>
        <w:br/>
      </w:r>
      <w:hyperlink r:id="rId25" w:tgtFrame="_new" w:history="1">
        <w:r w:rsidRPr="004618DD">
          <w:rPr>
            <w:rStyle w:val="Hyperlink"/>
            <w:rFonts w:ascii="Arial" w:eastAsiaTheme="majorEastAsia" w:hAnsi="Arial" w:cs="Arial"/>
            <w:sz w:val="22"/>
            <w:szCs w:val="22"/>
          </w:rPr>
          <w:t>https://doi.org/10.1093/geronb/gbaa071</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9</w:t>
      </w:r>
      <w:r w:rsidR="00337BCC" w:rsidRPr="00337BCC">
        <w:rPr>
          <w:rFonts w:ascii="Arial" w:hAnsi="Arial" w:cs="Arial"/>
          <w:sz w:val="22"/>
          <w:szCs w:val="22"/>
        </w:rPr>
        <w:t xml:space="preserve"> November 2025).</w:t>
      </w:r>
    </w:p>
    <w:p w14:paraId="5C9F9D0B" w14:textId="3C334DFB"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Liang, S., Xi, S-Z., Jia-Yi, L., Tang, G-C., Zhang, W-G., Guo, X-R., Chen, Y., Zhang, C. &amp; Cai, G-Y. (2025)</w:t>
      </w:r>
      <w:r w:rsidRPr="004618DD">
        <w:rPr>
          <w:rFonts w:ascii="Arial" w:hAnsi="Arial" w:cs="Arial"/>
          <w:sz w:val="22"/>
          <w:szCs w:val="22"/>
        </w:rPr>
        <w:t xml:space="preserve"> ‘Global burden of nutritional deficiencies in adults aged 65+’, </w:t>
      </w:r>
      <w:r w:rsidRPr="004618DD">
        <w:rPr>
          <w:rStyle w:val="Emphasis"/>
          <w:rFonts w:ascii="Arial" w:eastAsiaTheme="majorEastAsia" w:hAnsi="Arial" w:cs="Arial"/>
          <w:sz w:val="22"/>
          <w:szCs w:val="22"/>
        </w:rPr>
        <w:t>BMC Geriatrics</w:t>
      </w:r>
      <w:r w:rsidRPr="004618DD">
        <w:rPr>
          <w:rFonts w:ascii="Arial" w:hAnsi="Arial" w:cs="Arial"/>
          <w:sz w:val="22"/>
          <w:szCs w:val="22"/>
        </w:rPr>
        <w:t>, 25, pp. 1–15.</w:t>
      </w:r>
      <w:r w:rsidR="002307BF">
        <w:rPr>
          <w:rFonts w:ascii="Arial" w:hAnsi="Arial" w:cs="Arial"/>
          <w:sz w:val="22"/>
          <w:szCs w:val="22"/>
        </w:rPr>
        <w:t xml:space="preserve"> </w:t>
      </w:r>
      <w:r w:rsidR="00337BCC" w:rsidRPr="00337BCC">
        <w:rPr>
          <w:rFonts w:ascii="Arial" w:hAnsi="Arial" w:cs="Arial"/>
          <w:sz w:val="22"/>
          <w:szCs w:val="22"/>
        </w:rPr>
        <w:t xml:space="preserve">(Accessed: </w:t>
      </w:r>
      <w:r w:rsidR="002307BF">
        <w:rPr>
          <w:rFonts w:ascii="Arial" w:hAnsi="Arial" w:cs="Arial"/>
          <w:sz w:val="22"/>
          <w:szCs w:val="22"/>
        </w:rPr>
        <w:t>4</w:t>
      </w:r>
      <w:r w:rsidR="00337BCC" w:rsidRPr="00337BCC">
        <w:rPr>
          <w:rFonts w:ascii="Arial" w:hAnsi="Arial" w:cs="Arial"/>
          <w:sz w:val="22"/>
          <w:szCs w:val="22"/>
        </w:rPr>
        <w:t xml:space="preserve"> November 2025).</w:t>
      </w:r>
    </w:p>
    <w:p w14:paraId="72588C34" w14:textId="598B97A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Lima-Costa, M.F., De Oliveira, C., Macinko, J. &amp; Marmot, M. (2012)</w:t>
      </w:r>
      <w:r w:rsidRPr="004618DD">
        <w:rPr>
          <w:rFonts w:ascii="Arial" w:hAnsi="Arial" w:cs="Arial"/>
          <w:sz w:val="22"/>
          <w:szCs w:val="22"/>
        </w:rPr>
        <w:t xml:space="preserve"> ‘Socioeconomic inequalities in health in older adults in Brazil and England’, </w:t>
      </w:r>
      <w:r w:rsidRPr="004618DD">
        <w:rPr>
          <w:rStyle w:val="Emphasis"/>
          <w:rFonts w:ascii="Arial" w:eastAsiaTheme="majorEastAsia" w:hAnsi="Arial" w:cs="Arial"/>
          <w:sz w:val="22"/>
          <w:szCs w:val="22"/>
        </w:rPr>
        <w:t>American Journal of Public Health</w:t>
      </w:r>
      <w:r w:rsidRPr="004618DD">
        <w:rPr>
          <w:rFonts w:ascii="Arial" w:hAnsi="Arial" w:cs="Arial"/>
          <w:sz w:val="22"/>
          <w:szCs w:val="22"/>
        </w:rPr>
        <w:t>, 102(8), pp. 1535–</w:t>
      </w:r>
      <w:r w:rsidR="002307BF" w:rsidRPr="004618DD">
        <w:rPr>
          <w:rFonts w:ascii="Arial" w:hAnsi="Arial" w:cs="Arial"/>
          <w:sz w:val="22"/>
          <w:szCs w:val="22"/>
        </w:rPr>
        <w:t>1541.</w:t>
      </w:r>
      <w:r w:rsidR="002307BF" w:rsidRPr="00337BCC">
        <w:rPr>
          <w:rFonts w:ascii="Arial" w:hAnsi="Arial" w:cs="Arial"/>
          <w:sz w:val="22"/>
          <w:szCs w:val="22"/>
        </w:rPr>
        <w:t xml:space="preserve"> (</w:t>
      </w:r>
      <w:r w:rsidR="00337BCC" w:rsidRPr="00337BCC">
        <w:rPr>
          <w:rFonts w:ascii="Arial" w:hAnsi="Arial" w:cs="Arial"/>
          <w:sz w:val="22"/>
          <w:szCs w:val="22"/>
        </w:rPr>
        <w:t xml:space="preserve">Accessed: </w:t>
      </w:r>
      <w:r w:rsidR="002307BF">
        <w:rPr>
          <w:rFonts w:ascii="Arial" w:hAnsi="Arial" w:cs="Arial"/>
          <w:sz w:val="22"/>
          <w:szCs w:val="22"/>
        </w:rPr>
        <w:t>18</w:t>
      </w:r>
      <w:r w:rsidR="00337BCC" w:rsidRPr="00337BCC">
        <w:rPr>
          <w:rFonts w:ascii="Arial" w:hAnsi="Arial" w:cs="Arial"/>
          <w:sz w:val="22"/>
          <w:szCs w:val="22"/>
        </w:rPr>
        <w:t xml:space="preserve"> November 2025).</w:t>
      </w:r>
    </w:p>
    <w:p w14:paraId="4A07A598" w14:textId="177C091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Liverpool City Council (n.d.)</w:t>
      </w:r>
      <w:r w:rsidRPr="004618DD">
        <w:rPr>
          <w:rFonts w:ascii="Arial" w:hAnsi="Arial" w:cs="Arial"/>
          <w:sz w:val="22"/>
          <w:szCs w:val="22"/>
        </w:rPr>
        <w:t xml:space="preserve"> </w:t>
      </w:r>
      <w:r w:rsidRPr="004618DD">
        <w:rPr>
          <w:rStyle w:val="Emphasis"/>
          <w:rFonts w:ascii="Arial" w:eastAsiaTheme="majorEastAsia" w:hAnsi="Arial" w:cs="Arial"/>
          <w:sz w:val="22"/>
          <w:szCs w:val="22"/>
        </w:rPr>
        <w:t>Joint Strategic Needs Assessment (JSNA).</w:t>
      </w:r>
      <w:r w:rsidRPr="004618DD">
        <w:rPr>
          <w:rFonts w:ascii="Arial" w:hAnsi="Arial" w:cs="Arial"/>
          <w:sz w:val="22"/>
          <w:szCs w:val="22"/>
        </w:rPr>
        <w:t xml:space="preserve"> Available at: </w:t>
      </w:r>
      <w:hyperlink r:id="rId26" w:tgtFrame="_new" w:history="1">
        <w:r w:rsidRPr="004618DD">
          <w:rPr>
            <w:rStyle w:val="Hyperlink"/>
            <w:rFonts w:ascii="Arial" w:eastAsiaTheme="majorEastAsia" w:hAnsi="Arial" w:cs="Arial"/>
            <w:sz w:val="22"/>
            <w:szCs w:val="22"/>
          </w:rPr>
          <w:t>https://liverpool.gov.uk/jsna</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7</w:t>
      </w:r>
      <w:r w:rsidR="00337BCC" w:rsidRPr="00337BCC">
        <w:rPr>
          <w:rFonts w:ascii="Arial" w:hAnsi="Arial" w:cs="Arial"/>
          <w:sz w:val="22"/>
          <w:szCs w:val="22"/>
        </w:rPr>
        <w:t xml:space="preserve"> November 2025).</w:t>
      </w:r>
    </w:p>
    <w:p w14:paraId="2268980E" w14:textId="7B9B3E80"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Liverpool City Council (n.d.)</w:t>
      </w:r>
      <w:r w:rsidRPr="004618DD">
        <w:rPr>
          <w:rFonts w:ascii="Arial" w:hAnsi="Arial" w:cs="Arial"/>
          <w:sz w:val="22"/>
          <w:szCs w:val="22"/>
        </w:rPr>
        <w:t xml:space="preserve"> </w:t>
      </w:r>
      <w:r w:rsidRPr="004618DD">
        <w:rPr>
          <w:rStyle w:val="Emphasis"/>
          <w:rFonts w:ascii="Arial" w:eastAsiaTheme="majorEastAsia" w:hAnsi="Arial" w:cs="Arial"/>
          <w:sz w:val="22"/>
          <w:szCs w:val="22"/>
        </w:rPr>
        <w:t>Public Health Annual Report (PHAR).</w:t>
      </w:r>
      <w:r w:rsidRPr="004618DD">
        <w:rPr>
          <w:rFonts w:ascii="Arial" w:hAnsi="Arial" w:cs="Arial"/>
          <w:sz w:val="22"/>
          <w:szCs w:val="22"/>
        </w:rPr>
        <w:t xml:space="preserve"> Available at:</w:t>
      </w:r>
      <w:r w:rsidRPr="004618DD">
        <w:rPr>
          <w:rFonts w:ascii="Arial" w:hAnsi="Arial" w:cs="Arial"/>
          <w:sz w:val="22"/>
          <w:szCs w:val="22"/>
        </w:rPr>
        <w:br/>
      </w:r>
      <w:hyperlink r:id="rId27" w:tgtFrame="_new" w:history="1">
        <w:r w:rsidRPr="004618DD">
          <w:rPr>
            <w:rStyle w:val="Hyperlink"/>
            <w:rFonts w:ascii="Arial" w:eastAsiaTheme="majorEastAsia" w:hAnsi="Arial" w:cs="Arial"/>
            <w:sz w:val="22"/>
            <w:szCs w:val="22"/>
          </w:rPr>
          <w:t>https://liverpool.gov.uk/council/public-health-liverpool/public-health-annual-report-phar/</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3</w:t>
      </w:r>
      <w:r w:rsidR="00337BCC" w:rsidRPr="00337BCC">
        <w:rPr>
          <w:rFonts w:ascii="Arial" w:hAnsi="Arial" w:cs="Arial"/>
          <w:sz w:val="22"/>
          <w:szCs w:val="22"/>
        </w:rPr>
        <w:t xml:space="preserve"> November 2025).</w:t>
      </w:r>
    </w:p>
    <w:p w14:paraId="219E10C7" w14:textId="2556B198"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Liverpool City Council (n.d.)</w:t>
      </w:r>
      <w:r w:rsidRPr="004618DD">
        <w:rPr>
          <w:rFonts w:ascii="Arial" w:hAnsi="Arial" w:cs="Arial"/>
          <w:sz w:val="22"/>
          <w:szCs w:val="22"/>
        </w:rPr>
        <w:t xml:space="preserve"> </w:t>
      </w:r>
      <w:r w:rsidRPr="004618DD">
        <w:rPr>
          <w:rStyle w:val="Emphasis"/>
          <w:rFonts w:ascii="Arial" w:eastAsiaTheme="majorEastAsia" w:hAnsi="Arial" w:cs="Arial"/>
          <w:sz w:val="22"/>
          <w:szCs w:val="22"/>
        </w:rPr>
        <w:t>Public Health Liverpool.</w:t>
      </w:r>
      <w:r w:rsidRPr="004618DD">
        <w:rPr>
          <w:rFonts w:ascii="Arial" w:hAnsi="Arial" w:cs="Arial"/>
          <w:sz w:val="22"/>
          <w:szCs w:val="22"/>
        </w:rPr>
        <w:t xml:space="preserve"> Available at: </w:t>
      </w:r>
      <w:hyperlink r:id="rId28" w:tgtFrame="_new" w:history="1">
        <w:r w:rsidRPr="004618DD">
          <w:rPr>
            <w:rStyle w:val="Hyperlink"/>
            <w:rFonts w:ascii="Arial" w:eastAsiaTheme="majorEastAsia" w:hAnsi="Arial" w:cs="Arial"/>
            <w:sz w:val="22"/>
            <w:szCs w:val="22"/>
          </w:rPr>
          <w:t>https://liverpool.gov.uk/council/public-health-liverpool/</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1</w:t>
      </w:r>
      <w:r w:rsidR="00337BCC" w:rsidRPr="00337BCC">
        <w:rPr>
          <w:rFonts w:ascii="Arial" w:hAnsi="Arial" w:cs="Arial"/>
          <w:sz w:val="22"/>
          <w:szCs w:val="22"/>
        </w:rPr>
        <w:t xml:space="preserve"> November 2025).</w:t>
      </w:r>
    </w:p>
    <w:p w14:paraId="47F664E7" w14:textId="1FBEBCFB"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Local Government Association (2010)</w:t>
      </w:r>
      <w:r w:rsidRPr="004618DD">
        <w:rPr>
          <w:rFonts w:ascii="Arial" w:hAnsi="Arial" w:cs="Arial"/>
          <w:sz w:val="22"/>
          <w:szCs w:val="22"/>
        </w:rPr>
        <w:t xml:space="preserve"> </w:t>
      </w:r>
      <w:r w:rsidRPr="004618DD">
        <w:rPr>
          <w:rStyle w:val="Emphasis"/>
          <w:rFonts w:ascii="Arial" w:eastAsiaTheme="majorEastAsia" w:hAnsi="Arial" w:cs="Arial"/>
          <w:sz w:val="22"/>
          <w:szCs w:val="22"/>
        </w:rPr>
        <w:t>Marmot review report – Fair Society, Healthy Lives.</w:t>
      </w:r>
      <w:r w:rsidRPr="004618DD">
        <w:rPr>
          <w:rFonts w:ascii="Arial" w:hAnsi="Arial" w:cs="Arial"/>
          <w:sz w:val="22"/>
          <w:szCs w:val="22"/>
        </w:rPr>
        <w:t xml:space="preserve"> Available at: </w:t>
      </w:r>
      <w:hyperlink r:id="rId29" w:tgtFrame="_new" w:history="1">
        <w:r w:rsidRPr="004618DD">
          <w:rPr>
            <w:rStyle w:val="Hyperlink"/>
            <w:rFonts w:ascii="Arial" w:eastAsiaTheme="majorEastAsia" w:hAnsi="Arial" w:cs="Arial"/>
            <w:sz w:val="22"/>
            <w:szCs w:val="22"/>
          </w:rPr>
          <w:t>https://www.local.gov.uk/marmot-review-report-fair-society-healthy-lives</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6</w:t>
      </w:r>
      <w:r w:rsidR="00337BCC" w:rsidRPr="00337BCC">
        <w:rPr>
          <w:rFonts w:ascii="Arial" w:hAnsi="Arial" w:cs="Arial"/>
          <w:sz w:val="22"/>
          <w:szCs w:val="22"/>
        </w:rPr>
        <w:t xml:space="preserve"> November 2025).</w:t>
      </w:r>
    </w:p>
    <w:p w14:paraId="5289DE1D" w14:textId="58A784A8"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Maleki, M., Seyedeh, A.M., Ranjbaran, M. &amp; Hosseinigolafshani, S. (2025)</w:t>
      </w:r>
      <w:r w:rsidRPr="004618DD">
        <w:rPr>
          <w:rFonts w:ascii="Arial" w:hAnsi="Arial" w:cs="Arial"/>
          <w:sz w:val="22"/>
          <w:szCs w:val="22"/>
        </w:rPr>
        <w:t xml:space="preserve"> ‘Prevalence of elder abuse’, </w:t>
      </w:r>
      <w:r w:rsidRPr="004618DD">
        <w:rPr>
          <w:rStyle w:val="Emphasis"/>
          <w:rFonts w:ascii="Arial" w:eastAsiaTheme="majorEastAsia" w:hAnsi="Arial" w:cs="Arial"/>
          <w:sz w:val="22"/>
          <w:szCs w:val="22"/>
        </w:rPr>
        <w:t>BMC Geriatrics</w:t>
      </w:r>
      <w:r w:rsidRPr="004618DD">
        <w:rPr>
          <w:rFonts w:ascii="Arial" w:hAnsi="Arial" w:cs="Arial"/>
          <w:sz w:val="22"/>
          <w:szCs w:val="22"/>
        </w:rPr>
        <w:t>, 25, pp. 1–13.</w:t>
      </w:r>
      <w:r w:rsidR="002307BF">
        <w:rPr>
          <w:rFonts w:ascii="Arial" w:hAnsi="Arial" w:cs="Arial"/>
          <w:sz w:val="22"/>
          <w:szCs w:val="22"/>
        </w:rPr>
        <w:t xml:space="preserve"> </w:t>
      </w:r>
      <w:r w:rsidR="00337BCC" w:rsidRPr="00337BCC">
        <w:rPr>
          <w:rFonts w:ascii="Arial" w:hAnsi="Arial" w:cs="Arial"/>
          <w:sz w:val="22"/>
          <w:szCs w:val="22"/>
        </w:rPr>
        <w:t>(Accessed: 2</w:t>
      </w:r>
      <w:r w:rsidR="002307BF">
        <w:rPr>
          <w:rFonts w:ascii="Arial" w:hAnsi="Arial" w:cs="Arial"/>
          <w:sz w:val="22"/>
          <w:szCs w:val="22"/>
        </w:rPr>
        <w:t>2</w:t>
      </w:r>
      <w:r w:rsidR="00337BCC" w:rsidRPr="00337BCC">
        <w:rPr>
          <w:rFonts w:ascii="Arial" w:hAnsi="Arial" w:cs="Arial"/>
          <w:sz w:val="22"/>
          <w:szCs w:val="22"/>
        </w:rPr>
        <w:t xml:space="preserve"> November 2025).</w:t>
      </w:r>
    </w:p>
    <w:p w14:paraId="0E1AE378" w14:textId="6446E75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Marmot, M., Allen, J., Boyce, T., Goldblatt, P. &amp; Morrison, J. (2020)</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Equity in England: The Marmot Review 10 Years On.</w:t>
      </w:r>
      <w:r w:rsidRPr="004618DD">
        <w:rPr>
          <w:rFonts w:ascii="Arial" w:hAnsi="Arial" w:cs="Arial"/>
          <w:sz w:val="22"/>
          <w:szCs w:val="22"/>
        </w:rPr>
        <w:t xml:space="preserve"> Available at:</w:t>
      </w:r>
      <w:r w:rsidRPr="004618DD">
        <w:rPr>
          <w:rFonts w:ascii="Arial" w:hAnsi="Arial" w:cs="Arial"/>
          <w:sz w:val="22"/>
          <w:szCs w:val="22"/>
        </w:rPr>
        <w:br/>
      </w:r>
      <w:hyperlink r:id="rId30" w:tgtFrame="_new" w:history="1">
        <w:r w:rsidRPr="004618DD">
          <w:rPr>
            <w:rStyle w:val="Hyperlink"/>
            <w:rFonts w:ascii="Arial" w:eastAsiaTheme="majorEastAsia" w:hAnsi="Arial" w:cs="Arial"/>
            <w:sz w:val="22"/>
            <w:szCs w:val="22"/>
          </w:rPr>
          <w:t>https://www.health.org.uk/reports-and-analysis/reports/health-equity-in-england-the-marmot-review-10-years-on-0</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8</w:t>
      </w:r>
      <w:r w:rsidR="00337BCC" w:rsidRPr="00337BCC">
        <w:rPr>
          <w:rFonts w:ascii="Arial" w:hAnsi="Arial" w:cs="Arial"/>
          <w:sz w:val="22"/>
          <w:szCs w:val="22"/>
        </w:rPr>
        <w:t xml:space="preserve"> November 2025).</w:t>
      </w:r>
    </w:p>
    <w:p w14:paraId="38951968" w14:textId="7835AC7D"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Marmot, M.G. &amp; Nazroo, J.Y. (2001)</w:t>
      </w:r>
      <w:r w:rsidRPr="004618DD">
        <w:rPr>
          <w:rFonts w:ascii="Arial" w:hAnsi="Arial" w:cs="Arial"/>
          <w:sz w:val="22"/>
          <w:szCs w:val="22"/>
        </w:rPr>
        <w:t xml:space="preserve"> ‘Social inequalities in health in an ageing population’, </w:t>
      </w:r>
      <w:r w:rsidRPr="004618DD">
        <w:rPr>
          <w:rStyle w:val="Emphasis"/>
          <w:rFonts w:ascii="Arial" w:eastAsiaTheme="majorEastAsia" w:hAnsi="Arial" w:cs="Arial"/>
          <w:sz w:val="22"/>
          <w:szCs w:val="22"/>
        </w:rPr>
        <w:t>European Review</w:t>
      </w:r>
      <w:r w:rsidRPr="004618DD">
        <w:rPr>
          <w:rFonts w:ascii="Arial" w:hAnsi="Arial" w:cs="Arial"/>
          <w:sz w:val="22"/>
          <w:szCs w:val="22"/>
        </w:rPr>
        <w:t>, 9(4), pp. 445–</w:t>
      </w:r>
      <w:r w:rsidR="002307BF" w:rsidRPr="004618DD">
        <w:rPr>
          <w:rFonts w:ascii="Arial" w:hAnsi="Arial" w:cs="Arial"/>
          <w:sz w:val="22"/>
          <w:szCs w:val="22"/>
        </w:rPr>
        <w:t>460.</w:t>
      </w:r>
      <w:r w:rsidR="002307BF" w:rsidRPr="00337BCC">
        <w:rPr>
          <w:rFonts w:ascii="Arial" w:hAnsi="Arial" w:cs="Arial"/>
          <w:sz w:val="22"/>
          <w:szCs w:val="22"/>
        </w:rPr>
        <w:t xml:space="preserve"> (</w:t>
      </w:r>
      <w:r w:rsidR="00337BCC" w:rsidRPr="00337BCC">
        <w:rPr>
          <w:rFonts w:ascii="Arial" w:hAnsi="Arial" w:cs="Arial"/>
          <w:sz w:val="22"/>
          <w:szCs w:val="22"/>
        </w:rPr>
        <w:t xml:space="preserve">Accessed: </w:t>
      </w:r>
      <w:r w:rsidR="002307BF">
        <w:rPr>
          <w:rFonts w:ascii="Arial" w:hAnsi="Arial" w:cs="Arial"/>
          <w:sz w:val="22"/>
          <w:szCs w:val="22"/>
        </w:rPr>
        <w:t>14</w:t>
      </w:r>
      <w:r w:rsidR="00337BCC" w:rsidRPr="00337BCC">
        <w:rPr>
          <w:rFonts w:ascii="Arial" w:hAnsi="Arial" w:cs="Arial"/>
          <w:sz w:val="22"/>
          <w:szCs w:val="22"/>
        </w:rPr>
        <w:t xml:space="preserve"> November 2025).</w:t>
      </w:r>
    </w:p>
    <w:p w14:paraId="4AFC8811" w14:textId="661BB497"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lastRenderedPageBreak/>
        <w:t>NHS (2022)</w:t>
      </w:r>
      <w:r w:rsidR="004872EE">
        <w:rPr>
          <w:rStyle w:val="Strong"/>
          <w:rFonts w:ascii="Arial" w:eastAsiaTheme="majorEastAsia" w:hAnsi="Arial" w:cs="Arial"/>
          <w:b w:val="0"/>
          <w:bCs w:val="0"/>
          <w:sz w:val="22"/>
          <w:szCs w:val="22"/>
        </w:rPr>
        <w:t>.</w:t>
      </w:r>
      <w:r w:rsidRPr="004618DD">
        <w:rPr>
          <w:rFonts w:ascii="Arial" w:hAnsi="Arial" w:cs="Arial"/>
          <w:sz w:val="22"/>
          <w:szCs w:val="22"/>
        </w:rPr>
        <w:t xml:space="preserve"> </w:t>
      </w:r>
      <w:r w:rsidRPr="004618DD">
        <w:rPr>
          <w:rStyle w:val="Emphasis"/>
          <w:rFonts w:ascii="Arial" w:eastAsiaTheme="majorEastAsia" w:hAnsi="Arial" w:cs="Arial"/>
          <w:sz w:val="22"/>
          <w:szCs w:val="22"/>
        </w:rPr>
        <w:t>NHS launches new dementia diagnosis drive.</w:t>
      </w:r>
      <w:r w:rsidRPr="004618DD">
        <w:rPr>
          <w:rFonts w:ascii="Arial" w:hAnsi="Arial" w:cs="Arial"/>
          <w:sz w:val="22"/>
          <w:szCs w:val="22"/>
        </w:rPr>
        <w:t xml:space="preserve"> Available at: </w:t>
      </w:r>
      <w:hyperlink r:id="rId31" w:tgtFrame="_new" w:history="1">
        <w:r w:rsidRPr="004618DD">
          <w:rPr>
            <w:rStyle w:val="Hyperlink"/>
            <w:rFonts w:ascii="Arial" w:eastAsiaTheme="majorEastAsia" w:hAnsi="Arial" w:cs="Arial"/>
            <w:sz w:val="22"/>
            <w:szCs w:val="22"/>
          </w:rPr>
          <w:t>https://www.england.nhs.uk/2022/12/nhs-launches-new-dementia-diagnosis-drive/</w:t>
        </w:r>
      </w:hyperlink>
      <w:r w:rsidRPr="004618DD">
        <w:rPr>
          <w:rFonts w:ascii="Arial" w:hAnsi="Arial" w:cs="Arial"/>
          <w:sz w:val="22"/>
          <w:szCs w:val="22"/>
        </w:rPr>
        <w:t>.</w:t>
      </w:r>
      <w:r w:rsidR="00337BCC" w:rsidRPr="00337BCC">
        <w:rPr>
          <w:rFonts w:ascii="Arial" w:hAnsi="Arial" w:cs="Arial"/>
          <w:sz w:val="22"/>
          <w:szCs w:val="22"/>
        </w:rPr>
        <w:t xml:space="preserve">(Accessed: </w:t>
      </w:r>
      <w:r w:rsidR="002307BF">
        <w:rPr>
          <w:rFonts w:ascii="Arial" w:hAnsi="Arial" w:cs="Arial"/>
          <w:sz w:val="22"/>
          <w:szCs w:val="22"/>
        </w:rPr>
        <w:t>18</w:t>
      </w:r>
      <w:r w:rsidR="00337BCC" w:rsidRPr="00337BCC">
        <w:rPr>
          <w:rFonts w:ascii="Arial" w:hAnsi="Arial" w:cs="Arial"/>
          <w:sz w:val="22"/>
          <w:szCs w:val="22"/>
        </w:rPr>
        <w:t xml:space="preserve"> November 2025).</w:t>
      </w:r>
    </w:p>
    <w:p w14:paraId="54FCD37C" w14:textId="7D448E24"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NHS (2023)</w:t>
      </w:r>
      <w:r w:rsidRPr="004618DD">
        <w:rPr>
          <w:rFonts w:ascii="Arial" w:hAnsi="Arial" w:cs="Arial"/>
          <w:sz w:val="22"/>
          <w:szCs w:val="22"/>
        </w:rPr>
        <w:t xml:space="preserve"> </w:t>
      </w:r>
      <w:r w:rsidRPr="004618DD">
        <w:rPr>
          <w:rStyle w:val="Emphasis"/>
          <w:rFonts w:ascii="Arial" w:eastAsiaTheme="majorEastAsia" w:hAnsi="Arial" w:cs="Arial"/>
          <w:sz w:val="22"/>
          <w:szCs w:val="22"/>
        </w:rPr>
        <w:t>Quality and Outcomes Framework, 2022–23.</w:t>
      </w:r>
      <w:r w:rsidRPr="004618DD">
        <w:rPr>
          <w:rFonts w:ascii="Arial" w:hAnsi="Arial" w:cs="Arial"/>
          <w:sz w:val="22"/>
          <w:szCs w:val="22"/>
        </w:rPr>
        <w:t xml:space="preserve"> Available at:</w:t>
      </w:r>
      <w:r w:rsidRPr="004618DD">
        <w:rPr>
          <w:rFonts w:ascii="Arial" w:hAnsi="Arial" w:cs="Arial"/>
          <w:sz w:val="22"/>
          <w:szCs w:val="22"/>
        </w:rPr>
        <w:br/>
      </w:r>
      <w:hyperlink r:id="rId32" w:tgtFrame="_new" w:history="1">
        <w:r w:rsidRPr="004618DD">
          <w:rPr>
            <w:rStyle w:val="Hyperlink"/>
            <w:rFonts w:ascii="Arial" w:eastAsiaTheme="majorEastAsia" w:hAnsi="Arial" w:cs="Arial"/>
            <w:sz w:val="22"/>
            <w:szCs w:val="22"/>
          </w:rPr>
          <w:t>https://digital.nhs.uk/data-and-information/publications/statistical/quality-and-outcomes-framework-achievement-prevalence-and-exceptions-data/2022-23</w:t>
        </w:r>
      </w:hyperlink>
      <w:r w:rsidRPr="004618DD">
        <w:rPr>
          <w:rFonts w:ascii="Arial" w:hAnsi="Arial" w:cs="Arial"/>
          <w:sz w:val="22"/>
          <w:szCs w:val="22"/>
        </w:rPr>
        <w:t>.</w:t>
      </w:r>
      <w:r w:rsidR="00337BCC" w:rsidRPr="00337BCC">
        <w:rPr>
          <w:rFonts w:ascii="Arial" w:hAnsi="Arial" w:cs="Arial"/>
          <w:sz w:val="22"/>
          <w:szCs w:val="22"/>
        </w:rPr>
        <w:t>(Accessed: 25 November 2025).</w:t>
      </w:r>
    </w:p>
    <w:p w14:paraId="024A17B0" w14:textId="29D9012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NHS England (2020)</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Good Care Planning – Information for Primary Care and Commissioners.</w:t>
      </w:r>
      <w:r w:rsidRPr="004618DD">
        <w:rPr>
          <w:rFonts w:ascii="Arial" w:hAnsi="Arial" w:cs="Arial"/>
          <w:sz w:val="22"/>
          <w:szCs w:val="22"/>
        </w:rPr>
        <w:t xml:space="preserve"> Available at:</w:t>
      </w:r>
      <w:r w:rsidRPr="004618DD">
        <w:rPr>
          <w:rFonts w:ascii="Arial" w:hAnsi="Arial" w:cs="Arial"/>
          <w:sz w:val="22"/>
          <w:szCs w:val="22"/>
        </w:rPr>
        <w:br/>
      </w:r>
      <w:hyperlink r:id="rId33" w:tgtFrame="_new" w:history="1">
        <w:r w:rsidRPr="004618DD">
          <w:rPr>
            <w:rStyle w:val="Hyperlink"/>
            <w:rFonts w:ascii="Arial" w:eastAsiaTheme="majorEastAsia" w:hAnsi="Arial" w:cs="Arial"/>
            <w:sz w:val="22"/>
            <w:szCs w:val="22"/>
          </w:rPr>
          <w:t>https://www.england.nhs.uk/publication/dementia-good-care-planning-information-for-primary-care-and-commissioners/</w:t>
        </w:r>
      </w:hyperlink>
      <w:r w:rsidRPr="004618DD">
        <w:rPr>
          <w:rFonts w:ascii="Arial" w:hAnsi="Arial" w:cs="Arial"/>
          <w:sz w:val="22"/>
          <w:szCs w:val="22"/>
        </w:rPr>
        <w:t>.</w:t>
      </w:r>
      <w:r w:rsidR="00337BCC" w:rsidRPr="00337BCC">
        <w:rPr>
          <w:rFonts w:ascii="Arial" w:hAnsi="Arial" w:cs="Arial"/>
          <w:sz w:val="22"/>
          <w:szCs w:val="22"/>
        </w:rPr>
        <w:t>(Accessed: 2</w:t>
      </w:r>
      <w:r w:rsidR="002307BF">
        <w:rPr>
          <w:rFonts w:ascii="Arial" w:hAnsi="Arial" w:cs="Arial"/>
          <w:sz w:val="22"/>
          <w:szCs w:val="22"/>
        </w:rPr>
        <w:t>1</w:t>
      </w:r>
      <w:r w:rsidR="00337BCC" w:rsidRPr="00337BCC">
        <w:rPr>
          <w:rFonts w:ascii="Arial" w:hAnsi="Arial" w:cs="Arial"/>
          <w:sz w:val="22"/>
          <w:szCs w:val="22"/>
        </w:rPr>
        <w:t xml:space="preserve"> November 2025).</w:t>
      </w:r>
    </w:p>
    <w:p w14:paraId="6F7B7408" w14:textId="351D7600"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NHS England (2023)</w:t>
      </w:r>
      <w:r w:rsidRPr="004618DD">
        <w:rPr>
          <w:rFonts w:ascii="Arial" w:hAnsi="Arial" w:cs="Arial"/>
          <w:sz w:val="22"/>
          <w:szCs w:val="22"/>
        </w:rPr>
        <w:t xml:space="preserve"> </w:t>
      </w:r>
      <w:r w:rsidRPr="004618DD">
        <w:rPr>
          <w:rStyle w:val="Emphasis"/>
          <w:rFonts w:ascii="Arial" w:eastAsiaTheme="majorEastAsia" w:hAnsi="Arial" w:cs="Arial"/>
          <w:sz w:val="22"/>
          <w:szCs w:val="22"/>
        </w:rPr>
        <w:t>NHS Long Term Workforce Plan.</w:t>
      </w:r>
      <w:r w:rsidRPr="004618DD">
        <w:rPr>
          <w:rFonts w:ascii="Arial" w:hAnsi="Arial" w:cs="Arial"/>
          <w:sz w:val="22"/>
          <w:szCs w:val="22"/>
        </w:rPr>
        <w:t xml:space="preserve"> Available at: </w:t>
      </w:r>
      <w:hyperlink r:id="rId34" w:tgtFrame="_new" w:history="1">
        <w:r w:rsidRPr="004618DD">
          <w:rPr>
            <w:rStyle w:val="Hyperlink"/>
            <w:rFonts w:ascii="Arial" w:eastAsiaTheme="majorEastAsia" w:hAnsi="Arial" w:cs="Arial"/>
            <w:sz w:val="22"/>
            <w:szCs w:val="22"/>
          </w:rPr>
          <w:t>https://www.england.nhs.uk/publication/nhs-long-term-workforce-plan/</w:t>
        </w:r>
      </w:hyperlink>
      <w:r w:rsidRPr="004618DD">
        <w:rPr>
          <w:rFonts w:ascii="Arial" w:hAnsi="Arial" w:cs="Arial"/>
          <w:sz w:val="22"/>
          <w:szCs w:val="22"/>
        </w:rPr>
        <w:t>.</w:t>
      </w:r>
      <w:r w:rsidR="00337BCC" w:rsidRPr="00337BCC">
        <w:rPr>
          <w:rFonts w:ascii="Arial" w:hAnsi="Arial" w:cs="Arial"/>
          <w:sz w:val="22"/>
          <w:szCs w:val="22"/>
        </w:rPr>
        <w:t>(Accessed: 2</w:t>
      </w:r>
      <w:r w:rsidR="00457220">
        <w:rPr>
          <w:rFonts w:ascii="Arial" w:hAnsi="Arial" w:cs="Arial"/>
          <w:sz w:val="22"/>
          <w:szCs w:val="22"/>
        </w:rPr>
        <w:t xml:space="preserve">2 </w:t>
      </w:r>
      <w:r w:rsidR="00337BCC" w:rsidRPr="00337BCC">
        <w:rPr>
          <w:rFonts w:ascii="Arial" w:hAnsi="Arial" w:cs="Arial"/>
          <w:sz w:val="22"/>
          <w:szCs w:val="22"/>
        </w:rPr>
        <w:t>November 2025).</w:t>
      </w:r>
    </w:p>
    <w:p w14:paraId="6E1F407B" w14:textId="517C30BF"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NICE (2018)</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Assessment, Management and Support.</w:t>
      </w:r>
      <w:r w:rsidRPr="004618DD">
        <w:rPr>
          <w:rFonts w:ascii="Arial" w:hAnsi="Arial" w:cs="Arial"/>
          <w:sz w:val="22"/>
          <w:szCs w:val="22"/>
        </w:rPr>
        <w:t xml:space="preserve"> Available at: </w:t>
      </w:r>
      <w:hyperlink r:id="rId35" w:tgtFrame="_new" w:history="1">
        <w:r w:rsidRPr="004618DD">
          <w:rPr>
            <w:rStyle w:val="Hyperlink"/>
            <w:rFonts w:ascii="Arial" w:eastAsiaTheme="majorEastAsia" w:hAnsi="Arial" w:cs="Arial"/>
            <w:sz w:val="22"/>
            <w:szCs w:val="22"/>
          </w:rPr>
          <w:t>https://www.nice.org.uk/guidance/ng97</w:t>
        </w:r>
      </w:hyperlink>
      <w:r w:rsidRPr="004618DD">
        <w:rPr>
          <w:rFonts w:ascii="Arial" w:hAnsi="Arial" w:cs="Arial"/>
          <w:sz w:val="22"/>
          <w:szCs w:val="22"/>
        </w:rPr>
        <w:t>.</w:t>
      </w:r>
      <w:r w:rsidR="00337BCC" w:rsidRPr="00337BCC">
        <w:rPr>
          <w:rFonts w:ascii="Arial" w:hAnsi="Arial" w:cs="Arial"/>
          <w:sz w:val="22"/>
          <w:szCs w:val="22"/>
        </w:rPr>
        <w:t>(Accessed: 2</w:t>
      </w:r>
      <w:r w:rsidR="00457220">
        <w:rPr>
          <w:rFonts w:ascii="Arial" w:hAnsi="Arial" w:cs="Arial"/>
          <w:sz w:val="22"/>
          <w:szCs w:val="22"/>
        </w:rPr>
        <w:t>6</w:t>
      </w:r>
      <w:r w:rsidR="00337BCC" w:rsidRPr="00337BCC">
        <w:rPr>
          <w:rFonts w:ascii="Arial" w:hAnsi="Arial" w:cs="Arial"/>
          <w:sz w:val="22"/>
          <w:szCs w:val="22"/>
        </w:rPr>
        <w:t xml:space="preserve"> November 2025).</w:t>
      </w:r>
    </w:p>
    <w:p w14:paraId="3FF99CE7" w14:textId="1DFF45DC"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ONS (2020)</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state life expectancies, UK QMI: 2020 to 2022.</w:t>
      </w:r>
      <w:r w:rsidRPr="004618DD">
        <w:rPr>
          <w:rFonts w:ascii="Arial" w:hAnsi="Arial" w:cs="Arial"/>
          <w:sz w:val="22"/>
          <w:szCs w:val="22"/>
        </w:rPr>
        <w:t xml:space="preserve"> Available at: </w:t>
      </w:r>
      <w:hyperlink r:id="rId36" w:tgtFrame="_new" w:history="1">
        <w:r w:rsidRPr="004618DD">
          <w:rPr>
            <w:rStyle w:val="Hyperlink"/>
            <w:rFonts w:ascii="Arial" w:eastAsiaTheme="majorEastAsia" w:hAnsi="Arial" w:cs="Arial"/>
            <w:sz w:val="22"/>
            <w:szCs w:val="22"/>
          </w:rPr>
          <w:t>https://www.ons.gov.uk/peoplepopulationandcommunity/healthandsocialcare/healthandlifeexpectancies/methodologies/healthstatelifeexpectanciesukqmi2020to2022</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7</w:t>
      </w:r>
      <w:r w:rsidR="00ED158A" w:rsidRPr="00ED158A">
        <w:rPr>
          <w:rFonts w:ascii="Arial" w:hAnsi="Arial" w:cs="Arial"/>
          <w:sz w:val="22"/>
          <w:szCs w:val="22"/>
        </w:rPr>
        <w:t xml:space="preserve"> November 2025).</w:t>
      </w:r>
    </w:p>
    <w:p w14:paraId="66052B3F" w14:textId="454D2EDC"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Oup.com (2025)</w:t>
      </w:r>
      <w:r w:rsidRPr="004618DD">
        <w:rPr>
          <w:rFonts w:ascii="Arial" w:hAnsi="Arial" w:cs="Arial"/>
          <w:sz w:val="22"/>
          <w:szCs w:val="22"/>
        </w:rPr>
        <w:t xml:space="preserve"> </w:t>
      </w:r>
      <w:r w:rsidRPr="004618DD">
        <w:rPr>
          <w:rStyle w:val="Emphasis"/>
          <w:rFonts w:ascii="Arial" w:eastAsiaTheme="majorEastAsia" w:hAnsi="Arial" w:cs="Arial"/>
          <w:sz w:val="22"/>
          <w:szCs w:val="22"/>
        </w:rPr>
        <w:t>Welcome to Zscaler Directory Authentication.</w:t>
      </w:r>
      <w:r w:rsidRPr="004618DD">
        <w:rPr>
          <w:rFonts w:ascii="Arial" w:hAnsi="Arial" w:cs="Arial"/>
          <w:sz w:val="22"/>
          <w:szCs w:val="22"/>
        </w:rPr>
        <w:t xml:space="preserve"> Available at: </w:t>
      </w:r>
      <w:hyperlink r:id="rId37" w:tgtFrame="_new" w:history="1">
        <w:r w:rsidRPr="004618DD">
          <w:rPr>
            <w:rStyle w:val="Hyperlink"/>
            <w:rFonts w:ascii="Arial" w:eastAsiaTheme="majorEastAsia" w:hAnsi="Arial" w:cs="Arial"/>
            <w:sz w:val="22"/>
            <w:szCs w:val="22"/>
          </w:rPr>
          <w:t>https://academic.oup.com/ageing/article-abstract/38/2/181/16523</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8</w:t>
      </w:r>
      <w:r w:rsidR="00ED158A" w:rsidRPr="00ED158A">
        <w:rPr>
          <w:rFonts w:ascii="Arial" w:hAnsi="Arial" w:cs="Arial"/>
          <w:sz w:val="22"/>
          <w:szCs w:val="22"/>
        </w:rPr>
        <w:t xml:space="preserve"> November 2025).</w:t>
      </w:r>
    </w:p>
    <w:p w14:paraId="6F590E37" w14:textId="31BD9761"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Paudyal, P., Wasim, A., Majeed-Hajaj, S., Magar, N.K., Sharp, R., Skinner, E., Sharma, A., Hughes, L., Keeling, D.I., Armes, J., Kulasabanathan, K., Canvin, K., Gaihre, S. &amp; Cassell, J. (2025)</w:t>
      </w:r>
      <w:r w:rsidRPr="004618DD">
        <w:rPr>
          <w:rFonts w:ascii="Arial" w:hAnsi="Arial" w:cs="Arial"/>
          <w:sz w:val="22"/>
          <w:szCs w:val="22"/>
        </w:rPr>
        <w:t xml:space="preserve"> ‘Coproducing COVID-19 health resources with older adults’, </w:t>
      </w:r>
      <w:r w:rsidRPr="004618DD">
        <w:rPr>
          <w:rStyle w:val="Emphasis"/>
          <w:rFonts w:ascii="Arial" w:eastAsiaTheme="majorEastAsia" w:hAnsi="Arial" w:cs="Arial"/>
          <w:sz w:val="22"/>
          <w:szCs w:val="22"/>
        </w:rPr>
        <w:t>Health Expectations</w:t>
      </w:r>
      <w:r w:rsidRPr="004618DD">
        <w:rPr>
          <w:rFonts w:ascii="Arial" w:hAnsi="Arial" w:cs="Arial"/>
          <w:sz w:val="22"/>
          <w:szCs w:val="22"/>
        </w:rPr>
        <w:t>, 28(4), p. 12.</w:t>
      </w:r>
      <w:r w:rsidR="00457220">
        <w:rPr>
          <w:rFonts w:ascii="Arial" w:hAnsi="Arial" w:cs="Arial"/>
          <w:sz w:val="22"/>
          <w:szCs w:val="22"/>
        </w:rPr>
        <w:t xml:space="preserve"> </w:t>
      </w:r>
      <w:r w:rsidR="00ED158A" w:rsidRPr="00ED158A">
        <w:rPr>
          <w:rFonts w:ascii="Arial" w:hAnsi="Arial" w:cs="Arial"/>
          <w:sz w:val="22"/>
          <w:szCs w:val="22"/>
        </w:rPr>
        <w:t>(Accessed: 2</w:t>
      </w:r>
      <w:r w:rsidR="00457220">
        <w:rPr>
          <w:rFonts w:ascii="Arial" w:hAnsi="Arial" w:cs="Arial"/>
          <w:sz w:val="22"/>
          <w:szCs w:val="22"/>
        </w:rPr>
        <w:t>2</w:t>
      </w:r>
      <w:r w:rsidR="00ED158A" w:rsidRPr="00ED158A">
        <w:rPr>
          <w:rFonts w:ascii="Arial" w:hAnsi="Arial" w:cs="Arial"/>
          <w:sz w:val="22"/>
          <w:szCs w:val="22"/>
        </w:rPr>
        <w:t xml:space="preserve"> November 2025).</w:t>
      </w:r>
    </w:p>
    <w:p w14:paraId="46833743" w14:textId="0B105473"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Park, E. &amp; Yoon, M.G. (2025)</w:t>
      </w:r>
      <w:r w:rsidRPr="004618DD">
        <w:rPr>
          <w:rFonts w:ascii="Arial" w:hAnsi="Arial" w:cs="Arial"/>
          <w:sz w:val="22"/>
          <w:szCs w:val="22"/>
        </w:rPr>
        <w:t xml:space="preserve"> ‘Subjective oral health among older adults living alone’, </w:t>
      </w:r>
      <w:r w:rsidRPr="004618DD">
        <w:rPr>
          <w:rStyle w:val="Emphasis"/>
          <w:rFonts w:ascii="Arial" w:eastAsiaTheme="majorEastAsia" w:hAnsi="Arial" w:cs="Arial"/>
          <w:sz w:val="22"/>
          <w:szCs w:val="22"/>
        </w:rPr>
        <w:t>BMC Public Health</w:t>
      </w:r>
      <w:r w:rsidRPr="004618DD">
        <w:rPr>
          <w:rFonts w:ascii="Arial" w:hAnsi="Arial" w:cs="Arial"/>
          <w:sz w:val="22"/>
          <w:szCs w:val="22"/>
        </w:rPr>
        <w:t>, 25, pp. 1–10.</w:t>
      </w:r>
      <w:r w:rsidR="00457220">
        <w:rPr>
          <w:rFonts w:ascii="Arial" w:hAnsi="Arial" w:cs="Arial"/>
          <w:sz w:val="22"/>
          <w:szCs w:val="22"/>
        </w:rPr>
        <w:t xml:space="preserve"> </w:t>
      </w:r>
      <w:r w:rsidR="00ED158A" w:rsidRPr="00ED158A">
        <w:rPr>
          <w:rFonts w:ascii="Arial" w:hAnsi="Arial" w:cs="Arial"/>
          <w:sz w:val="22"/>
          <w:szCs w:val="22"/>
        </w:rPr>
        <w:t>(Accessed: 2</w:t>
      </w:r>
      <w:r w:rsidR="00457220">
        <w:rPr>
          <w:rFonts w:ascii="Arial" w:hAnsi="Arial" w:cs="Arial"/>
          <w:sz w:val="22"/>
          <w:szCs w:val="22"/>
        </w:rPr>
        <w:t>3</w:t>
      </w:r>
      <w:r w:rsidR="00ED158A" w:rsidRPr="00ED158A">
        <w:rPr>
          <w:rFonts w:ascii="Arial" w:hAnsi="Arial" w:cs="Arial"/>
          <w:sz w:val="22"/>
          <w:szCs w:val="22"/>
        </w:rPr>
        <w:t xml:space="preserve"> November 2025).</w:t>
      </w:r>
    </w:p>
    <w:p w14:paraId="32EBD2BE" w14:textId="4ECDC73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lastRenderedPageBreak/>
        <w:t>Public Health England (2018)</w:t>
      </w:r>
      <w:r w:rsidRPr="004618DD">
        <w:rPr>
          <w:rFonts w:ascii="Arial" w:hAnsi="Arial" w:cs="Arial"/>
          <w:sz w:val="22"/>
          <w:szCs w:val="22"/>
        </w:rPr>
        <w:t xml:space="preserve"> </w:t>
      </w:r>
      <w:r w:rsidRPr="004618DD">
        <w:rPr>
          <w:rStyle w:val="Emphasis"/>
          <w:rFonts w:ascii="Arial" w:eastAsiaTheme="majorEastAsia" w:hAnsi="Arial" w:cs="Arial"/>
          <w:sz w:val="22"/>
          <w:szCs w:val="22"/>
        </w:rPr>
        <w:t>Public Health Profiles.</w:t>
      </w:r>
      <w:r w:rsidRPr="004618DD">
        <w:rPr>
          <w:rFonts w:ascii="Arial" w:hAnsi="Arial" w:cs="Arial"/>
          <w:sz w:val="22"/>
          <w:szCs w:val="22"/>
        </w:rPr>
        <w:t xml:space="preserve"> Available at: </w:t>
      </w:r>
      <w:hyperlink r:id="rId38" w:tgtFrame="_new" w:history="1">
        <w:r w:rsidRPr="004618DD">
          <w:rPr>
            <w:rStyle w:val="Hyperlink"/>
            <w:rFonts w:ascii="Arial" w:eastAsiaTheme="majorEastAsia" w:hAnsi="Arial" w:cs="Arial"/>
            <w:sz w:val="22"/>
            <w:szCs w:val="22"/>
          </w:rPr>
          <w:t>https://fingertips.phe.org.uk/profile/health-profiles</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7</w:t>
      </w:r>
      <w:r w:rsidR="00ED158A" w:rsidRPr="00ED158A">
        <w:rPr>
          <w:rFonts w:ascii="Arial" w:hAnsi="Arial" w:cs="Arial"/>
          <w:sz w:val="22"/>
          <w:szCs w:val="22"/>
        </w:rPr>
        <w:t xml:space="preserve"> November 2025).</w:t>
      </w:r>
    </w:p>
    <w:p w14:paraId="1C008EDA" w14:textId="6954394E"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Public Health England (2019)</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Profile for England: 2019.</w:t>
      </w:r>
      <w:r w:rsidRPr="004618DD">
        <w:rPr>
          <w:rFonts w:ascii="Arial" w:hAnsi="Arial" w:cs="Arial"/>
          <w:sz w:val="22"/>
          <w:szCs w:val="22"/>
        </w:rPr>
        <w:t xml:space="preserve"> Available at: </w:t>
      </w:r>
      <w:hyperlink r:id="rId39" w:tgtFrame="_new" w:history="1">
        <w:r w:rsidRPr="004618DD">
          <w:rPr>
            <w:rStyle w:val="Hyperlink"/>
            <w:rFonts w:ascii="Arial" w:eastAsiaTheme="majorEastAsia" w:hAnsi="Arial" w:cs="Arial"/>
            <w:sz w:val="22"/>
            <w:szCs w:val="22"/>
          </w:rPr>
          <w:t>https://www.gov.uk/government/publications/health-profile-for-england-2019</w:t>
        </w:r>
      </w:hyperlink>
      <w:r w:rsidRPr="004618DD">
        <w:rPr>
          <w:rFonts w:ascii="Arial" w:hAnsi="Arial" w:cs="Arial"/>
          <w:sz w:val="22"/>
          <w:szCs w:val="22"/>
        </w:rPr>
        <w:t>.</w:t>
      </w:r>
      <w:r w:rsidR="00ED158A" w:rsidRPr="00ED158A">
        <w:rPr>
          <w:rFonts w:ascii="Arial" w:hAnsi="Arial" w:cs="Arial"/>
          <w:sz w:val="22"/>
          <w:szCs w:val="22"/>
        </w:rPr>
        <w:t>(Accessed: 2</w:t>
      </w:r>
      <w:r w:rsidR="00457220">
        <w:rPr>
          <w:rFonts w:ascii="Arial" w:hAnsi="Arial" w:cs="Arial"/>
          <w:sz w:val="22"/>
          <w:szCs w:val="22"/>
        </w:rPr>
        <w:t>0</w:t>
      </w:r>
      <w:r w:rsidR="00ED158A" w:rsidRPr="00ED158A">
        <w:rPr>
          <w:rFonts w:ascii="Arial" w:hAnsi="Arial" w:cs="Arial"/>
          <w:sz w:val="22"/>
          <w:szCs w:val="22"/>
        </w:rPr>
        <w:t xml:space="preserve"> November 2025).</w:t>
      </w:r>
    </w:p>
    <w:p w14:paraId="5C751424" w14:textId="404DC980"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Rahman, M.M., Khan, H.T.A. &amp; Hafford-Letchfield, T. (2015)</w:t>
      </w:r>
      <w:r w:rsidRPr="004618DD">
        <w:rPr>
          <w:rFonts w:ascii="Arial" w:hAnsi="Arial" w:cs="Arial"/>
          <w:sz w:val="22"/>
          <w:szCs w:val="22"/>
        </w:rPr>
        <w:t xml:space="preserve"> ‘Correlates of socioeconomic status and health in older people in the UK’, </w:t>
      </w:r>
      <w:r w:rsidRPr="004618DD">
        <w:rPr>
          <w:rStyle w:val="Emphasis"/>
          <w:rFonts w:ascii="Arial" w:eastAsiaTheme="majorEastAsia" w:hAnsi="Arial" w:cs="Arial"/>
          <w:sz w:val="22"/>
          <w:szCs w:val="22"/>
        </w:rPr>
        <w:t>Illness, Crisis &amp; Loss</w:t>
      </w:r>
      <w:r w:rsidRPr="004618DD">
        <w:rPr>
          <w:rFonts w:ascii="Arial" w:hAnsi="Arial" w:cs="Arial"/>
          <w:sz w:val="22"/>
          <w:szCs w:val="22"/>
        </w:rPr>
        <w:t>, 24(4), pp. 195–216.</w:t>
      </w:r>
      <w:r w:rsidR="00F633C5">
        <w:rPr>
          <w:rFonts w:ascii="Arial" w:hAnsi="Arial" w:cs="Arial"/>
          <w:sz w:val="22"/>
          <w:szCs w:val="22"/>
        </w:rPr>
        <w:t xml:space="preserve"> </w:t>
      </w:r>
      <w:r w:rsidR="00ED158A" w:rsidRPr="00ED158A">
        <w:rPr>
          <w:rFonts w:ascii="Arial" w:hAnsi="Arial" w:cs="Arial"/>
          <w:sz w:val="22"/>
          <w:szCs w:val="22"/>
        </w:rPr>
        <w:t>(Accessed: 2</w:t>
      </w:r>
      <w:r w:rsidR="00F633C5">
        <w:rPr>
          <w:rFonts w:ascii="Arial" w:hAnsi="Arial" w:cs="Arial"/>
          <w:sz w:val="22"/>
          <w:szCs w:val="22"/>
        </w:rPr>
        <w:t>7</w:t>
      </w:r>
      <w:r w:rsidR="00ED158A" w:rsidRPr="00ED158A">
        <w:rPr>
          <w:rFonts w:ascii="Arial" w:hAnsi="Arial" w:cs="Arial"/>
          <w:sz w:val="22"/>
          <w:szCs w:val="22"/>
        </w:rPr>
        <w:t xml:space="preserve"> November 2025).</w:t>
      </w:r>
    </w:p>
    <w:p w14:paraId="129285D8" w14:textId="61B5970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Scholes, S., Biddulph, J., Davis, A. &amp; Mindell, J.S. (2018)</w:t>
      </w:r>
      <w:r w:rsidRPr="004618DD">
        <w:rPr>
          <w:rFonts w:ascii="Arial" w:hAnsi="Arial" w:cs="Arial"/>
          <w:sz w:val="22"/>
          <w:szCs w:val="22"/>
        </w:rPr>
        <w:t xml:space="preserve"> ‘Socioeconomic differences in hearing among older adults’, </w:t>
      </w:r>
      <w:r w:rsidRPr="004618DD">
        <w:rPr>
          <w:rStyle w:val="Emphasis"/>
          <w:rFonts w:ascii="Arial" w:eastAsiaTheme="majorEastAsia" w:hAnsi="Arial" w:cs="Arial"/>
          <w:sz w:val="22"/>
          <w:szCs w:val="22"/>
        </w:rPr>
        <w:t>BMJ Open</w:t>
      </w:r>
      <w:r w:rsidRPr="004618DD">
        <w:rPr>
          <w:rFonts w:ascii="Arial" w:hAnsi="Arial" w:cs="Arial"/>
          <w:sz w:val="22"/>
          <w:szCs w:val="22"/>
        </w:rPr>
        <w:t>, 8(2), e</w:t>
      </w:r>
      <w:r w:rsidR="00F633C5" w:rsidRPr="004618DD">
        <w:rPr>
          <w:rFonts w:ascii="Arial" w:hAnsi="Arial" w:cs="Arial"/>
          <w:sz w:val="22"/>
          <w:szCs w:val="22"/>
        </w:rPr>
        <w:t>019615.</w:t>
      </w:r>
      <w:r w:rsidR="00F633C5" w:rsidRPr="00ED158A">
        <w:rPr>
          <w:rFonts w:ascii="Arial" w:hAnsi="Arial" w:cs="Arial"/>
          <w:sz w:val="22"/>
          <w:szCs w:val="22"/>
        </w:rPr>
        <w:t xml:space="preserve"> (</w:t>
      </w:r>
      <w:r w:rsidR="00ED158A" w:rsidRPr="00ED158A">
        <w:rPr>
          <w:rFonts w:ascii="Arial" w:hAnsi="Arial" w:cs="Arial"/>
          <w:sz w:val="22"/>
          <w:szCs w:val="22"/>
        </w:rPr>
        <w:t>Accessed: 25 November 2025).</w:t>
      </w:r>
    </w:p>
    <w:p w14:paraId="1A255E00" w14:textId="7BCBBA7D"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Social Care Institute for Excellence (2015)</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 – SCIE.</w:t>
      </w:r>
      <w:r w:rsidRPr="004618DD">
        <w:rPr>
          <w:rFonts w:ascii="Arial" w:hAnsi="Arial" w:cs="Arial"/>
          <w:sz w:val="22"/>
          <w:szCs w:val="22"/>
        </w:rPr>
        <w:t xml:space="preserve"> Available at: </w:t>
      </w:r>
      <w:hyperlink r:id="rId40" w:tgtFrame="_new" w:history="1">
        <w:r w:rsidRPr="004618DD">
          <w:rPr>
            <w:rStyle w:val="Hyperlink"/>
            <w:rFonts w:ascii="Arial" w:eastAsiaTheme="majorEastAsia" w:hAnsi="Arial" w:cs="Arial"/>
            <w:sz w:val="22"/>
            <w:szCs w:val="22"/>
          </w:rPr>
          <w:t>https://www.scie.org.uk/dementia/</w:t>
        </w:r>
      </w:hyperlink>
      <w:r w:rsidRPr="004618DD">
        <w:rPr>
          <w:rFonts w:ascii="Arial" w:hAnsi="Arial" w:cs="Arial"/>
          <w:sz w:val="22"/>
          <w:szCs w:val="22"/>
        </w:rPr>
        <w:t>.</w:t>
      </w:r>
      <w:r w:rsidR="00ED158A" w:rsidRPr="00ED158A">
        <w:rPr>
          <w:rFonts w:ascii="Arial" w:hAnsi="Arial" w:cs="Arial"/>
          <w:sz w:val="22"/>
          <w:szCs w:val="22"/>
        </w:rPr>
        <w:t>(Accessed: 2</w:t>
      </w:r>
      <w:r w:rsidR="00F633C5">
        <w:rPr>
          <w:rFonts w:ascii="Arial" w:hAnsi="Arial" w:cs="Arial"/>
          <w:sz w:val="22"/>
          <w:szCs w:val="22"/>
        </w:rPr>
        <w:t>5</w:t>
      </w:r>
      <w:r w:rsidR="00ED158A" w:rsidRPr="00ED158A">
        <w:rPr>
          <w:rFonts w:ascii="Arial" w:hAnsi="Arial" w:cs="Arial"/>
          <w:sz w:val="22"/>
          <w:szCs w:val="22"/>
        </w:rPr>
        <w:t xml:space="preserve"> November 2025).</w:t>
      </w:r>
    </w:p>
    <w:p w14:paraId="2693F820" w14:textId="09F9D123" w:rsidR="00081773"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UK (2025)</w:t>
      </w:r>
      <w:r w:rsidRPr="004618DD">
        <w:rPr>
          <w:rFonts w:ascii="Arial" w:hAnsi="Arial" w:cs="Arial"/>
          <w:sz w:val="22"/>
          <w:szCs w:val="22"/>
        </w:rPr>
        <w:t xml:space="preserve"> </w:t>
      </w:r>
      <w:r w:rsidRPr="004618DD">
        <w:rPr>
          <w:rStyle w:val="Emphasis"/>
          <w:rFonts w:ascii="Arial" w:eastAsiaTheme="majorEastAsia" w:hAnsi="Arial" w:cs="Arial"/>
          <w:sz w:val="22"/>
          <w:szCs w:val="22"/>
        </w:rPr>
        <w:t>Health inequalities in health protection report.</w:t>
      </w:r>
      <w:r w:rsidRPr="004618DD">
        <w:rPr>
          <w:rFonts w:ascii="Arial" w:hAnsi="Arial" w:cs="Arial"/>
          <w:sz w:val="22"/>
          <w:szCs w:val="22"/>
        </w:rPr>
        <w:t xml:space="preserve"> Available at: </w:t>
      </w:r>
      <w:hyperlink r:id="rId41" w:tgtFrame="_new" w:history="1">
        <w:r w:rsidRPr="004618DD">
          <w:rPr>
            <w:rStyle w:val="Hyperlink"/>
            <w:rFonts w:ascii="Arial" w:eastAsiaTheme="majorEastAsia" w:hAnsi="Arial" w:cs="Arial"/>
            <w:sz w:val="22"/>
            <w:szCs w:val="22"/>
          </w:rPr>
          <w:t>https://www.gov.uk/government/publications/health-inequalities-in-health-protection-report</w:t>
        </w:r>
      </w:hyperlink>
      <w:r w:rsidRPr="004618DD">
        <w:rPr>
          <w:rFonts w:ascii="Arial" w:hAnsi="Arial" w:cs="Arial"/>
          <w:sz w:val="22"/>
          <w:szCs w:val="22"/>
        </w:rPr>
        <w:t>.</w:t>
      </w:r>
      <w:r w:rsidR="00ED158A" w:rsidRPr="00ED158A">
        <w:rPr>
          <w:rFonts w:ascii="Arial" w:hAnsi="Arial" w:cs="Arial"/>
          <w:sz w:val="22"/>
          <w:szCs w:val="22"/>
        </w:rPr>
        <w:t>(Accessed: 2</w:t>
      </w:r>
      <w:r w:rsidR="00F633C5">
        <w:rPr>
          <w:rFonts w:ascii="Arial" w:hAnsi="Arial" w:cs="Arial"/>
          <w:sz w:val="22"/>
          <w:szCs w:val="22"/>
        </w:rPr>
        <w:t>2</w:t>
      </w:r>
      <w:r w:rsidR="00ED158A" w:rsidRPr="00ED158A">
        <w:rPr>
          <w:rFonts w:ascii="Arial" w:hAnsi="Arial" w:cs="Arial"/>
          <w:sz w:val="22"/>
          <w:szCs w:val="22"/>
        </w:rPr>
        <w:t xml:space="preserve"> November 2025).</w:t>
      </w:r>
    </w:p>
    <w:p w14:paraId="1102E6EB" w14:textId="627FBBEB" w:rsidR="00FA1431" w:rsidRDefault="00FA1431" w:rsidP="004618DD">
      <w:pPr>
        <w:pStyle w:val="NormalWeb"/>
        <w:spacing w:line="360" w:lineRule="auto"/>
        <w:rPr>
          <w:rFonts w:ascii="Arial" w:hAnsi="Arial" w:cs="Arial"/>
          <w:sz w:val="22"/>
          <w:szCs w:val="22"/>
        </w:rPr>
      </w:pPr>
      <w:r w:rsidRPr="00FA1431">
        <w:rPr>
          <w:rFonts w:ascii="Arial" w:hAnsi="Arial" w:cs="Arial"/>
          <w:sz w:val="22"/>
          <w:szCs w:val="22"/>
        </w:rPr>
        <w:t xml:space="preserve">UK Government (2010) </w:t>
      </w:r>
      <w:r w:rsidRPr="00FA1431">
        <w:rPr>
          <w:rFonts w:ascii="Arial" w:hAnsi="Arial" w:cs="Arial"/>
          <w:i/>
          <w:iCs/>
          <w:sz w:val="22"/>
          <w:szCs w:val="22"/>
        </w:rPr>
        <w:t>Equality Act 2010</w:t>
      </w:r>
      <w:r w:rsidRPr="00FA1431">
        <w:rPr>
          <w:rFonts w:ascii="Arial" w:hAnsi="Arial" w:cs="Arial"/>
          <w:sz w:val="22"/>
          <w:szCs w:val="22"/>
        </w:rPr>
        <w:t xml:space="preserve">. Available at: </w:t>
      </w:r>
      <w:hyperlink r:id="rId42" w:tgtFrame="_new" w:history="1">
        <w:r w:rsidRPr="00FA1431">
          <w:rPr>
            <w:rStyle w:val="Hyperlink"/>
            <w:rFonts w:ascii="Arial" w:hAnsi="Arial" w:cs="Arial"/>
            <w:sz w:val="22"/>
            <w:szCs w:val="22"/>
          </w:rPr>
          <w:t>https://www.legislation.gov.uk/ukpga/2010/15/contents</w:t>
        </w:r>
      </w:hyperlink>
      <w:r w:rsidRPr="00FA1431">
        <w:rPr>
          <w:rFonts w:ascii="Arial" w:hAnsi="Arial" w:cs="Arial"/>
          <w:sz w:val="22"/>
          <w:szCs w:val="22"/>
        </w:rPr>
        <w:t xml:space="preserve"> (Accessed: 29 November 2025).</w:t>
      </w:r>
    </w:p>
    <w:p w14:paraId="63D3B4CF" w14:textId="2AA89235" w:rsidR="009C5BDF" w:rsidRPr="009C5BDF" w:rsidRDefault="009C5BDF" w:rsidP="009C5BDF">
      <w:pPr>
        <w:pStyle w:val="NormalWeb"/>
        <w:spacing w:line="360" w:lineRule="auto"/>
        <w:rPr>
          <w:rFonts w:ascii="Arial" w:hAnsi="Arial" w:cs="Arial"/>
        </w:rPr>
      </w:pPr>
      <w:r w:rsidRPr="009C5BDF">
        <w:rPr>
          <w:rFonts w:ascii="Arial" w:hAnsi="Arial" w:cs="Arial"/>
        </w:rPr>
        <w:t xml:space="preserve">UK Government (1998) </w:t>
      </w:r>
      <w:r w:rsidRPr="009C5BDF">
        <w:rPr>
          <w:rFonts w:ascii="Arial" w:hAnsi="Arial" w:cs="Arial"/>
          <w:i/>
          <w:iCs/>
        </w:rPr>
        <w:t>Human Rights Act 1998</w:t>
      </w:r>
      <w:r w:rsidRPr="009C5BDF">
        <w:rPr>
          <w:rFonts w:ascii="Arial" w:hAnsi="Arial" w:cs="Arial"/>
        </w:rPr>
        <w:t xml:space="preserve">. Available at: </w:t>
      </w:r>
      <w:hyperlink r:id="rId43" w:tgtFrame="_new" w:history="1">
        <w:r w:rsidRPr="009C5BDF">
          <w:rPr>
            <w:rStyle w:val="Hyperlink"/>
            <w:rFonts w:ascii="Arial" w:hAnsi="Arial" w:cs="Arial"/>
          </w:rPr>
          <w:t>https://www.legislation.gov.uk/ukpga/1998/42/contents</w:t>
        </w:r>
      </w:hyperlink>
      <w:r w:rsidRPr="009C5BDF">
        <w:rPr>
          <w:rFonts w:ascii="Arial" w:hAnsi="Arial" w:cs="Arial"/>
        </w:rPr>
        <w:t xml:space="preserve"> (Accessed: 29 November 2025).</w:t>
      </w:r>
    </w:p>
    <w:p w14:paraId="1AB890B6" w14:textId="521C4487" w:rsidR="009C5BDF" w:rsidRPr="009C5BDF" w:rsidRDefault="009C5BDF" w:rsidP="004618DD">
      <w:pPr>
        <w:pStyle w:val="NormalWeb"/>
        <w:spacing w:line="360" w:lineRule="auto"/>
        <w:rPr>
          <w:rFonts w:ascii="Arial" w:hAnsi="Arial" w:cs="Arial"/>
        </w:rPr>
      </w:pPr>
      <w:r w:rsidRPr="009C5BDF">
        <w:rPr>
          <w:rFonts w:ascii="Arial" w:hAnsi="Arial" w:cs="Arial"/>
        </w:rPr>
        <w:t xml:space="preserve">UK Government (2014) </w:t>
      </w:r>
      <w:r w:rsidRPr="009C5BDF">
        <w:rPr>
          <w:rFonts w:ascii="Arial" w:hAnsi="Arial" w:cs="Arial"/>
          <w:i/>
          <w:iCs/>
        </w:rPr>
        <w:t>Care Act 2014</w:t>
      </w:r>
      <w:r w:rsidRPr="009C5BDF">
        <w:rPr>
          <w:rFonts w:ascii="Arial" w:hAnsi="Arial" w:cs="Arial"/>
        </w:rPr>
        <w:t xml:space="preserve">. Available at: </w:t>
      </w:r>
      <w:hyperlink r:id="rId44" w:tgtFrame="_new" w:history="1">
        <w:r w:rsidRPr="009C5BDF">
          <w:rPr>
            <w:rStyle w:val="Hyperlink"/>
            <w:rFonts w:ascii="Arial" w:hAnsi="Arial" w:cs="Arial"/>
          </w:rPr>
          <w:t>https://www.legislation.gov.uk/ukpga/2014/23/contents</w:t>
        </w:r>
      </w:hyperlink>
      <w:r w:rsidRPr="009C5BDF">
        <w:rPr>
          <w:rFonts w:ascii="Arial" w:hAnsi="Arial" w:cs="Arial"/>
        </w:rPr>
        <w:t xml:space="preserve"> (Accessed: 29 November 2025).</w:t>
      </w:r>
    </w:p>
    <w:p w14:paraId="15A29A1A" w14:textId="4E7E4665"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Watkinson, R.E., Sutton, M. &amp; Turner, A.J. (2021)</w:t>
      </w:r>
      <w:r w:rsidRPr="004618DD">
        <w:rPr>
          <w:rFonts w:ascii="Arial" w:hAnsi="Arial" w:cs="Arial"/>
          <w:sz w:val="22"/>
          <w:szCs w:val="22"/>
        </w:rPr>
        <w:t xml:space="preserve"> ‘Ethnic inequalities in health-related quality of life in older adults in England’, </w:t>
      </w:r>
      <w:r w:rsidRPr="004618DD">
        <w:rPr>
          <w:rStyle w:val="Emphasis"/>
          <w:rFonts w:ascii="Arial" w:eastAsiaTheme="majorEastAsia" w:hAnsi="Arial" w:cs="Arial"/>
          <w:sz w:val="22"/>
          <w:szCs w:val="22"/>
        </w:rPr>
        <w:t>The Lancet Public Health</w:t>
      </w:r>
      <w:r w:rsidRPr="004618DD">
        <w:rPr>
          <w:rFonts w:ascii="Arial" w:hAnsi="Arial" w:cs="Arial"/>
          <w:sz w:val="22"/>
          <w:szCs w:val="22"/>
        </w:rPr>
        <w:t>, 6(3).</w:t>
      </w:r>
      <w:r w:rsidRPr="004618DD">
        <w:rPr>
          <w:rFonts w:ascii="Arial" w:hAnsi="Arial" w:cs="Arial"/>
          <w:sz w:val="22"/>
          <w:szCs w:val="22"/>
        </w:rPr>
        <w:br/>
      </w:r>
      <w:hyperlink r:id="rId45" w:tgtFrame="_new" w:history="1">
        <w:r w:rsidRPr="004618DD">
          <w:rPr>
            <w:rStyle w:val="Hyperlink"/>
            <w:rFonts w:ascii="Arial" w:eastAsiaTheme="majorEastAsia" w:hAnsi="Arial" w:cs="Arial"/>
            <w:sz w:val="22"/>
            <w:szCs w:val="22"/>
          </w:rPr>
          <w:t>https://doi.org/10.1016/S2468-2667(20)30287-5</w:t>
        </w:r>
      </w:hyperlink>
      <w:r w:rsidRPr="004618DD">
        <w:rPr>
          <w:rFonts w:ascii="Arial" w:hAnsi="Arial" w:cs="Arial"/>
          <w:sz w:val="22"/>
          <w:szCs w:val="22"/>
        </w:rPr>
        <w:t>.</w:t>
      </w:r>
      <w:r w:rsidR="00ED158A" w:rsidRPr="00ED158A">
        <w:rPr>
          <w:rFonts w:ascii="Arial" w:hAnsi="Arial" w:cs="Arial"/>
          <w:sz w:val="22"/>
          <w:szCs w:val="22"/>
        </w:rPr>
        <w:t>(Accessed: 2</w:t>
      </w:r>
      <w:r w:rsidR="00F633C5">
        <w:rPr>
          <w:rFonts w:ascii="Arial" w:hAnsi="Arial" w:cs="Arial"/>
          <w:sz w:val="22"/>
          <w:szCs w:val="22"/>
        </w:rPr>
        <w:t>1</w:t>
      </w:r>
      <w:r w:rsidR="00ED158A" w:rsidRPr="00ED158A">
        <w:rPr>
          <w:rFonts w:ascii="Arial" w:hAnsi="Arial" w:cs="Arial"/>
          <w:sz w:val="22"/>
          <w:szCs w:val="22"/>
        </w:rPr>
        <w:t xml:space="preserve"> November 2025).</w:t>
      </w:r>
    </w:p>
    <w:p w14:paraId="19FE8CF2" w14:textId="469CEB4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Westwood, S., Willis, P., Fish, J., Hafford-Letchfield, T., Semlyen, J., King, A., Beach, B., Almack, K., Kneale, D., Toze, M. &amp; Becares, L. (2020)</w:t>
      </w:r>
      <w:r w:rsidRPr="004618DD">
        <w:rPr>
          <w:rFonts w:ascii="Arial" w:hAnsi="Arial" w:cs="Arial"/>
          <w:sz w:val="22"/>
          <w:szCs w:val="22"/>
        </w:rPr>
        <w:t xml:space="preserve"> ‘Older LGBT+ health inequalities in </w:t>
      </w:r>
      <w:r w:rsidRPr="004618DD">
        <w:rPr>
          <w:rFonts w:ascii="Arial" w:hAnsi="Arial" w:cs="Arial"/>
          <w:sz w:val="22"/>
          <w:szCs w:val="22"/>
        </w:rPr>
        <w:lastRenderedPageBreak/>
        <w:t xml:space="preserve">the UK’, </w:t>
      </w:r>
      <w:r w:rsidRPr="004618DD">
        <w:rPr>
          <w:rStyle w:val="Emphasis"/>
          <w:rFonts w:ascii="Arial" w:eastAsiaTheme="majorEastAsia" w:hAnsi="Arial" w:cs="Arial"/>
          <w:sz w:val="22"/>
          <w:szCs w:val="22"/>
        </w:rPr>
        <w:t>Journal of Epidemiology and Community Health</w:t>
      </w:r>
      <w:r w:rsidRPr="004618DD">
        <w:rPr>
          <w:rFonts w:ascii="Arial" w:hAnsi="Arial" w:cs="Arial"/>
          <w:sz w:val="22"/>
          <w:szCs w:val="22"/>
        </w:rPr>
        <w:t>, 74(5), pp. 408–411.</w:t>
      </w:r>
      <w:r w:rsidR="00F633C5">
        <w:rPr>
          <w:rFonts w:ascii="Arial" w:hAnsi="Arial" w:cs="Arial"/>
          <w:sz w:val="22"/>
          <w:szCs w:val="22"/>
        </w:rPr>
        <w:t xml:space="preserve"> </w:t>
      </w:r>
      <w:r w:rsidR="00ED158A" w:rsidRPr="00ED158A">
        <w:rPr>
          <w:rFonts w:ascii="Arial" w:hAnsi="Arial" w:cs="Arial"/>
          <w:sz w:val="22"/>
          <w:szCs w:val="22"/>
        </w:rPr>
        <w:t xml:space="preserve">(Accessed: </w:t>
      </w:r>
      <w:r w:rsidR="00F633C5">
        <w:rPr>
          <w:rFonts w:ascii="Arial" w:hAnsi="Arial" w:cs="Arial"/>
          <w:sz w:val="22"/>
          <w:szCs w:val="22"/>
        </w:rPr>
        <w:t>18</w:t>
      </w:r>
      <w:r w:rsidR="00ED158A" w:rsidRPr="00ED158A">
        <w:rPr>
          <w:rFonts w:ascii="Arial" w:hAnsi="Arial" w:cs="Arial"/>
          <w:sz w:val="22"/>
          <w:szCs w:val="22"/>
        </w:rPr>
        <w:t xml:space="preserve"> November 2025).</w:t>
      </w:r>
    </w:p>
    <w:p w14:paraId="5571EDEA" w14:textId="36F7B039"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WHO (2019)</w:t>
      </w:r>
      <w:r w:rsidRPr="004618DD">
        <w:rPr>
          <w:rFonts w:ascii="Arial" w:hAnsi="Arial" w:cs="Arial"/>
          <w:sz w:val="22"/>
          <w:szCs w:val="22"/>
        </w:rPr>
        <w:t xml:space="preserve"> </w:t>
      </w:r>
      <w:r w:rsidRPr="004618DD">
        <w:rPr>
          <w:rStyle w:val="Emphasis"/>
          <w:rFonts w:ascii="Arial" w:eastAsiaTheme="majorEastAsia" w:hAnsi="Arial" w:cs="Arial"/>
          <w:sz w:val="22"/>
          <w:szCs w:val="22"/>
        </w:rPr>
        <w:t>Dementia.</w:t>
      </w:r>
      <w:r w:rsidRPr="004618DD">
        <w:rPr>
          <w:rFonts w:ascii="Arial" w:hAnsi="Arial" w:cs="Arial"/>
          <w:sz w:val="22"/>
          <w:szCs w:val="22"/>
        </w:rPr>
        <w:t xml:space="preserve"> Available at: </w:t>
      </w:r>
      <w:hyperlink r:id="rId46" w:tgtFrame="_new" w:history="1">
        <w:r w:rsidRPr="004618DD">
          <w:rPr>
            <w:rStyle w:val="Hyperlink"/>
            <w:rFonts w:ascii="Arial" w:eastAsiaTheme="majorEastAsia" w:hAnsi="Arial" w:cs="Arial"/>
            <w:sz w:val="22"/>
            <w:szCs w:val="22"/>
          </w:rPr>
          <w:t>https://www.who.int/health-topics/dementia</w:t>
        </w:r>
      </w:hyperlink>
      <w:r w:rsidRPr="004618DD">
        <w:rPr>
          <w:rFonts w:ascii="Arial" w:hAnsi="Arial" w:cs="Arial"/>
          <w:sz w:val="22"/>
          <w:szCs w:val="22"/>
        </w:rPr>
        <w:t>.</w:t>
      </w:r>
      <w:r w:rsidR="00ED158A" w:rsidRPr="00ED158A">
        <w:rPr>
          <w:rFonts w:ascii="Arial" w:hAnsi="Arial" w:cs="Arial"/>
          <w:sz w:val="22"/>
          <w:szCs w:val="22"/>
        </w:rPr>
        <w:t xml:space="preserve">(Accessed: </w:t>
      </w:r>
      <w:r w:rsidR="00F633C5">
        <w:rPr>
          <w:rFonts w:ascii="Arial" w:hAnsi="Arial" w:cs="Arial"/>
          <w:sz w:val="22"/>
          <w:szCs w:val="22"/>
        </w:rPr>
        <w:t>12</w:t>
      </w:r>
      <w:r w:rsidR="00ED158A" w:rsidRPr="00ED158A">
        <w:rPr>
          <w:rFonts w:ascii="Arial" w:hAnsi="Arial" w:cs="Arial"/>
          <w:sz w:val="22"/>
          <w:szCs w:val="22"/>
        </w:rPr>
        <w:t xml:space="preserve"> November 2025).</w:t>
      </w:r>
    </w:p>
    <w:p w14:paraId="770D7C84" w14:textId="5AB7C746" w:rsidR="004618DD" w:rsidRPr="004618DD" w:rsidRDefault="004618DD" w:rsidP="004618DD">
      <w:pPr>
        <w:pStyle w:val="NormalWeb"/>
        <w:spacing w:line="360" w:lineRule="auto"/>
        <w:rPr>
          <w:rFonts w:ascii="Arial" w:hAnsi="Arial" w:cs="Arial"/>
          <w:sz w:val="22"/>
          <w:szCs w:val="22"/>
        </w:rPr>
      </w:pPr>
      <w:r w:rsidRPr="004618DD">
        <w:rPr>
          <w:rFonts w:ascii="Arial" w:hAnsi="Arial" w:cs="Arial"/>
          <w:sz w:val="22"/>
          <w:szCs w:val="22"/>
        </w:rPr>
        <w:t>World Health Organisation (2017)</w:t>
      </w:r>
      <w:r w:rsidR="00CB4C1E">
        <w:rPr>
          <w:rFonts w:ascii="Arial" w:hAnsi="Arial" w:cs="Arial"/>
          <w:sz w:val="22"/>
          <w:szCs w:val="22"/>
        </w:rPr>
        <w:t>.</w:t>
      </w:r>
      <w:r w:rsidRPr="004618DD">
        <w:rPr>
          <w:rFonts w:ascii="Arial" w:hAnsi="Arial" w:cs="Arial"/>
          <w:sz w:val="22"/>
          <w:szCs w:val="22"/>
        </w:rPr>
        <w:t xml:space="preserve"> Determinants of Health Available at: </w:t>
      </w:r>
      <w:hyperlink r:id="rId47" w:anchor=":~:text=The%20determinants%20of%20health%20include,person%27s%20individual%20characteristics%20and%20behaviours" w:history="1">
        <w:r w:rsidRPr="004618DD">
          <w:rPr>
            <w:rStyle w:val="Hyperlink"/>
            <w:rFonts w:ascii="Arial" w:hAnsi="Arial" w:cs="Arial"/>
            <w:sz w:val="22"/>
            <w:szCs w:val="22"/>
          </w:rPr>
          <w:t>https://www.who.int/news-room/questions-and-answers/item/determinants-of-health#:~:text=The%20determinants%20of%20health%20include,person%27s%20individual%20characteristics%20and%20behaviours</w:t>
        </w:r>
      </w:hyperlink>
      <w:r w:rsidRPr="004618DD">
        <w:rPr>
          <w:rFonts w:ascii="Arial" w:hAnsi="Arial" w:cs="Arial"/>
          <w:sz w:val="22"/>
          <w:szCs w:val="22"/>
        </w:rPr>
        <w:t xml:space="preserve"> </w:t>
      </w:r>
      <w:r w:rsidR="00ED158A" w:rsidRPr="00ED158A">
        <w:rPr>
          <w:rFonts w:ascii="Arial" w:hAnsi="Arial" w:cs="Arial"/>
          <w:sz w:val="22"/>
          <w:szCs w:val="22"/>
        </w:rPr>
        <w:t xml:space="preserve">(Accessed: </w:t>
      </w:r>
      <w:r w:rsidR="00F633C5">
        <w:rPr>
          <w:rFonts w:ascii="Arial" w:hAnsi="Arial" w:cs="Arial"/>
          <w:sz w:val="22"/>
          <w:szCs w:val="22"/>
        </w:rPr>
        <w:t>12</w:t>
      </w:r>
      <w:r w:rsidR="00ED158A" w:rsidRPr="00ED158A">
        <w:rPr>
          <w:rFonts w:ascii="Arial" w:hAnsi="Arial" w:cs="Arial"/>
          <w:sz w:val="22"/>
          <w:szCs w:val="22"/>
        </w:rPr>
        <w:t xml:space="preserve"> November 2025).</w:t>
      </w:r>
    </w:p>
    <w:p w14:paraId="1E3EC7B0" w14:textId="694C9B8A" w:rsidR="00081773" w:rsidRPr="004618DD" w:rsidRDefault="00081773" w:rsidP="004618DD">
      <w:pPr>
        <w:pStyle w:val="NormalWeb"/>
        <w:spacing w:line="360" w:lineRule="auto"/>
        <w:rPr>
          <w:rFonts w:ascii="Arial" w:hAnsi="Arial" w:cs="Arial"/>
          <w:sz w:val="22"/>
          <w:szCs w:val="22"/>
        </w:rPr>
      </w:pPr>
      <w:r w:rsidRPr="004618DD">
        <w:rPr>
          <w:rStyle w:val="Strong"/>
          <w:rFonts w:ascii="Arial" w:eastAsiaTheme="majorEastAsia" w:hAnsi="Arial" w:cs="Arial"/>
          <w:b w:val="0"/>
          <w:bCs w:val="0"/>
          <w:sz w:val="22"/>
          <w:szCs w:val="22"/>
        </w:rPr>
        <w:t>Wu, M., Xue, Y. &amp; Ma, C. (2025)</w:t>
      </w:r>
      <w:r w:rsidRPr="004618DD">
        <w:rPr>
          <w:rFonts w:ascii="Arial" w:hAnsi="Arial" w:cs="Arial"/>
          <w:sz w:val="22"/>
          <w:szCs w:val="22"/>
        </w:rPr>
        <w:t xml:space="preserve"> ‘Digital divide and health inequalities among older adults in China’, </w:t>
      </w:r>
      <w:r w:rsidRPr="004618DD">
        <w:rPr>
          <w:rStyle w:val="Emphasis"/>
          <w:rFonts w:ascii="Arial" w:eastAsiaTheme="majorEastAsia" w:hAnsi="Arial" w:cs="Arial"/>
          <w:sz w:val="22"/>
          <w:szCs w:val="22"/>
        </w:rPr>
        <w:t>Journal of Medical Internet Research</w:t>
      </w:r>
      <w:r w:rsidRPr="004618DD">
        <w:rPr>
          <w:rFonts w:ascii="Arial" w:hAnsi="Arial" w:cs="Arial"/>
          <w:sz w:val="22"/>
          <w:szCs w:val="22"/>
        </w:rPr>
        <w:t>, 27.</w:t>
      </w:r>
      <w:r w:rsidR="00ED158A">
        <w:rPr>
          <w:rFonts w:ascii="Arial" w:hAnsi="Arial" w:cs="Arial"/>
          <w:sz w:val="22"/>
          <w:szCs w:val="22"/>
        </w:rPr>
        <w:t xml:space="preserve"> </w:t>
      </w:r>
      <w:r w:rsidR="00ED158A" w:rsidRPr="00ED158A">
        <w:rPr>
          <w:rFonts w:ascii="Arial" w:hAnsi="Arial" w:cs="Arial"/>
          <w:sz w:val="22"/>
          <w:szCs w:val="22"/>
        </w:rPr>
        <w:t>(Accessed: 2</w:t>
      </w:r>
      <w:r w:rsidR="00ED158A">
        <w:rPr>
          <w:rFonts w:ascii="Arial" w:hAnsi="Arial" w:cs="Arial"/>
          <w:sz w:val="22"/>
          <w:szCs w:val="22"/>
        </w:rPr>
        <w:t>3</w:t>
      </w:r>
      <w:r w:rsidR="00ED158A" w:rsidRPr="00ED158A">
        <w:rPr>
          <w:rFonts w:ascii="Arial" w:hAnsi="Arial" w:cs="Arial"/>
          <w:sz w:val="22"/>
          <w:szCs w:val="22"/>
        </w:rPr>
        <w:t xml:space="preserve"> November 2025).</w:t>
      </w:r>
    </w:p>
    <w:p w14:paraId="697F6455" w14:textId="54269BCA" w:rsidR="00081773" w:rsidRPr="004618DD" w:rsidRDefault="00081773" w:rsidP="004618DD">
      <w:pPr>
        <w:pStyle w:val="NormalWeb"/>
        <w:spacing w:line="360" w:lineRule="auto"/>
        <w:rPr>
          <w:rFonts w:ascii="Arial" w:hAnsi="Arial" w:cs="Arial"/>
          <w:sz w:val="22"/>
          <w:szCs w:val="22"/>
        </w:rPr>
      </w:pPr>
      <w:r w:rsidRPr="004618DD">
        <w:rPr>
          <w:rStyle w:val="Emphasis"/>
          <w:rFonts w:ascii="Arial" w:eastAsiaTheme="majorEastAsia" w:hAnsi="Arial" w:cs="Arial"/>
          <w:sz w:val="22"/>
          <w:szCs w:val="22"/>
        </w:rPr>
        <w:t xml:space="preserve">Annual Reports </w:t>
      </w:r>
      <w:r w:rsidR="00BA1093" w:rsidRPr="00BA1093">
        <w:rPr>
          <w:rStyle w:val="Emphasis"/>
          <w:rFonts w:ascii="Arial" w:eastAsiaTheme="majorEastAsia" w:hAnsi="Arial" w:cs="Arial"/>
          <w:sz w:val="22"/>
          <w:szCs w:val="22"/>
        </w:rPr>
        <w:t xml:space="preserve">(n.d.) </w:t>
      </w:r>
      <w:r w:rsidRPr="004618DD">
        <w:rPr>
          <w:rStyle w:val="Emphasis"/>
          <w:rFonts w:ascii="Arial" w:eastAsiaTheme="majorEastAsia" w:hAnsi="Arial" w:cs="Arial"/>
          <w:sz w:val="22"/>
          <w:szCs w:val="22"/>
        </w:rPr>
        <w:t xml:space="preserve"> Alzheimer’s Society.</w:t>
      </w:r>
      <w:r w:rsidRPr="004618DD">
        <w:rPr>
          <w:rFonts w:ascii="Arial" w:hAnsi="Arial" w:cs="Arial"/>
          <w:sz w:val="22"/>
          <w:szCs w:val="22"/>
        </w:rPr>
        <w:t xml:space="preserve"> Available at: </w:t>
      </w:r>
      <w:hyperlink r:id="rId48" w:tgtFrame="_new" w:history="1">
        <w:r w:rsidRPr="004618DD">
          <w:rPr>
            <w:rStyle w:val="Hyperlink"/>
            <w:rFonts w:ascii="Arial" w:eastAsiaTheme="majorEastAsia" w:hAnsi="Arial" w:cs="Arial"/>
            <w:sz w:val="22"/>
            <w:szCs w:val="22"/>
          </w:rPr>
          <w:t>https://www.alzheimers.org.uk/about-us/strategy-and-annual-reports/annual-reports</w:t>
        </w:r>
      </w:hyperlink>
      <w:r w:rsidRPr="004618DD">
        <w:rPr>
          <w:rFonts w:ascii="Arial" w:hAnsi="Arial" w:cs="Arial"/>
          <w:sz w:val="22"/>
          <w:szCs w:val="22"/>
        </w:rPr>
        <w:t>.</w:t>
      </w:r>
      <w:r w:rsidR="00ED158A" w:rsidRPr="00ED158A">
        <w:rPr>
          <w:rFonts w:ascii="Arial" w:hAnsi="Arial" w:cs="Arial"/>
          <w:sz w:val="22"/>
          <w:szCs w:val="22"/>
        </w:rPr>
        <w:t>(Accessed: 2</w:t>
      </w:r>
      <w:r w:rsidR="00ED158A">
        <w:rPr>
          <w:rFonts w:ascii="Arial" w:hAnsi="Arial" w:cs="Arial"/>
          <w:sz w:val="22"/>
          <w:szCs w:val="22"/>
        </w:rPr>
        <w:t>0</w:t>
      </w:r>
      <w:r w:rsidR="00ED158A" w:rsidRPr="00ED158A">
        <w:rPr>
          <w:rFonts w:ascii="Arial" w:hAnsi="Arial" w:cs="Arial"/>
          <w:sz w:val="22"/>
          <w:szCs w:val="22"/>
        </w:rPr>
        <w:t xml:space="preserve"> November 2025).</w:t>
      </w:r>
    </w:p>
    <w:p w14:paraId="5738EFF6" w14:textId="452A463C" w:rsidR="00081773" w:rsidRPr="004618DD" w:rsidRDefault="00081773" w:rsidP="004618DD">
      <w:pPr>
        <w:pStyle w:val="NormalWeb"/>
        <w:spacing w:line="360" w:lineRule="auto"/>
        <w:rPr>
          <w:rFonts w:ascii="Arial" w:hAnsi="Arial" w:cs="Arial"/>
          <w:sz w:val="22"/>
          <w:szCs w:val="22"/>
        </w:rPr>
      </w:pPr>
      <w:r w:rsidRPr="004618DD">
        <w:rPr>
          <w:rStyle w:val="Emphasis"/>
          <w:rFonts w:ascii="Arial" w:eastAsiaTheme="majorEastAsia" w:hAnsi="Arial" w:cs="Arial"/>
          <w:sz w:val="22"/>
          <w:szCs w:val="22"/>
        </w:rPr>
        <w:t xml:space="preserve">Dementia </w:t>
      </w:r>
      <w:r w:rsidR="00BA1093" w:rsidRPr="004618DD">
        <w:rPr>
          <w:rStyle w:val="Emphasis"/>
          <w:rFonts w:ascii="Arial" w:eastAsiaTheme="majorEastAsia" w:hAnsi="Arial" w:cs="Arial"/>
          <w:sz w:val="22"/>
          <w:szCs w:val="22"/>
        </w:rPr>
        <w:t>statistics.</w:t>
      </w:r>
      <w:r w:rsidR="00BA1093" w:rsidRPr="00BA1093">
        <w:rPr>
          <w:rStyle w:val="Emphasis"/>
          <w:rFonts w:ascii="Arial" w:eastAsiaTheme="majorEastAsia" w:hAnsi="Arial" w:cs="Arial"/>
          <w:sz w:val="22"/>
          <w:szCs w:val="22"/>
        </w:rPr>
        <w:t xml:space="preserve"> (n.d.) </w:t>
      </w:r>
      <w:r w:rsidRPr="004618DD">
        <w:rPr>
          <w:rFonts w:ascii="Arial" w:hAnsi="Arial" w:cs="Arial"/>
          <w:sz w:val="22"/>
          <w:szCs w:val="22"/>
        </w:rPr>
        <w:t xml:space="preserve"> Available at: </w:t>
      </w:r>
      <w:hyperlink r:id="rId49" w:tgtFrame="_new" w:history="1">
        <w:r w:rsidRPr="004618DD">
          <w:rPr>
            <w:rStyle w:val="Hyperlink"/>
            <w:rFonts w:ascii="Arial" w:eastAsiaTheme="majorEastAsia" w:hAnsi="Arial" w:cs="Arial"/>
            <w:sz w:val="22"/>
            <w:szCs w:val="22"/>
          </w:rPr>
          <w:t>https://www.ons.gov.uk/aboutus/transparencyandgovernance/freedomofinformationfoi/dementiastatistics</w:t>
        </w:r>
      </w:hyperlink>
      <w:r w:rsidRPr="004618DD">
        <w:rPr>
          <w:rFonts w:ascii="Arial" w:hAnsi="Arial" w:cs="Arial"/>
          <w:sz w:val="22"/>
          <w:szCs w:val="22"/>
        </w:rPr>
        <w:t>.</w:t>
      </w:r>
      <w:r w:rsidR="00ED158A" w:rsidRPr="00ED158A">
        <w:rPr>
          <w:rFonts w:ascii="Arial" w:hAnsi="Arial" w:cs="Arial"/>
          <w:sz w:val="22"/>
          <w:szCs w:val="22"/>
        </w:rPr>
        <w:t xml:space="preserve">(Accessed: </w:t>
      </w:r>
      <w:r w:rsidR="00ED158A">
        <w:rPr>
          <w:rFonts w:ascii="Arial" w:hAnsi="Arial" w:cs="Arial"/>
          <w:sz w:val="22"/>
          <w:szCs w:val="22"/>
        </w:rPr>
        <w:t>12</w:t>
      </w:r>
      <w:r w:rsidR="00ED158A" w:rsidRPr="00ED158A">
        <w:rPr>
          <w:rFonts w:ascii="Arial" w:hAnsi="Arial" w:cs="Arial"/>
          <w:sz w:val="22"/>
          <w:szCs w:val="22"/>
        </w:rPr>
        <w:t xml:space="preserve"> November 2025).</w:t>
      </w:r>
    </w:p>
    <w:p w14:paraId="3E5A9D77" w14:textId="139275BE" w:rsidR="00081773" w:rsidRPr="004618DD" w:rsidRDefault="00081773" w:rsidP="004618DD">
      <w:pPr>
        <w:pStyle w:val="NormalWeb"/>
        <w:spacing w:line="360" w:lineRule="auto"/>
        <w:rPr>
          <w:rFonts w:ascii="Arial" w:hAnsi="Arial" w:cs="Arial"/>
          <w:sz w:val="22"/>
          <w:szCs w:val="22"/>
        </w:rPr>
      </w:pPr>
      <w:r w:rsidRPr="004618DD">
        <w:rPr>
          <w:rStyle w:val="Emphasis"/>
          <w:rFonts w:ascii="Arial" w:eastAsiaTheme="majorEastAsia" w:hAnsi="Arial" w:cs="Arial"/>
          <w:sz w:val="22"/>
          <w:szCs w:val="22"/>
        </w:rPr>
        <w:t>Excess winter mortality in England and Wales.</w:t>
      </w:r>
      <w:r w:rsidR="00442CDD">
        <w:rPr>
          <w:rStyle w:val="Emphasis"/>
          <w:rFonts w:ascii="Arial" w:eastAsiaTheme="majorEastAsia" w:hAnsi="Arial" w:cs="Arial"/>
          <w:sz w:val="22"/>
          <w:szCs w:val="22"/>
        </w:rPr>
        <w:t xml:space="preserve"> </w:t>
      </w:r>
      <w:r w:rsidR="00442CDD" w:rsidRPr="00442CDD">
        <w:rPr>
          <w:rStyle w:val="Emphasis"/>
          <w:rFonts w:ascii="Arial" w:eastAsiaTheme="majorEastAsia" w:hAnsi="Arial" w:cs="Arial"/>
          <w:sz w:val="22"/>
          <w:szCs w:val="22"/>
        </w:rPr>
        <w:t xml:space="preserve">(n.d.) </w:t>
      </w:r>
      <w:r w:rsidRPr="004618DD">
        <w:rPr>
          <w:rFonts w:ascii="Arial" w:hAnsi="Arial" w:cs="Arial"/>
          <w:sz w:val="22"/>
          <w:szCs w:val="22"/>
        </w:rPr>
        <w:t xml:space="preserve"> Available at: </w:t>
      </w:r>
      <w:hyperlink r:id="rId50" w:tgtFrame="_new" w:history="1">
        <w:r w:rsidRPr="004618DD">
          <w:rPr>
            <w:rStyle w:val="Hyperlink"/>
            <w:rFonts w:ascii="Arial" w:eastAsiaTheme="majorEastAsia" w:hAnsi="Arial" w:cs="Arial"/>
            <w:sz w:val="22"/>
            <w:szCs w:val="22"/>
          </w:rPr>
          <w:t>https://www.ons.gov.uk/peoplepopulationandcommunity/birthsdeathsandmarriages/deaths/bulletins/excesswintermortalityinenglandandwales/2020to2021provisionaland2019to2020final</w:t>
        </w:r>
      </w:hyperlink>
      <w:r w:rsidRPr="004618DD">
        <w:rPr>
          <w:rFonts w:ascii="Arial" w:hAnsi="Arial" w:cs="Arial"/>
          <w:sz w:val="22"/>
          <w:szCs w:val="22"/>
        </w:rPr>
        <w:t>.</w:t>
      </w:r>
      <w:r w:rsidR="006652E8">
        <w:rPr>
          <w:rFonts w:ascii="Arial" w:hAnsi="Arial" w:cs="Arial"/>
          <w:sz w:val="22"/>
          <w:szCs w:val="22"/>
        </w:rPr>
        <w:t xml:space="preserve"> </w:t>
      </w:r>
      <w:bookmarkStart w:id="30" w:name="_Hlk215487723"/>
      <w:r w:rsidR="006652E8">
        <w:rPr>
          <w:rFonts w:ascii="Arial" w:hAnsi="Arial" w:cs="Arial"/>
          <w:sz w:val="22"/>
          <w:szCs w:val="22"/>
        </w:rPr>
        <w:t xml:space="preserve">(Accessed: </w:t>
      </w:r>
      <w:r w:rsidR="00ED158A">
        <w:rPr>
          <w:rFonts w:ascii="Arial" w:hAnsi="Arial" w:cs="Arial"/>
          <w:sz w:val="22"/>
          <w:szCs w:val="22"/>
        </w:rPr>
        <w:t>25 November 2025).</w:t>
      </w:r>
    </w:p>
    <w:bookmarkEnd w:id="30"/>
    <w:p w14:paraId="6BCC4864" w14:textId="77777777" w:rsidR="008A5539" w:rsidRPr="004618DD" w:rsidRDefault="008A5539" w:rsidP="004618DD">
      <w:pPr>
        <w:spacing w:line="360" w:lineRule="auto"/>
        <w:rPr>
          <w:rFonts w:ascii="Arial" w:hAnsi="Arial" w:cs="Arial"/>
        </w:rPr>
      </w:pPr>
    </w:p>
    <w:sectPr w:rsidR="008A5539" w:rsidRPr="004618DD">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48883" w14:textId="77777777" w:rsidR="008C784F" w:rsidRDefault="008C784F" w:rsidP="00C00DEA">
      <w:pPr>
        <w:spacing w:after="0" w:line="240" w:lineRule="auto"/>
      </w:pPr>
      <w:r>
        <w:separator/>
      </w:r>
    </w:p>
  </w:endnote>
  <w:endnote w:type="continuationSeparator" w:id="0">
    <w:p w14:paraId="6D3A1A9E" w14:textId="77777777" w:rsidR="008C784F" w:rsidRDefault="008C784F" w:rsidP="00C00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721182"/>
      <w:docPartObj>
        <w:docPartGallery w:val="Page Numbers (Bottom of Page)"/>
        <w:docPartUnique/>
      </w:docPartObj>
    </w:sdtPr>
    <w:sdtContent>
      <w:p w14:paraId="39E04CB0" w14:textId="018232F8" w:rsidR="00C00DEA" w:rsidRDefault="00C00DEA">
        <w:pPr>
          <w:pStyle w:val="Footer"/>
          <w:jc w:val="right"/>
        </w:pPr>
        <w:r>
          <w:fldChar w:fldCharType="begin"/>
        </w:r>
        <w:r>
          <w:instrText>PAGE   \* MERGEFORMAT</w:instrText>
        </w:r>
        <w:r>
          <w:fldChar w:fldCharType="separate"/>
        </w:r>
        <w:r>
          <w:t>2</w:t>
        </w:r>
        <w:r>
          <w:fldChar w:fldCharType="end"/>
        </w:r>
      </w:p>
    </w:sdtContent>
  </w:sdt>
  <w:p w14:paraId="13F60CBC" w14:textId="77777777" w:rsidR="00C00DEA" w:rsidRDefault="00C00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D79B1" w14:textId="77777777" w:rsidR="008C784F" w:rsidRDefault="008C784F" w:rsidP="00C00DEA">
      <w:pPr>
        <w:spacing w:after="0" w:line="240" w:lineRule="auto"/>
      </w:pPr>
      <w:r>
        <w:separator/>
      </w:r>
    </w:p>
  </w:footnote>
  <w:footnote w:type="continuationSeparator" w:id="0">
    <w:p w14:paraId="6560EA1D" w14:textId="77777777" w:rsidR="008C784F" w:rsidRDefault="008C784F" w:rsidP="00C00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75588"/>
    <w:multiLevelType w:val="hybridMultilevel"/>
    <w:tmpl w:val="A508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D17F1"/>
    <w:multiLevelType w:val="hybridMultilevel"/>
    <w:tmpl w:val="650A9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00FC2"/>
    <w:multiLevelType w:val="hybridMultilevel"/>
    <w:tmpl w:val="75387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787729"/>
    <w:multiLevelType w:val="hybridMultilevel"/>
    <w:tmpl w:val="635C1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D6BF4"/>
    <w:multiLevelType w:val="hybridMultilevel"/>
    <w:tmpl w:val="78B8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8711D"/>
    <w:multiLevelType w:val="multilevel"/>
    <w:tmpl w:val="7A86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23919"/>
    <w:multiLevelType w:val="hybridMultilevel"/>
    <w:tmpl w:val="9F0C1A40"/>
    <w:lvl w:ilvl="0" w:tplc="08090001">
      <w:start w:val="1"/>
      <w:numFmt w:val="bullet"/>
      <w:lvlText w:val=""/>
      <w:lvlJc w:val="left"/>
      <w:pPr>
        <w:ind w:left="720" w:hanging="360"/>
      </w:pPr>
      <w:rPr>
        <w:rFonts w:ascii="Symbol" w:hAnsi="Symbol"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42471D"/>
    <w:multiLevelType w:val="multilevel"/>
    <w:tmpl w:val="DD3CE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7274F2"/>
    <w:multiLevelType w:val="hybridMultilevel"/>
    <w:tmpl w:val="38A47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5A7C05"/>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3B39D3"/>
    <w:multiLevelType w:val="hybridMultilevel"/>
    <w:tmpl w:val="043C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1B73A1"/>
    <w:multiLevelType w:val="multilevel"/>
    <w:tmpl w:val="7EB0B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451673"/>
    <w:multiLevelType w:val="multilevel"/>
    <w:tmpl w:val="E2160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CB3284"/>
    <w:multiLevelType w:val="hybridMultilevel"/>
    <w:tmpl w:val="6BECC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806E95"/>
    <w:multiLevelType w:val="multilevel"/>
    <w:tmpl w:val="27DA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A617BA"/>
    <w:multiLevelType w:val="hybridMultilevel"/>
    <w:tmpl w:val="125A6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5D704F"/>
    <w:multiLevelType w:val="multilevel"/>
    <w:tmpl w:val="BD947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0E5587"/>
    <w:multiLevelType w:val="multilevel"/>
    <w:tmpl w:val="C970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C07216"/>
    <w:multiLevelType w:val="hybridMultilevel"/>
    <w:tmpl w:val="36D84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4F56A3"/>
    <w:multiLevelType w:val="hybridMultilevel"/>
    <w:tmpl w:val="F4807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9D1566"/>
    <w:multiLevelType w:val="multilevel"/>
    <w:tmpl w:val="3468D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37713C"/>
    <w:multiLevelType w:val="hybridMultilevel"/>
    <w:tmpl w:val="A130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0F5C52"/>
    <w:multiLevelType w:val="hybridMultilevel"/>
    <w:tmpl w:val="D348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247CFE"/>
    <w:multiLevelType w:val="multilevel"/>
    <w:tmpl w:val="EC2C1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8D39BD"/>
    <w:multiLevelType w:val="multilevel"/>
    <w:tmpl w:val="9C16A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8E6ADE"/>
    <w:multiLevelType w:val="multilevel"/>
    <w:tmpl w:val="1C648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D47A42"/>
    <w:multiLevelType w:val="multilevel"/>
    <w:tmpl w:val="1C58A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FD6B90"/>
    <w:multiLevelType w:val="multilevel"/>
    <w:tmpl w:val="86B6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342499"/>
    <w:multiLevelType w:val="multilevel"/>
    <w:tmpl w:val="86B68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592C02"/>
    <w:multiLevelType w:val="hybridMultilevel"/>
    <w:tmpl w:val="F00C7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0F6527"/>
    <w:multiLevelType w:val="multilevel"/>
    <w:tmpl w:val="CAF4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B401C0"/>
    <w:multiLevelType w:val="hybridMultilevel"/>
    <w:tmpl w:val="F9CA5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2722C6"/>
    <w:multiLevelType w:val="hybridMultilevel"/>
    <w:tmpl w:val="85CE9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FF07F7"/>
    <w:multiLevelType w:val="hybridMultilevel"/>
    <w:tmpl w:val="60842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1B31D9"/>
    <w:multiLevelType w:val="multilevel"/>
    <w:tmpl w:val="4D3C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546930">
    <w:abstractNumId w:val="3"/>
  </w:num>
  <w:num w:numId="2" w16cid:durableId="914314763">
    <w:abstractNumId w:val="8"/>
  </w:num>
  <w:num w:numId="3" w16cid:durableId="585112269">
    <w:abstractNumId w:val="32"/>
  </w:num>
  <w:num w:numId="4" w16cid:durableId="1696997947">
    <w:abstractNumId w:val="22"/>
  </w:num>
  <w:num w:numId="5" w16cid:durableId="1133250961">
    <w:abstractNumId w:val="10"/>
  </w:num>
  <w:num w:numId="6" w16cid:durableId="1936745233">
    <w:abstractNumId w:val="15"/>
  </w:num>
  <w:num w:numId="7" w16cid:durableId="1636256649">
    <w:abstractNumId w:val="6"/>
  </w:num>
  <w:num w:numId="8" w16cid:durableId="1775009415">
    <w:abstractNumId w:val="19"/>
  </w:num>
  <w:num w:numId="9" w16cid:durableId="1154099908">
    <w:abstractNumId w:val="21"/>
  </w:num>
  <w:num w:numId="10" w16cid:durableId="1394238765">
    <w:abstractNumId w:val="13"/>
  </w:num>
  <w:num w:numId="11" w16cid:durableId="758915984">
    <w:abstractNumId w:val="33"/>
  </w:num>
  <w:num w:numId="12" w16cid:durableId="1620798048">
    <w:abstractNumId w:val="2"/>
  </w:num>
  <w:num w:numId="13" w16cid:durableId="835420068">
    <w:abstractNumId w:val="0"/>
  </w:num>
  <w:num w:numId="14" w16cid:durableId="131604784">
    <w:abstractNumId w:val="29"/>
  </w:num>
  <w:num w:numId="15" w16cid:durableId="1164247553">
    <w:abstractNumId w:val="31"/>
  </w:num>
  <w:num w:numId="16" w16cid:durableId="877469415">
    <w:abstractNumId w:val="23"/>
  </w:num>
  <w:num w:numId="17" w16cid:durableId="1753232198">
    <w:abstractNumId w:val="30"/>
  </w:num>
  <w:num w:numId="18" w16cid:durableId="618297204">
    <w:abstractNumId w:val="16"/>
  </w:num>
  <w:num w:numId="19" w16cid:durableId="912079957">
    <w:abstractNumId w:val="28"/>
  </w:num>
  <w:num w:numId="20" w16cid:durableId="651252422">
    <w:abstractNumId w:val="20"/>
  </w:num>
  <w:num w:numId="21" w16cid:durableId="1392381740">
    <w:abstractNumId w:val="12"/>
  </w:num>
  <w:num w:numId="22" w16cid:durableId="427890721">
    <w:abstractNumId w:val="5"/>
  </w:num>
  <w:num w:numId="23" w16cid:durableId="662392725">
    <w:abstractNumId w:val="17"/>
  </w:num>
  <w:num w:numId="24" w16cid:durableId="857080272">
    <w:abstractNumId w:val="14"/>
  </w:num>
  <w:num w:numId="25" w16cid:durableId="1773234445">
    <w:abstractNumId w:val="11"/>
  </w:num>
  <w:num w:numId="26" w16cid:durableId="1219825409">
    <w:abstractNumId w:val="26"/>
  </w:num>
  <w:num w:numId="27" w16cid:durableId="298346944">
    <w:abstractNumId w:val="24"/>
  </w:num>
  <w:num w:numId="28" w16cid:durableId="1884439234">
    <w:abstractNumId w:val="9"/>
  </w:num>
  <w:num w:numId="29" w16cid:durableId="2115786553">
    <w:abstractNumId w:val="7"/>
  </w:num>
  <w:num w:numId="30" w16cid:durableId="1394040313">
    <w:abstractNumId w:val="25"/>
  </w:num>
  <w:num w:numId="31" w16cid:durableId="510876529">
    <w:abstractNumId w:val="18"/>
  </w:num>
  <w:num w:numId="32" w16cid:durableId="224922982">
    <w:abstractNumId w:val="4"/>
  </w:num>
  <w:num w:numId="33" w16cid:durableId="1935165151">
    <w:abstractNumId w:val="1"/>
  </w:num>
  <w:num w:numId="34" w16cid:durableId="1371370622">
    <w:abstractNumId w:val="27"/>
  </w:num>
  <w:num w:numId="35" w16cid:durableId="1053964941">
    <w:abstractNumId w:val="3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79"/>
    <w:rsid w:val="00000A94"/>
    <w:rsid w:val="00017FF0"/>
    <w:rsid w:val="00020135"/>
    <w:rsid w:val="00026E4F"/>
    <w:rsid w:val="00041763"/>
    <w:rsid w:val="00081773"/>
    <w:rsid w:val="000A3B12"/>
    <w:rsid w:val="000A3C9C"/>
    <w:rsid w:val="000A5B95"/>
    <w:rsid w:val="000B2106"/>
    <w:rsid w:val="000C7A4F"/>
    <w:rsid w:val="000D2866"/>
    <w:rsid w:val="000D3098"/>
    <w:rsid w:val="000E46BE"/>
    <w:rsid w:val="000F6127"/>
    <w:rsid w:val="001124AF"/>
    <w:rsid w:val="00130E83"/>
    <w:rsid w:val="00162B1C"/>
    <w:rsid w:val="001974BB"/>
    <w:rsid w:val="001D7B33"/>
    <w:rsid w:val="001F1EF8"/>
    <w:rsid w:val="0020613C"/>
    <w:rsid w:val="002307BF"/>
    <w:rsid w:val="002426F7"/>
    <w:rsid w:val="00252118"/>
    <w:rsid w:val="00252B5C"/>
    <w:rsid w:val="00266792"/>
    <w:rsid w:val="002757B0"/>
    <w:rsid w:val="002B2B6A"/>
    <w:rsid w:val="002C6646"/>
    <w:rsid w:val="002D2B77"/>
    <w:rsid w:val="002D2D7E"/>
    <w:rsid w:val="002E6CCC"/>
    <w:rsid w:val="002F1C17"/>
    <w:rsid w:val="002F1D39"/>
    <w:rsid w:val="002F2FFB"/>
    <w:rsid w:val="002F46B7"/>
    <w:rsid w:val="003143E6"/>
    <w:rsid w:val="00315CD1"/>
    <w:rsid w:val="00334C2B"/>
    <w:rsid w:val="00337BCC"/>
    <w:rsid w:val="003515F6"/>
    <w:rsid w:val="00355F0D"/>
    <w:rsid w:val="00386BB4"/>
    <w:rsid w:val="00392B0D"/>
    <w:rsid w:val="00395BDF"/>
    <w:rsid w:val="003A1B4D"/>
    <w:rsid w:val="003A2448"/>
    <w:rsid w:val="003B2D33"/>
    <w:rsid w:val="003B4DA4"/>
    <w:rsid w:val="003D378F"/>
    <w:rsid w:val="003E0EB9"/>
    <w:rsid w:val="004412BE"/>
    <w:rsid w:val="00441493"/>
    <w:rsid w:val="00442CDD"/>
    <w:rsid w:val="00445E3D"/>
    <w:rsid w:val="00457220"/>
    <w:rsid w:val="004618DD"/>
    <w:rsid w:val="00472990"/>
    <w:rsid w:val="00473FD8"/>
    <w:rsid w:val="00474927"/>
    <w:rsid w:val="004767CA"/>
    <w:rsid w:val="00484467"/>
    <w:rsid w:val="004872EE"/>
    <w:rsid w:val="0049248E"/>
    <w:rsid w:val="0049733B"/>
    <w:rsid w:val="004A3C5E"/>
    <w:rsid w:val="004A6B58"/>
    <w:rsid w:val="004B4804"/>
    <w:rsid w:val="004C050C"/>
    <w:rsid w:val="004C1B28"/>
    <w:rsid w:val="004E61E3"/>
    <w:rsid w:val="004F6A85"/>
    <w:rsid w:val="004F7DDC"/>
    <w:rsid w:val="005542F2"/>
    <w:rsid w:val="00571CA1"/>
    <w:rsid w:val="00575EDD"/>
    <w:rsid w:val="00594310"/>
    <w:rsid w:val="005A64DF"/>
    <w:rsid w:val="005B0E12"/>
    <w:rsid w:val="005C3FA4"/>
    <w:rsid w:val="005D64D5"/>
    <w:rsid w:val="006004FE"/>
    <w:rsid w:val="0061048E"/>
    <w:rsid w:val="00612F05"/>
    <w:rsid w:val="006544EC"/>
    <w:rsid w:val="0065648F"/>
    <w:rsid w:val="006623C0"/>
    <w:rsid w:val="006652E8"/>
    <w:rsid w:val="0067299E"/>
    <w:rsid w:val="00674DE2"/>
    <w:rsid w:val="006975C3"/>
    <w:rsid w:val="006C3CEB"/>
    <w:rsid w:val="006D7877"/>
    <w:rsid w:val="006E2889"/>
    <w:rsid w:val="006F4933"/>
    <w:rsid w:val="00701A39"/>
    <w:rsid w:val="007035E1"/>
    <w:rsid w:val="0071755E"/>
    <w:rsid w:val="00721CB0"/>
    <w:rsid w:val="00756522"/>
    <w:rsid w:val="0078461C"/>
    <w:rsid w:val="007C7999"/>
    <w:rsid w:val="007E4815"/>
    <w:rsid w:val="00802355"/>
    <w:rsid w:val="0080316A"/>
    <w:rsid w:val="00815BAF"/>
    <w:rsid w:val="008207A3"/>
    <w:rsid w:val="008544AF"/>
    <w:rsid w:val="00865D6F"/>
    <w:rsid w:val="00870310"/>
    <w:rsid w:val="00891149"/>
    <w:rsid w:val="008935A6"/>
    <w:rsid w:val="00893E1B"/>
    <w:rsid w:val="008A2D01"/>
    <w:rsid w:val="008A5539"/>
    <w:rsid w:val="008B5678"/>
    <w:rsid w:val="008C784F"/>
    <w:rsid w:val="008D059A"/>
    <w:rsid w:val="008D44E6"/>
    <w:rsid w:val="008D4881"/>
    <w:rsid w:val="008D6872"/>
    <w:rsid w:val="008D70B5"/>
    <w:rsid w:val="008E1052"/>
    <w:rsid w:val="008E1E0E"/>
    <w:rsid w:val="008F3063"/>
    <w:rsid w:val="0090433F"/>
    <w:rsid w:val="00911C67"/>
    <w:rsid w:val="00911C8B"/>
    <w:rsid w:val="00920F34"/>
    <w:rsid w:val="00931351"/>
    <w:rsid w:val="00936D29"/>
    <w:rsid w:val="00945D27"/>
    <w:rsid w:val="00955882"/>
    <w:rsid w:val="009922A8"/>
    <w:rsid w:val="009A7834"/>
    <w:rsid w:val="009B2613"/>
    <w:rsid w:val="009C5BDF"/>
    <w:rsid w:val="009D2291"/>
    <w:rsid w:val="009D7B90"/>
    <w:rsid w:val="00A022FF"/>
    <w:rsid w:val="00A06F79"/>
    <w:rsid w:val="00A37EB3"/>
    <w:rsid w:val="00A4151A"/>
    <w:rsid w:val="00A46200"/>
    <w:rsid w:val="00A468A4"/>
    <w:rsid w:val="00A63ADB"/>
    <w:rsid w:val="00A711D5"/>
    <w:rsid w:val="00A813F3"/>
    <w:rsid w:val="00A87E6C"/>
    <w:rsid w:val="00AB076C"/>
    <w:rsid w:val="00AB1994"/>
    <w:rsid w:val="00AC2DA5"/>
    <w:rsid w:val="00B0615A"/>
    <w:rsid w:val="00B11E88"/>
    <w:rsid w:val="00B26136"/>
    <w:rsid w:val="00B60CED"/>
    <w:rsid w:val="00B6195F"/>
    <w:rsid w:val="00B91EC1"/>
    <w:rsid w:val="00B9513D"/>
    <w:rsid w:val="00BA0A19"/>
    <w:rsid w:val="00BA1093"/>
    <w:rsid w:val="00BA2233"/>
    <w:rsid w:val="00BB149F"/>
    <w:rsid w:val="00BB1F56"/>
    <w:rsid w:val="00BB40CD"/>
    <w:rsid w:val="00BE0F69"/>
    <w:rsid w:val="00BE3352"/>
    <w:rsid w:val="00BE78C6"/>
    <w:rsid w:val="00C00DEA"/>
    <w:rsid w:val="00C16901"/>
    <w:rsid w:val="00C47435"/>
    <w:rsid w:val="00CB4C1E"/>
    <w:rsid w:val="00CB5A68"/>
    <w:rsid w:val="00CD1743"/>
    <w:rsid w:val="00CD7194"/>
    <w:rsid w:val="00CE3882"/>
    <w:rsid w:val="00D00190"/>
    <w:rsid w:val="00D05052"/>
    <w:rsid w:val="00D0769C"/>
    <w:rsid w:val="00D07790"/>
    <w:rsid w:val="00D260C2"/>
    <w:rsid w:val="00D36141"/>
    <w:rsid w:val="00D40E58"/>
    <w:rsid w:val="00D44797"/>
    <w:rsid w:val="00D65445"/>
    <w:rsid w:val="00D66DE9"/>
    <w:rsid w:val="00D919C9"/>
    <w:rsid w:val="00DE6F60"/>
    <w:rsid w:val="00E01930"/>
    <w:rsid w:val="00E24A01"/>
    <w:rsid w:val="00E24B3C"/>
    <w:rsid w:val="00E436E7"/>
    <w:rsid w:val="00E46F9C"/>
    <w:rsid w:val="00E51A5A"/>
    <w:rsid w:val="00E55974"/>
    <w:rsid w:val="00E65540"/>
    <w:rsid w:val="00E72AC4"/>
    <w:rsid w:val="00E76087"/>
    <w:rsid w:val="00E93F78"/>
    <w:rsid w:val="00EA1D89"/>
    <w:rsid w:val="00EB4B03"/>
    <w:rsid w:val="00EC251F"/>
    <w:rsid w:val="00EC60D0"/>
    <w:rsid w:val="00ED158A"/>
    <w:rsid w:val="00ED7AFA"/>
    <w:rsid w:val="00ED7F63"/>
    <w:rsid w:val="00EE7987"/>
    <w:rsid w:val="00EF11AD"/>
    <w:rsid w:val="00EF35C1"/>
    <w:rsid w:val="00EF5CD4"/>
    <w:rsid w:val="00EF6802"/>
    <w:rsid w:val="00F0637D"/>
    <w:rsid w:val="00F11E52"/>
    <w:rsid w:val="00F13E82"/>
    <w:rsid w:val="00F21E79"/>
    <w:rsid w:val="00F241E6"/>
    <w:rsid w:val="00F24A39"/>
    <w:rsid w:val="00F47463"/>
    <w:rsid w:val="00F478A7"/>
    <w:rsid w:val="00F633C5"/>
    <w:rsid w:val="00F77F34"/>
    <w:rsid w:val="00F82A6C"/>
    <w:rsid w:val="00FA1431"/>
    <w:rsid w:val="00FA765A"/>
    <w:rsid w:val="00FE2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698912"/>
  <w15:chartTrackingRefBased/>
  <w15:docId w15:val="{40BB158F-4A5D-4676-A122-3401983F9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E7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21E7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21E7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F21E7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1E7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1E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E7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21E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21E7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F21E7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1E7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1E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E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E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E79"/>
    <w:rPr>
      <w:rFonts w:eastAsiaTheme="majorEastAsia" w:cstheme="majorBidi"/>
      <w:color w:val="272727" w:themeColor="text1" w:themeTint="D8"/>
    </w:rPr>
  </w:style>
  <w:style w:type="paragraph" w:styleId="Title">
    <w:name w:val="Title"/>
    <w:basedOn w:val="Normal"/>
    <w:next w:val="Normal"/>
    <w:link w:val="TitleChar"/>
    <w:uiPriority w:val="10"/>
    <w:qFormat/>
    <w:rsid w:val="00F21E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E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E79"/>
    <w:pPr>
      <w:spacing w:before="160"/>
      <w:jc w:val="center"/>
    </w:pPr>
    <w:rPr>
      <w:i/>
      <w:iCs/>
      <w:color w:val="404040" w:themeColor="text1" w:themeTint="BF"/>
    </w:rPr>
  </w:style>
  <w:style w:type="character" w:customStyle="1" w:styleId="QuoteChar">
    <w:name w:val="Quote Char"/>
    <w:basedOn w:val="DefaultParagraphFont"/>
    <w:link w:val="Quote"/>
    <w:uiPriority w:val="29"/>
    <w:rsid w:val="00F21E79"/>
    <w:rPr>
      <w:i/>
      <w:iCs/>
      <w:color w:val="404040" w:themeColor="text1" w:themeTint="BF"/>
    </w:rPr>
  </w:style>
  <w:style w:type="paragraph" w:styleId="ListParagraph">
    <w:name w:val="List Paragraph"/>
    <w:basedOn w:val="Normal"/>
    <w:uiPriority w:val="34"/>
    <w:qFormat/>
    <w:rsid w:val="00F21E79"/>
    <w:pPr>
      <w:ind w:left="720"/>
      <w:contextualSpacing/>
    </w:pPr>
  </w:style>
  <w:style w:type="character" w:styleId="IntenseEmphasis">
    <w:name w:val="Intense Emphasis"/>
    <w:basedOn w:val="DefaultParagraphFont"/>
    <w:uiPriority w:val="21"/>
    <w:qFormat/>
    <w:rsid w:val="00F21E79"/>
    <w:rPr>
      <w:i/>
      <w:iCs/>
      <w:color w:val="2F5496" w:themeColor="accent1" w:themeShade="BF"/>
    </w:rPr>
  </w:style>
  <w:style w:type="paragraph" w:styleId="IntenseQuote">
    <w:name w:val="Intense Quote"/>
    <w:basedOn w:val="Normal"/>
    <w:next w:val="Normal"/>
    <w:link w:val="IntenseQuoteChar"/>
    <w:uiPriority w:val="30"/>
    <w:qFormat/>
    <w:rsid w:val="00F21E7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1E79"/>
    <w:rPr>
      <w:i/>
      <w:iCs/>
      <w:color w:val="2F5496" w:themeColor="accent1" w:themeShade="BF"/>
    </w:rPr>
  </w:style>
  <w:style w:type="character" w:styleId="IntenseReference">
    <w:name w:val="Intense Reference"/>
    <w:basedOn w:val="DefaultParagraphFont"/>
    <w:uiPriority w:val="32"/>
    <w:qFormat/>
    <w:rsid w:val="00F21E79"/>
    <w:rPr>
      <w:b/>
      <w:bCs/>
      <w:smallCaps/>
      <w:color w:val="2F5496" w:themeColor="accent1" w:themeShade="BF"/>
      <w:spacing w:val="5"/>
    </w:rPr>
  </w:style>
  <w:style w:type="paragraph" w:styleId="NormalWeb">
    <w:name w:val="Normal (Web)"/>
    <w:basedOn w:val="Normal"/>
    <w:uiPriority w:val="99"/>
    <w:semiHidden/>
    <w:unhideWhenUsed/>
    <w:rsid w:val="008A55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81773"/>
    <w:rPr>
      <w:b/>
      <w:bCs/>
    </w:rPr>
  </w:style>
  <w:style w:type="character" w:styleId="Emphasis">
    <w:name w:val="Emphasis"/>
    <w:basedOn w:val="DefaultParagraphFont"/>
    <w:uiPriority w:val="20"/>
    <w:qFormat/>
    <w:rsid w:val="00081773"/>
    <w:rPr>
      <w:i/>
      <w:iCs/>
    </w:rPr>
  </w:style>
  <w:style w:type="character" w:styleId="Hyperlink">
    <w:name w:val="Hyperlink"/>
    <w:basedOn w:val="DefaultParagraphFont"/>
    <w:uiPriority w:val="99"/>
    <w:unhideWhenUsed/>
    <w:rsid w:val="00081773"/>
    <w:rPr>
      <w:color w:val="0000FF"/>
      <w:u w:val="single"/>
    </w:rPr>
  </w:style>
  <w:style w:type="character" w:styleId="UnresolvedMention">
    <w:name w:val="Unresolved Mention"/>
    <w:basedOn w:val="DefaultParagraphFont"/>
    <w:uiPriority w:val="99"/>
    <w:semiHidden/>
    <w:unhideWhenUsed/>
    <w:rsid w:val="00081773"/>
    <w:rPr>
      <w:color w:val="605E5C"/>
      <w:shd w:val="clear" w:color="auto" w:fill="E1DFDD"/>
    </w:rPr>
  </w:style>
  <w:style w:type="paragraph" w:styleId="TOCHeading">
    <w:name w:val="TOC Heading"/>
    <w:basedOn w:val="Heading1"/>
    <w:next w:val="Normal"/>
    <w:uiPriority w:val="39"/>
    <w:unhideWhenUsed/>
    <w:qFormat/>
    <w:rsid w:val="00CB5A6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B5A68"/>
    <w:pPr>
      <w:spacing w:after="100"/>
    </w:pPr>
  </w:style>
  <w:style w:type="paragraph" w:styleId="TOC2">
    <w:name w:val="toc 2"/>
    <w:basedOn w:val="Normal"/>
    <w:next w:val="Normal"/>
    <w:autoRedefine/>
    <w:uiPriority w:val="39"/>
    <w:unhideWhenUsed/>
    <w:rsid w:val="00CB5A68"/>
    <w:pPr>
      <w:spacing w:after="100"/>
      <w:ind w:left="220"/>
    </w:pPr>
  </w:style>
  <w:style w:type="paragraph" w:styleId="TOC3">
    <w:name w:val="toc 3"/>
    <w:basedOn w:val="Normal"/>
    <w:next w:val="Normal"/>
    <w:autoRedefine/>
    <w:uiPriority w:val="39"/>
    <w:unhideWhenUsed/>
    <w:rsid w:val="008D4881"/>
    <w:pPr>
      <w:spacing w:after="100"/>
      <w:ind w:left="440"/>
    </w:pPr>
  </w:style>
  <w:style w:type="paragraph" w:styleId="Header">
    <w:name w:val="header"/>
    <w:basedOn w:val="Normal"/>
    <w:link w:val="HeaderChar"/>
    <w:uiPriority w:val="99"/>
    <w:unhideWhenUsed/>
    <w:rsid w:val="00C00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DEA"/>
  </w:style>
  <w:style w:type="paragraph" w:styleId="Footer">
    <w:name w:val="footer"/>
    <w:basedOn w:val="Normal"/>
    <w:link w:val="FooterChar"/>
    <w:uiPriority w:val="99"/>
    <w:unhideWhenUsed/>
    <w:rsid w:val="00C00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mentiastatistics.org/" TargetMode="External"/><Relationship Id="rId18" Type="http://schemas.openxmlformats.org/officeDocument/2006/relationships/hyperlink" Target="https://ageing-better.org.uk/our-ageing-population-state-ageing20234" TargetMode="External"/><Relationship Id="rId26" Type="http://schemas.openxmlformats.org/officeDocument/2006/relationships/hyperlink" Target="https://liverpool.gov.uk/jsna" TargetMode="External"/><Relationship Id="rId39" Type="http://schemas.openxmlformats.org/officeDocument/2006/relationships/hyperlink" Target="https://www.gov.uk/government/publications/health-profile-for-england-2019" TargetMode="External"/><Relationship Id="rId21" Type="http://schemas.openxmlformats.org/officeDocument/2006/relationships/hyperlink" Target="https://doi.org/10.1136/jech-2015-206074" TargetMode="External"/><Relationship Id="rId34" Type="http://schemas.openxmlformats.org/officeDocument/2006/relationships/hyperlink" Target="https://www.england.nhs.uk/publication/nhs-long-term-workforce-plan/" TargetMode="External"/><Relationship Id="rId42" Type="http://schemas.openxmlformats.org/officeDocument/2006/relationships/hyperlink" Target="https://www.legislation.gov.uk/ukpga/2010/15/contents" TargetMode="External"/><Relationship Id="rId47" Type="http://schemas.openxmlformats.org/officeDocument/2006/relationships/hyperlink" Target="https://www.who.int/news-room/questions-and-answers/item/determinants-of-health" TargetMode="External"/><Relationship Id="rId50" Type="http://schemas.openxmlformats.org/officeDocument/2006/relationships/hyperlink" Target="https://www.ons.gov.uk/peoplepopulationandcommunity/birthsdeathsandmarriages/deaths/bulletins/excesswintermortalityinenglandandwales/2020to2021provisionaland2019to2020fina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93/eurpub/ckae081" TargetMode="External"/><Relationship Id="rId29" Type="http://schemas.openxmlformats.org/officeDocument/2006/relationships/hyperlink" Target="https://www.local.gov.uk/marmot-review-report-fair-society-healthy-lives" TargetMode="External"/><Relationship Id="rId11" Type="http://schemas.openxmlformats.org/officeDocument/2006/relationships/image" Target="media/image1.png"/><Relationship Id="rId24" Type="http://schemas.openxmlformats.org/officeDocument/2006/relationships/hyperlink" Target="https://www.instituteofhealthequity.org/resources-reports/inequalities-in-mental-health-cognitive-impairment-and-dementia-among-older-people/inequalities-in-mental-health-cognitive-impairement-and-dementia-among-older-people.pdf" TargetMode="External"/><Relationship Id="rId32" Type="http://schemas.openxmlformats.org/officeDocument/2006/relationships/hyperlink" Target="https://digital.nhs.uk/data-and-information/publications/statistical/quality-and-outcomes-framework-achievement-prevalence-and-exceptions-data/2022-23" TargetMode="External"/><Relationship Id="rId37" Type="http://schemas.openxmlformats.org/officeDocument/2006/relationships/hyperlink" Target="https://academic.oup.com/ageing/article-abstract/38/2/181/16523" TargetMode="External"/><Relationship Id="rId40" Type="http://schemas.openxmlformats.org/officeDocument/2006/relationships/hyperlink" Target="https://www.scie.org.uk/dementia/" TargetMode="External"/><Relationship Id="rId45" Type="http://schemas.openxmlformats.org/officeDocument/2006/relationships/hyperlink" Target="https://doi.org/10.1016/S2468-2667(20)30287-5"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doi.org/10.1093/ije/dyz052" TargetMode="External"/><Relationship Id="rId31" Type="http://schemas.openxmlformats.org/officeDocument/2006/relationships/hyperlink" Target="https://www.england.nhs.uk/2022/12/nhs-launches-new-dementia-diagnosis-drive/" TargetMode="External"/><Relationship Id="rId44" Type="http://schemas.openxmlformats.org/officeDocument/2006/relationships/hyperlink" Target="https://www.legislation.gov.uk/ukpga/2014/23/contents"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lzheimers.org.uk/about-dementia/types-dementia/what-is-dementia" TargetMode="External"/><Relationship Id="rId22" Type="http://schemas.openxmlformats.org/officeDocument/2006/relationships/hyperlink" Target="https://www.gov.uk/government/publications/dementia-applying-all-our-health/dementia-applying-all-our-health" TargetMode="External"/><Relationship Id="rId27" Type="http://schemas.openxmlformats.org/officeDocument/2006/relationships/hyperlink" Target="https://liverpool.gov.uk/council/public-health-liverpool/public-health-annual-report-phar/" TargetMode="External"/><Relationship Id="rId30" Type="http://schemas.openxmlformats.org/officeDocument/2006/relationships/hyperlink" Target="https://www.health.org.uk/reports-and-analysis/reports/health-equity-in-england-the-marmot-review-10-years-on-0" TargetMode="External"/><Relationship Id="rId35" Type="http://schemas.openxmlformats.org/officeDocument/2006/relationships/hyperlink" Target="https://www.nice.org.uk/guidance/ng97" TargetMode="External"/><Relationship Id="rId43" Type="http://schemas.openxmlformats.org/officeDocument/2006/relationships/hyperlink" Target="https://www.legislation.gov.uk/ukpga/1998/42/contents" TargetMode="External"/><Relationship Id="rId48" Type="http://schemas.openxmlformats.org/officeDocument/2006/relationships/hyperlink" Target="https://www.alzheimers.org.uk/about-us/strategy-and-annual-reports/annual-reports" TargetMode="External"/><Relationship Id="rId8" Type="http://schemas.openxmlformats.org/officeDocument/2006/relationships/webSettings" Target="webSetting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ageuk.org.uk/our-impact/policy-research/publications/reports-and-briefings/" TargetMode="External"/><Relationship Id="rId17" Type="http://schemas.openxmlformats.org/officeDocument/2006/relationships/hyperlink" Target="https://www.bhf.org.uk/what-we-do/our-research/heart-statistics/heart-statistics-publications/cardiovascular-disease-statistics-2023" TargetMode="External"/><Relationship Id="rId25" Type="http://schemas.openxmlformats.org/officeDocument/2006/relationships/hyperlink" Target="https://doi.org/10.1093/geronb/gbaa071" TargetMode="External"/><Relationship Id="rId33" Type="http://schemas.openxmlformats.org/officeDocument/2006/relationships/hyperlink" Target="https://www.england.nhs.uk/publication/dementia-good-care-planning-information-for-primary-care-and-commissioners/" TargetMode="External"/><Relationship Id="rId38" Type="http://schemas.openxmlformats.org/officeDocument/2006/relationships/hyperlink" Target="https://fingertips.phe.org.uk/profile/health-profiles" TargetMode="External"/><Relationship Id="rId46" Type="http://schemas.openxmlformats.org/officeDocument/2006/relationships/hyperlink" Target="https://www.who.int/health-topics/dementia" TargetMode="External"/><Relationship Id="rId20" Type="http://schemas.openxmlformats.org/officeDocument/2006/relationships/hyperlink" Target="https://www.gov.uk/government/collections/households-below-average-income-hbai--2" TargetMode="External"/><Relationship Id="rId41" Type="http://schemas.openxmlformats.org/officeDocument/2006/relationships/hyperlink" Target="https://www.gov.uk/government/publications/health-inequalities-in-health-protection-repor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lzheimers.org.uk/about-us/strategy-and-annual-reports/annual-reports/trustees-annual-report-2023-living-with-dementia" TargetMode="External"/><Relationship Id="rId23" Type="http://schemas.openxmlformats.org/officeDocument/2006/relationships/hyperlink" Target="https://www.gov.uk/government/publications/adult-social-care-outcomes-framework-handbook-of-definitions/the-adult-social-care-outcomes-framework-handbook-of-definitions" TargetMode="External"/><Relationship Id="rId28" Type="http://schemas.openxmlformats.org/officeDocument/2006/relationships/hyperlink" Target="https://liverpool.gov.uk/council/public-health-liverpool/" TargetMode="External"/><Relationship Id="rId36" Type="http://schemas.openxmlformats.org/officeDocument/2006/relationships/hyperlink" Target="https://www.ons.gov.uk/peoplepopulationandcommunity/healthandsocialcare/healthandlifeexpectancies/methodologies/healthstatelifeexpectanciesukqmi2020to2022" TargetMode="External"/><Relationship Id="rId49" Type="http://schemas.openxmlformats.org/officeDocument/2006/relationships/hyperlink" Target="https://www.ons.gov.uk/aboutus/transparencyandgovernance/freedomofinformationfoi/dementia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ba7647750a820a7a06539480d9234ec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6f85de5f2d952d747d25406af4fce3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1C5BDA3E-2D88-4B0E-B787-C23AA8205013}">
  <ds:schemaRefs>
    <ds:schemaRef ds:uri="http://schemas.microsoft.com/sharepoint/v3/contenttype/forms"/>
  </ds:schemaRefs>
</ds:datastoreItem>
</file>

<file path=customXml/itemProps2.xml><?xml version="1.0" encoding="utf-8"?>
<ds:datastoreItem xmlns:ds="http://schemas.openxmlformats.org/officeDocument/2006/customXml" ds:itemID="{54021097-4043-4674-920C-3308D9CBAA35}">
  <ds:schemaRefs>
    <ds:schemaRef ds:uri="http://schemas.openxmlformats.org/officeDocument/2006/bibliography"/>
  </ds:schemaRefs>
</ds:datastoreItem>
</file>

<file path=customXml/itemProps3.xml><?xml version="1.0" encoding="utf-8"?>
<ds:datastoreItem xmlns:ds="http://schemas.openxmlformats.org/officeDocument/2006/customXml" ds:itemID="{8907CBEE-3088-4D4D-99E9-2AF6F5E6E6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BD4296-DE96-4B16-9809-74138AEF1A3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20555</TotalTime>
  <Pages>18</Pages>
  <Words>5734</Words>
  <Characters>32686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DRAGHICI</dc:creator>
  <cp:keywords/>
  <dc:description/>
  <cp:lastModifiedBy>Elena Draghici (2214911)</cp:lastModifiedBy>
  <cp:revision>215</cp:revision>
  <dcterms:created xsi:type="dcterms:W3CDTF">2025-11-03T15:40:00Z</dcterms:created>
  <dcterms:modified xsi:type="dcterms:W3CDTF">2025-12-10T10:48:00Z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61efbdf2-9d38-454f-9141-d2b0851171a4</vt:lpwstr>
  </property>
  <property fmtid="{D5CDD505-2E9C-101B-9397-08002B2CF9AE}" pid="3" name="ContentTypeId">
    <vt:lpwstr>0x01010060EEA2F366178047808FA03462A57F61</vt:lpwstr>
  </property>
</Properties>
</file>