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E60C4" w14:textId="77777777" w:rsidR="00DD5150" w:rsidRDefault="00DD5150" w:rsidP="00BB72FF">
      <w:pPr>
        <w:pStyle w:val="Title"/>
        <w:jc w:val="both"/>
      </w:pPr>
    </w:p>
    <w:p w14:paraId="51D34194" w14:textId="77777777" w:rsidR="00DD5150" w:rsidRDefault="00DD5150" w:rsidP="00BB72FF">
      <w:pPr>
        <w:pStyle w:val="Title"/>
        <w:jc w:val="both"/>
      </w:pPr>
    </w:p>
    <w:p w14:paraId="3087A6B4" w14:textId="77777777" w:rsidR="00DD5150" w:rsidRDefault="00DD5150" w:rsidP="00BB72FF">
      <w:pPr>
        <w:pStyle w:val="Title"/>
        <w:jc w:val="both"/>
      </w:pPr>
    </w:p>
    <w:p w14:paraId="5F131C5C" w14:textId="77777777" w:rsidR="00DD5150" w:rsidRDefault="00DD5150" w:rsidP="00BB72FF">
      <w:pPr>
        <w:pStyle w:val="Title"/>
        <w:jc w:val="both"/>
      </w:pPr>
    </w:p>
    <w:p w14:paraId="7B33CE82" w14:textId="77777777" w:rsidR="00DD5150" w:rsidRDefault="00DD5150" w:rsidP="00BB72FF">
      <w:pPr>
        <w:pStyle w:val="Title"/>
        <w:jc w:val="both"/>
      </w:pPr>
    </w:p>
    <w:p w14:paraId="0D86504F" w14:textId="77777777" w:rsidR="00DD5150" w:rsidRDefault="00DD5150" w:rsidP="00BB72FF">
      <w:pPr>
        <w:pStyle w:val="Title"/>
        <w:jc w:val="both"/>
      </w:pPr>
    </w:p>
    <w:p w14:paraId="74C39C92" w14:textId="77777777" w:rsidR="00DD5150" w:rsidRDefault="00DD5150" w:rsidP="00BB72FF">
      <w:pPr>
        <w:pStyle w:val="Title"/>
        <w:jc w:val="both"/>
      </w:pPr>
    </w:p>
    <w:p w14:paraId="0F5A7DE2" w14:textId="77777777" w:rsidR="00DD5150" w:rsidRDefault="00DD5150" w:rsidP="00BB72FF">
      <w:pPr>
        <w:pStyle w:val="Title"/>
        <w:jc w:val="both"/>
      </w:pPr>
    </w:p>
    <w:p w14:paraId="1D9C0FDC" w14:textId="77777777" w:rsidR="00DD5150" w:rsidRDefault="00DD5150" w:rsidP="00BB72FF">
      <w:pPr>
        <w:pStyle w:val="Title"/>
        <w:jc w:val="both"/>
      </w:pPr>
    </w:p>
    <w:p w14:paraId="07192CB6" w14:textId="77777777" w:rsidR="00DD5150" w:rsidRDefault="00DD5150" w:rsidP="00BB72FF">
      <w:pPr>
        <w:pStyle w:val="Title"/>
        <w:jc w:val="both"/>
      </w:pPr>
    </w:p>
    <w:p w14:paraId="6BD50806" w14:textId="77777777" w:rsidR="00DD5150" w:rsidRDefault="00DD5150" w:rsidP="00BB72FF">
      <w:pPr>
        <w:pStyle w:val="Title"/>
        <w:jc w:val="both"/>
      </w:pPr>
    </w:p>
    <w:p w14:paraId="66A1BA13" w14:textId="77777777" w:rsidR="00DD5150" w:rsidRDefault="00DD5150" w:rsidP="00BB72FF">
      <w:pPr>
        <w:pStyle w:val="Title"/>
        <w:jc w:val="both"/>
      </w:pPr>
    </w:p>
    <w:p w14:paraId="656C5A52" w14:textId="77777777" w:rsidR="00DD5150" w:rsidRDefault="00DD5150" w:rsidP="00BB72FF">
      <w:pPr>
        <w:pStyle w:val="Title"/>
        <w:jc w:val="both"/>
      </w:pPr>
    </w:p>
    <w:p w14:paraId="08D1D974" w14:textId="2AE3607B" w:rsidR="00DD5150" w:rsidRDefault="00A90D57" w:rsidP="00BB72FF">
      <w:pPr>
        <w:pStyle w:val="Title"/>
        <w:jc w:val="both"/>
      </w:pPr>
      <w:r>
        <w:t xml:space="preserve">            </w:t>
      </w:r>
      <w:r w:rsidR="00DD5150">
        <w:t xml:space="preserve"> Management</w:t>
      </w:r>
      <w:r w:rsidR="00530D9B">
        <w:t xml:space="preserve"> Accounting</w:t>
      </w:r>
    </w:p>
    <w:p w14:paraId="541C73CE" w14:textId="2C48533A" w:rsidR="00A90D57" w:rsidRDefault="00A90D57" w:rsidP="00A90D57">
      <w:r>
        <w:t xml:space="preserve">         </w:t>
      </w:r>
    </w:p>
    <w:p w14:paraId="6DADAFE2" w14:textId="38FEF53E" w:rsidR="00A90D57" w:rsidRPr="00A90D57" w:rsidRDefault="00A90D57" w:rsidP="00A90D57">
      <w:pPr>
        <w:rPr>
          <w:sz w:val="32"/>
          <w:szCs w:val="32"/>
        </w:rPr>
      </w:pPr>
      <w:r>
        <w:t xml:space="preserve">                                                     </w:t>
      </w:r>
      <w:proofErr w:type="spellStart"/>
      <w:r w:rsidRPr="00A90D57">
        <w:rPr>
          <w:sz w:val="32"/>
          <w:szCs w:val="32"/>
        </w:rPr>
        <w:t>Iavor</w:t>
      </w:r>
      <w:proofErr w:type="spellEnd"/>
      <w:r w:rsidRPr="00A90D57">
        <w:rPr>
          <w:sz w:val="32"/>
          <w:szCs w:val="32"/>
        </w:rPr>
        <w:t xml:space="preserve"> Stanimirov</w:t>
      </w:r>
    </w:p>
    <w:p w14:paraId="3E7FA525" w14:textId="28132B82" w:rsidR="00A90D57" w:rsidRPr="00A90D57" w:rsidRDefault="00A90D57" w:rsidP="00A90D57">
      <w:r>
        <w:t xml:space="preserve">                                                           SID; 1921573</w:t>
      </w:r>
    </w:p>
    <w:p w14:paraId="758FEC90" w14:textId="77777777" w:rsidR="00DD5150" w:rsidRDefault="00DD5150" w:rsidP="00BB72FF">
      <w:pPr>
        <w:pStyle w:val="Heading1"/>
        <w:jc w:val="both"/>
      </w:pPr>
    </w:p>
    <w:p w14:paraId="2D733DB6" w14:textId="77777777" w:rsidR="00DD5150" w:rsidRDefault="00DD5150" w:rsidP="00BB72FF">
      <w:pPr>
        <w:spacing w:line="259" w:lineRule="auto"/>
        <w:jc w:val="both"/>
        <w:rPr>
          <w:rFonts w:eastAsiaTheme="majorEastAsia" w:cstheme="majorBidi"/>
          <w:b/>
          <w:sz w:val="28"/>
          <w:szCs w:val="32"/>
        </w:rPr>
      </w:pPr>
      <w:r>
        <w:br w:type="page"/>
      </w:r>
    </w:p>
    <w:sdt>
      <w:sdtPr>
        <w:rPr>
          <w:rFonts w:ascii="Times New Roman" w:eastAsiaTheme="minorHAnsi" w:hAnsi="Times New Roman" w:cstheme="minorBidi"/>
          <w:color w:val="auto"/>
          <w:sz w:val="24"/>
          <w:szCs w:val="22"/>
          <w:lang w:val="en-GB"/>
        </w:rPr>
        <w:id w:val="-2117280866"/>
        <w:docPartObj>
          <w:docPartGallery w:val="Table of Contents"/>
          <w:docPartUnique/>
        </w:docPartObj>
      </w:sdtPr>
      <w:sdtEndPr>
        <w:rPr>
          <w:b/>
          <w:bCs/>
          <w:noProof/>
        </w:rPr>
      </w:sdtEndPr>
      <w:sdtContent>
        <w:p w14:paraId="39132A16" w14:textId="77777777" w:rsidR="0003414A" w:rsidRDefault="0003414A" w:rsidP="00BB72FF">
          <w:pPr>
            <w:pStyle w:val="TOCHeading"/>
            <w:jc w:val="both"/>
          </w:pPr>
          <w:r>
            <w:t>Table of Contents</w:t>
          </w:r>
        </w:p>
        <w:p w14:paraId="2F4265F6" w14:textId="77777777" w:rsidR="0003414A" w:rsidRDefault="00530D9B" w:rsidP="00BB72FF">
          <w:pPr>
            <w:pStyle w:val="TOC1"/>
            <w:tabs>
              <w:tab w:val="right" w:leader="dot" w:pos="9016"/>
            </w:tabs>
            <w:jc w:val="both"/>
            <w:rPr>
              <w:noProof/>
            </w:rPr>
          </w:pPr>
          <w:hyperlink w:anchor="_Toc91603370" w:history="1">
            <w:r w:rsidR="0003414A" w:rsidRPr="003958E6">
              <w:rPr>
                <w:rStyle w:val="Hyperlink"/>
                <w:noProof/>
              </w:rPr>
              <w:t>Introduction</w:t>
            </w:r>
            <w:r w:rsidR="0003414A">
              <w:rPr>
                <w:noProof/>
                <w:webHidden/>
              </w:rPr>
              <w:tab/>
            </w:r>
            <w:r w:rsidR="0003414A">
              <w:rPr>
                <w:noProof/>
                <w:webHidden/>
              </w:rPr>
              <w:fldChar w:fldCharType="begin"/>
            </w:r>
            <w:r w:rsidR="0003414A">
              <w:rPr>
                <w:noProof/>
                <w:webHidden/>
              </w:rPr>
              <w:instrText xml:space="preserve"> PAGEREF _Toc91603370 \h </w:instrText>
            </w:r>
            <w:r w:rsidR="0003414A">
              <w:rPr>
                <w:noProof/>
                <w:webHidden/>
              </w:rPr>
            </w:r>
            <w:r w:rsidR="0003414A">
              <w:rPr>
                <w:noProof/>
                <w:webHidden/>
              </w:rPr>
              <w:fldChar w:fldCharType="separate"/>
            </w:r>
            <w:r w:rsidR="0003414A">
              <w:rPr>
                <w:noProof/>
                <w:webHidden/>
              </w:rPr>
              <w:t>2</w:t>
            </w:r>
            <w:r w:rsidR="0003414A">
              <w:rPr>
                <w:noProof/>
                <w:webHidden/>
              </w:rPr>
              <w:fldChar w:fldCharType="end"/>
            </w:r>
          </w:hyperlink>
        </w:p>
        <w:p w14:paraId="214E4B49" w14:textId="77777777" w:rsidR="0003414A" w:rsidRDefault="00530D9B" w:rsidP="00BB72FF">
          <w:pPr>
            <w:pStyle w:val="TOC1"/>
            <w:tabs>
              <w:tab w:val="right" w:leader="dot" w:pos="9016"/>
            </w:tabs>
            <w:jc w:val="both"/>
            <w:rPr>
              <w:noProof/>
            </w:rPr>
          </w:pPr>
          <w:hyperlink w:anchor="_Toc91603371" w:history="1">
            <w:r w:rsidR="0003414A" w:rsidRPr="003958E6">
              <w:rPr>
                <w:rStyle w:val="Hyperlink"/>
                <w:noProof/>
              </w:rPr>
              <w:t>Budget</w:t>
            </w:r>
            <w:r w:rsidR="0003414A">
              <w:rPr>
                <w:noProof/>
                <w:webHidden/>
              </w:rPr>
              <w:tab/>
              <w:t>3</w:t>
            </w:r>
          </w:hyperlink>
        </w:p>
        <w:p w14:paraId="53AAFCD8" w14:textId="77777777" w:rsidR="0003414A" w:rsidRDefault="00530D9B" w:rsidP="00BB72FF">
          <w:pPr>
            <w:pStyle w:val="TOC2"/>
            <w:tabs>
              <w:tab w:val="right" w:leader="dot" w:pos="9016"/>
            </w:tabs>
            <w:jc w:val="both"/>
            <w:rPr>
              <w:noProof/>
            </w:rPr>
          </w:pPr>
          <w:hyperlink w:anchor="_Toc91603372" w:history="1">
            <w:r w:rsidR="0003414A" w:rsidRPr="003958E6">
              <w:rPr>
                <w:rStyle w:val="Hyperlink"/>
                <w:noProof/>
              </w:rPr>
              <w:t>Amana’s performance for the year 2020</w:t>
            </w:r>
            <w:r w:rsidR="0003414A">
              <w:rPr>
                <w:noProof/>
                <w:webHidden/>
              </w:rPr>
              <w:tab/>
              <w:t>4</w:t>
            </w:r>
          </w:hyperlink>
        </w:p>
        <w:p w14:paraId="61B2D5B0" w14:textId="77777777" w:rsidR="0003414A" w:rsidRDefault="00530D9B" w:rsidP="00BB72FF">
          <w:pPr>
            <w:pStyle w:val="TOC1"/>
            <w:tabs>
              <w:tab w:val="right" w:leader="dot" w:pos="9016"/>
            </w:tabs>
            <w:jc w:val="both"/>
            <w:rPr>
              <w:noProof/>
            </w:rPr>
          </w:pPr>
          <w:hyperlink w:anchor="_Toc91603373" w:history="1">
            <w:r w:rsidR="0003414A" w:rsidRPr="003958E6">
              <w:rPr>
                <w:rStyle w:val="Hyperlink"/>
                <w:noProof/>
              </w:rPr>
              <w:t>Recommendations</w:t>
            </w:r>
            <w:r w:rsidR="0003414A">
              <w:rPr>
                <w:noProof/>
                <w:webHidden/>
              </w:rPr>
              <w:tab/>
              <w:t>5</w:t>
            </w:r>
          </w:hyperlink>
        </w:p>
        <w:p w14:paraId="24BCBE5F" w14:textId="77777777" w:rsidR="0003414A" w:rsidRDefault="00530D9B" w:rsidP="00BB72FF">
          <w:pPr>
            <w:pStyle w:val="TOC1"/>
            <w:tabs>
              <w:tab w:val="right" w:leader="dot" w:pos="9016"/>
            </w:tabs>
            <w:jc w:val="both"/>
            <w:rPr>
              <w:noProof/>
            </w:rPr>
          </w:pPr>
          <w:hyperlink w:anchor="_Toc91603374" w:history="1">
            <w:r w:rsidR="0003414A" w:rsidRPr="003958E6">
              <w:rPr>
                <w:rStyle w:val="Hyperlink"/>
                <w:noProof/>
              </w:rPr>
              <w:t>Part 2</w:t>
            </w:r>
            <w:r w:rsidR="0003414A">
              <w:rPr>
                <w:noProof/>
                <w:webHidden/>
              </w:rPr>
              <w:tab/>
              <w:t>7</w:t>
            </w:r>
          </w:hyperlink>
        </w:p>
        <w:p w14:paraId="77DFF888" w14:textId="77777777" w:rsidR="0003414A" w:rsidRDefault="00530D9B" w:rsidP="00BB72FF">
          <w:pPr>
            <w:pStyle w:val="TOC1"/>
            <w:tabs>
              <w:tab w:val="right" w:leader="dot" w:pos="9016"/>
            </w:tabs>
            <w:jc w:val="both"/>
            <w:rPr>
              <w:noProof/>
            </w:rPr>
          </w:pPr>
          <w:hyperlink w:anchor="_Toc91603375" w:history="1">
            <w:r w:rsidR="0003414A" w:rsidRPr="003958E6">
              <w:rPr>
                <w:rStyle w:val="Hyperlink"/>
                <w:noProof/>
              </w:rPr>
              <w:t>Conclusion</w:t>
            </w:r>
            <w:r w:rsidR="0003414A">
              <w:rPr>
                <w:noProof/>
                <w:webHidden/>
              </w:rPr>
              <w:tab/>
              <w:t>10</w:t>
            </w:r>
          </w:hyperlink>
        </w:p>
        <w:p w14:paraId="664E782F" w14:textId="77777777" w:rsidR="0003414A" w:rsidRDefault="00530D9B" w:rsidP="00BB72FF">
          <w:pPr>
            <w:pStyle w:val="TOC1"/>
            <w:tabs>
              <w:tab w:val="right" w:leader="dot" w:pos="9016"/>
            </w:tabs>
            <w:jc w:val="both"/>
            <w:rPr>
              <w:noProof/>
            </w:rPr>
          </w:pPr>
          <w:hyperlink w:anchor="_Toc91603376" w:history="1">
            <w:r w:rsidR="0003414A" w:rsidRPr="003958E6">
              <w:rPr>
                <w:rStyle w:val="Hyperlink"/>
                <w:noProof/>
              </w:rPr>
              <w:t>References</w:t>
            </w:r>
            <w:r w:rsidR="0003414A">
              <w:rPr>
                <w:noProof/>
                <w:webHidden/>
              </w:rPr>
              <w:tab/>
              <w:t>11</w:t>
            </w:r>
          </w:hyperlink>
        </w:p>
        <w:p w14:paraId="6B6589CC" w14:textId="77777777" w:rsidR="0003414A" w:rsidRDefault="00530D9B" w:rsidP="00BB72FF">
          <w:pPr>
            <w:jc w:val="both"/>
          </w:pPr>
        </w:p>
      </w:sdtContent>
    </w:sdt>
    <w:p w14:paraId="31645870" w14:textId="77777777" w:rsidR="0003414A" w:rsidRDefault="0003414A" w:rsidP="00BB72FF">
      <w:pPr>
        <w:spacing w:line="259" w:lineRule="auto"/>
        <w:jc w:val="both"/>
        <w:rPr>
          <w:rFonts w:eastAsiaTheme="majorEastAsia" w:cstheme="majorBidi"/>
          <w:b/>
          <w:sz w:val="28"/>
          <w:szCs w:val="32"/>
        </w:rPr>
      </w:pPr>
      <w:bookmarkStart w:id="0" w:name="_Toc91603370"/>
      <w:r>
        <w:br w:type="page"/>
      </w:r>
    </w:p>
    <w:p w14:paraId="71A187F1" w14:textId="77777777" w:rsidR="00DD5150" w:rsidRDefault="00DD5150" w:rsidP="00BB72FF">
      <w:pPr>
        <w:pStyle w:val="Heading1"/>
        <w:jc w:val="both"/>
      </w:pPr>
      <w:r>
        <w:lastRenderedPageBreak/>
        <w:t>Introduction</w:t>
      </w:r>
      <w:bookmarkEnd w:id="0"/>
    </w:p>
    <w:p w14:paraId="5CE91EC9" w14:textId="77777777" w:rsidR="00B1562C" w:rsidRDefault="00163AF3" w:rsidP="00BB72FF">
      <w:pPr>
        <w:jc w:val="both"/>
      </w:pPr>
      <w:r>
        <w:t xml:space="preserve">One could create budgets that fluctuate according with volume of engagement while preserving a link among variables, i.e. the spending behaviour parameters (costs per unit for dynamic cost and actual cost for fixed expenses) for each of these expenditures. Remain constant in this scenario; we are discussing a budget plan as opposed to a set budget. Both of these are designed for a specific level of transactions and should be valid just for that amount. Its utility is consequently diminished in comparison to that of a variable cost. </w:t>
      </w:r>
      <w:r w:rsidRPr="00163AF3">
        <w:t>A flexible budget is a prediction of spending of a centre of research produced for varied primary outcome estimates. The flexible budget of expenses should be tailored to foreseen variations in the level of transactions carried out from the firm, and shall adjust to multiple distinct volumes of working groups.</w:t>
      </w:r>
      <w:r>
        <w:t xml:space="preserve"> </w:t>
      </w:r>
    </w:p>
    <w:p w14:paraId="764EF722" w14:textId="77777777" w:rsidR="00DD5150" w:rsidRDefault="00DD5150" w:rsidP="00BB72FF">
      <w:pPr>
        <w:jc w:val="both"/>
      </w:pPr>
      <w:r w:rsidRPr="00DD5150">
        <w:t>Amana Ltd is a family tourism firm in the United Kingdom that provides guests with presents. A Chinese manufacturer produces souvenirs inspired on designs generated by the Amana team. The Covid-19 outbreak has exploded in England, causing the government to impose travel and transit restrictions, negatively influencing the tourism industry. Amana's revenue dropped drastically in April 2020 since people were unable to visit during the Easter vacations. The summer of 2020 saw a huge boost in sales, but the extended lock down between December 2020 and February 2021 depleted any extra money generated.</w:t>
      </w:r>
    </w:p>
    <w:p w14:paraId="4E6BC5B1" w14:textId="77777777" w:rsidR="00DD5150" w:rsidRDefault="00DD5150" w:rsidP="00BB72FF">
      <w:pPr>
        <w:jc w:val="both"/>
      </w:pPr>
      <w:r>
        <w:t>The report is split into two parts. The first part deals with case studies, which comprise a monthly control report that includes the original budget, the flexible budget, and the deviations. Prepare a report on Amana's performance in 2020 based on the control report. Finally, provide ideas to Amana's CEO regarding areas for improvement.</w:t>
      </w:r>
    </w:p>
    <w:p w14:paraId="178BF856" w14:textId="77777777" w:rsidR="00DD5150" w:rsidRDefault="00DD5150" w:rsidP="00BB72FF">
      <w:pPr>
        <w:jc w:val="both"/>
      </w:pPr>
      <w:r>
        <w:t>The second section of the research analysed Mr. Amana's decision to go online and offered advice on whether they should build their own online store or sell on Amazon.</w:t>
      </w:r>
    </w:p>
    <w:p w14:paraId="6FC2B755" w14:textId="77777777" w:rsidR="00DD5150" w:rsidRDefault="00DD5150" w:rsidP="00BB72FF">
      <w:pPr>
        <w:spacing w:line="259" w:lineRule="auto"/>
        <w:jc w:val="both"/>
      </w:pPr>
      <w:r>
        <w:br w:type="page"/>
      </w:r>
    </w:p>
    <w:p w14:paraId="1C002BA5" w14:textId="77777777" w:rsidR="00DD5150" w:rsidRDefault="00DD5150" w:rsidP="00BB72FF">
      <w:pPr>
        <w:pStyle w:val="Heading1"/>
        <w:jc w:val="both"/>
      </w:pPr>
      <w:bookmarkStart w:id="1" w:name="_Toc91603371"/>
      <w:r>
        <w:lastRenderedPageBreak/>
        <w:t>Budget</w:t>
      </w:r>
      <w:bookmarkEnd w:id="1"/>
    </w:p>
    <w:p w14:paraId="4D9724D8" w14:textId="77777777" w:rsidR="00163AF3" w:rsidRDefault="00DD5150" w:rsidP="00BB72FF">
      <w:pPr>
        <w:jc w:val="both"/>
      </w:pPr>
      <w:r>
        <w:t>O</w:t>
      </w:r>
      <w:r w:rsidR="00163AF3" w:rsidRPr="00163AF3">
        <w:t>ne requirement must be met before using the flexible budget: the cost behaviour in response to the level of transactions must be understood. There are two types of expenses in a flexible budget: variable costs and overhead expenses. Whether there are semi-variable expenditures, these will be broken down into fixed and variable components</w:t>
      </w:r>
      <w:r w:rsidR="009302B0">
        <w:t xml:space="preserve"> (</w:t>
      </w:r>
      <w:proofErr w:type="spellStart"/>
      <w:r w:rsidR="009302B0">
        <w:t>Bybordi</w:t>
      </w:r>
      <w:proofErr w:type="spellEnd"/>
      <w:r w:rsidR="009302B0">
        <w:t xml:space="preserve"> et al., 2019)</w:t>
      </w:r>
      <w:r w:rsidR="00163AF3" w:rsidRPr="00163AF3">
        <w:t xml:space="preserve">. Volatile expenses are incurred whose total value tends to follow the behaviour of the based device represented in subtasks. Work units could be used to measure a </w:t>
      </w:r>
      <w:r w:rsidRPr="00163AF3">
        <w:t>centre’s</w:t>
      </w:r>
      <w:r w:rsidR="00163AF3" w:rsidRPr="00163AF3">
        <w:t xml:space="preserve"> output for assessment and planning administrative costs: the amount of hours of plant equipment (machines hours), total number of working hours of direct materials (labour hours), and the quantity of produce obtained (</w:t>
      </w:r>
      <w:r w:rsidR="004F64F9" w:rsidRPr="004F64F9">
        <w:t>when output is uniform and can be added up</w:t>
      </w:r>
      <w:r w:rsidR="00163AF3" w:rsidRPr="00163AF3">
        <w:t>).</w:t>
      </w:r>
      <w:r w:rsidR="00163AF3">
        <w:t xml:space="preserve"> </w:t>
      </w:r>
      <w:r w:rsidR="004F64F9">
        <w:t xml:space="preserve"> </w:t>
      </w:r>
      <w:r w:rsidR="004F64F9" w:rsidRPr="004F64F9">
        <w:t>Fixed costs are costs that are relatively consistent in comparison to the number of activities (Linear depreciation, for instance, will be the same terms of the quantity of units of labour</w:t>
      </w:r>
      <w:r w:rsidR="004F64F9">
        <w:t>)</w:t>
      </w:r>
      <w:r w:rsidR="004F64F9" w:rsidRPr="004F64F9">
        <w:t>.</w:t>
      </w:r>
      <w:r w:rsidR="004F64F9">
        <w:t xml:space="preserve"> </w:t>
      </w:r>
      <w:r w:rsidR="004F64F9" w:rsidRPr="004F64F9">
        <w:t>Semi-variable expenditures are those that have a fixed component and a component that changes in accordance to the volume of engagement.</w:t>
      </w:r>
      <w:r w:rsidR="004F64F9">
        <w:t xml:space="preserve"> </w:t>
      </w:r>
    </w:p>
    <w:p w14:paraId="3A6D4C62" w14:textId="77777777" w:rsidR="00C84FBE" w:rsidRDefault="00C63114" w:rsidP="00BB72FF">
      <w:pPr>
        <w:jc w:val="both"/>
      </w:pPr>
      <w:r w:rsidRPr="00C63114">
        <w:t>To prepare a flex budget for various activities carried out in the firm, one must first understand how their costs fluctuate as their volume of activity changes</w:t>
      </w:r>
      <w:r w:rsidR="009302B0">
        <w:t xml:space="preserve"> (Arnold </w:t>
      </w:r>
      <w:r w:rsidR="009302B0" w:rsidRPr="009302B0">
        <w:t xml:space="preserve">and </w:t>
      </w:r>
      <w:proofErr w:type="spellStart"/>
      <w:r w:rsidR="009302B0" w:rsidRPr="009302B0">
        <w:t>Artz</w:t>
      </w:r>
      <w:proofErr w:type="spellEnd"/>
      <w:r w:rsidR="009302B0">
        <w:t>, 2019)</w:t>
      </w:r>
      <w:r w:rsidRPr="00C63114">
        <w:t>. The overall variable cost of doing business is proportional to the change in activity. In their range, the firm's overall fixed cost remained steady.</w:t>
      </w:r>
      <w:r>
        <w:t xml:space="preserve"> </w:t>
      </w:r>
    </w:p>
    <w:p w14:paraId="0E18243F" w14:textId="77777777" w:rsidR="00DD5150" w:rsidRPr="00DD5150" w:rsidRDefault="00DD5150" w:rsidP="00BB72FF">
      <w:pPr>
        <w:jc w:val="both"/>
        <w:rPr>
          <w:b/>
          <w:bCs/>
          <w:sz w:val="28"/>
          <w:szCs w:val="24"/>
        </w:rPr>
      </w:pPr>
      <w:r w:rsidRPr="00DD5150">
        <w:rPr>
          <w:b/>
          <w:bCs/>
          <w:sz w:val="28"/>
          <w:szCs w:val="24"/>
        </w:rPr>
        <w:t>FLEXED BUDGET</w:t>
      </w:r>
    </w:p>
    <w:tbl>
      <w:tblPr>
        <w:tblW w:w="9927" w:type="dxa"/>
        <w:tblLook w:val="04A0" w:firstRow="1" w:lastRow="0" w:firstColumn="1" w:lastColumn="0" w:noHBand="0" w:noVBand="1"/>
      </w:tblPr>
      <w:tblGrid>
        <w:gridCol w:w="3108"/>
        <w:gridCol w:w="943"/>
        <w:gridCol w:w="1262"/>
        <w:gridCol w:w="1538"/>
        <w:gridCol w:w="1538"/>
        <w:gridCol w:w="1538"/>
      </w:tblGrid>
      <w:tr w:rsidR="00C84FBE" w:rsidRPr="00C84FBE" w14:paraId="044799AC" w14:textId="77777777" w:rsidTr="00C84FBE">
        <w:trPr>
          <w:trHeight w:val="290"/>
        </w:trPr>
        <w:tc>
          <w:tcPr>
            <w:tcW w:w="3108" w:type="dxa"/>
            <w:tcBorders>
              <w:top w:val="single" w:sz="4" w:space="0" w:color="auto"/>
              <w:left w:val="single" w:sz="4" w:space="0" w:color="auto"/>
              <w:bottom w:val="single" w:sz="4" w:space="0" w:color="auto"/>
              <w:right w:val="single" w:sz="4" w:space="0" w:color="auto"/>
            </w:tcBorders>
            <w:shd w:val="clear" w:color="000000" w:fill="E3E3E3"/>
            <w:noWrap/>
            <w:vAlign w:val="bottom"/>
            <w:hideMark/>
          </w:tcPr>
          <w:p w14:paraId="4F3333C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943" w:type="dxa"/>
            <w:tcBorders>
              <w:top w:val="single" w:sz="4" w:space="0" w:color="auto"/>
              <w:left w:val="nil"/>
              <w:bottom w:val="single" w:sz="4" w:space="0" w:color="auto"/>
              <w:right w:val="single" w:sz="4" w:space="0" w:color="auto"/>
            </w:tcBorders>
            <w:shd w:val="clear" w:color="000000" w:fill="E3E3E3"/>
            <w:noWrap/>
            <w:vAlign w:val="bottom"/>
            <w:hideMark/>
          </w:tcPr>
          <w:p w14:paraId="7A56C15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single" w:sz="4" w:space="0" w:color="auto"/>
              <w:left w:val="nil"/>
              <w:bottom w:val="single" w:sz="4" w:space="0" w:color="auto"/>
              <w:right w:val="single" w:sz="4" w:space="0" w:color="auto"/>
            </w:tcBorders>
            <w:shd w:val="clear" w:color="000000" w:fill="E3E3E3"/>
            <w:noWrap/>
            <w:vAlign w:val="bottom"/>
            <w:hideMark/>
          </w:tcPr>
          <w:p w14:paraId="6D443B8F"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Variable Cost </w:t>
            </w:r>
          </w:p>
        </w:tc>
        <w:tc>
          <w:tcPr>
            <w:tcW w:w="1538" w:type="dxa"/>
            <w:tcBorders>
              <w:top w:val="single" w:sz="4" w:space="0" w:color="auto"/>
              <w:left w:val="nil"/>
              <w:bottom w:val="single" w:sz="4" w:space="0" w:color="auto"/>
              <w:right w:val="single" w:sz="4" w:space="0" w:color="auto"/>
            </w:tcBorders>
            <w:shd w:val="clear" w:color="000000" w:fill="E3E3E3"/>
            <w:noWrap/>
            <w:vAlign w:val="bottom"/>
            <w:hideMark/>
          </w:tcPr>
          <w:p w14:paraId="6DADE10C"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Original </w:t>
            </w:r>
          </w:p>
        </w:tc>
        <w:tc>
          <w:tcPr>
            <w:tcW w:w="1538" w:type="dxa"/>
            <w:tcBorders>
              <w:top w:val="single" w:sz="4" w:space="0" w:color="auto"/>
              <w:left w:val="nil"/>
              <w:bottom w:val="single" w:sz="4" w:space="0" w:color="auto"/>
              <w:right w:val="single" w:sz="4" w:space="0" w:color="auto"/>
            </w:tcBorders>
            <w:shd w:val="clear" w:color="000000" w:fill="E3E3E3"/>
            <w:noWrap/>
            <w:vAlign w:val="bottom"/>
            <w:hideMark/>
          </w:tcPr>
          <w:p w14:paraId="429F6C31"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Actual </w:t>
            </w:r>
          </w:p>
        </w:tc>
        <w:tc>
          <w:tcPr>
            <w:tcW w:w="1538" w:type="dxa"/>
            <w:tcBorders>
              <w:top w:val="single" w:sz="4" w:space="0" w:color="auto"/>
              <w:left w:val="nil"/>
              <w:bottom w:val="single" w:sz="4" w:space="0" w:color="auto"/>
              <w:right w:val="single" w:sz="4" w:space="0" w:color="auto"/>
            </w:tcBorders>
            <w:shd w:val="clear" w:color="000000" w:fill="E3E3E3"/>
            <w:noWrap/>
            <w:vAlign w:val="bottom"/>
            <w:hideMark/>
          </w:tcPr>
          <w:p w14:paraId="79065DC0"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Variance </w:t>
            </w:r>
          </w:p>
        </w:tc>
      </w:tr>
      <w:tr w:rsidR="00C84FBE" w:rsidRPr="00C84FBE" w14:paraId="3AD74BE2" w14:textId="77777777" w:rsidTr="00C84FBE">
        <w:trPr>
          <w:trHeight w:val="290"/>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49DF05F8"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Cost Item </w:t>
            </w:r>
          </w:p>
        </w:tc>
        <w:tc>
          <w:tcPr>
            <w:tcW w:w="943" w:type="dxa"/>
            <w:tcBorders>
              <w:top w:val="nil"/>
              <w:left w:val="nil"/>
              <w:bottom w:val="single" w:sz="4" w:space="0" w:color="auto"/>
              <w:right w:val="single" w:sz="4" w:space="0" w:color="auto"/>
            </w:tcBorders>
            <w:shd w:val="clear" w:color="000000" w:fill="E3E3E3"/>
            <w:noWrap/>
            <w:vAlign w:val="bottom"/>
            <w:hideMark/>
          </w:tcPr>
          <w:p w14:paraId="0BF4D49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4A8B4724"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Per Unit </w:t>
            </w:r>
          </w:p>
        </w:tc>
        <w:tc>
          <w:tcPr>
            <w:tcW w:w="1538" w:type="dxa"/>
            <w:tcBorders>
              <w:top w:val="nil"/>
              <w:left w:val="nil"/>
              <w:bottom w:val="single" w:sz="4" w:space="0" w:color="auto"/>
              <w:right w:val="single" w:sz="4" w:space="0" w:color="auto"/>
            </w:tcBorders>
            <w:shd w:val="clear" w:color="000000" w:fill="E3E3E3"/>
            <w:noWrap/>
            <w:vAlign w:val="bottom"/>
            <w:hideMark/>
          </w:tcPr>
          <w:p w14:paraId="5C351E1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£ 100,000.00 </w:t>
            </w:r>
          </w:p>
        </w:tc>
        <w:tc>
          <w:tcPr>
            <w:tcW w:w="1538" w:type="dxa"/>
            <w:tcBorders>
              <w:top w:val="nil"/>
              <w:left w:val="nil"/>
              <w:bottom w:val="single" w:sz="4" w:space="0" w:color="auto"/>
              <w:right w:val="single" w:sz="4" w:space="0" w:color="auto"/>
            </w:tcBorders>
            <w:shd w:val="clear" w:color="000000" w:fill="E3E3E3"/>
            <w:noWrap/>
            <w:vAlign w:val="bottom"/>
            <w:hideMark/>
          </w:tcPr>
          <w:p w14:paraId="7CCF8B4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80,000.00 </w:t>
            </w:r>
          </w:p>
        </w:tc>
        <w:tc>
          <w:tcPr>
            <w:tcW w:w="1538" w:type="dxa"/>
            <w:tcBorders>
              <w:top w:val="nil"/>
              <w:left w:val="nil"/>
              <w:bottom w:val="single" w:sz="4" w:space="0" w:color="auto"/>
              <w:right w:val="single" w:sz="4" w:space="0" w:color="auto"/>
            </w:tcBorders>
            <w:shd w:val="clear" w:color="000000" w:fill="E3E3E3"/>
            <w:noWrap/>
            <w:vAlign w:val="bottom"/>
            <w:hideMark/>
          </w:tcPr>
          <w:p w14:paraId="411E19F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20,000.00 </w:t>
            </w:r>
          </w:p>
        </w:tc>
      </w:tr>
      <w:tr w:rsidR="00C84FBE" w:rsidRPr="00C84FBE" w14:paraId="350B2517"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7087028D"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Selling price </w:t>
            </w:r>
          </w:p>
        </w:tc>
        <w:tc>
          <w:tcPr>
            <w:tcW w:w="943" w:type="dxa"/>
            <w:tcBorders>
              <w:top w:val="nil"/>
              <w:left w:val="nil"/>
              <w:bottom w:val="single" w:sz="4" w:space="0" w:color="auto"/>
              <w:right w:val="single" w:sz="4" w:space="0" w:color="auto"/>
            </w:tcBorders>
            <w:shd w:val="clear" w:color="auto" w:fill="auto"/>
            <w:noWrap/>
            <w:vAlign w:val="bottom"/>
            <w:hideMark/>
          </w:tcPr>
          <w:p w14:paraId="0679D92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0B8D7A3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25.00 </w:t>
            </w:r>
          </w:p>
        </w:tc>
        <w:tc>
          <w:tcPr>
            <w:tcW w:w="1538" w:type="dxa"/>
            <w:tcBorders>
              <w:top w:val="nil"/>
              <w:left w:val="nil"/>
              <w:bottom w:val="single" w:sz="4" w:space="0" w:color="auto"/>
              <w:right w:val="single" w:sz="4" w:space="0" w:color="auto"/>
            </w:tcBorders>
            <w:shd w:val="clear" w:color="auto" w:fill="auto"/>
            <w:noWrap/>
            <w:vAlign w:val="bottom"/>
            <w:hideMark/>
          </w:tcPr>
          <w:p w14:paraId="4D96C59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2500000</w:t>
            </w:r>
          </w:p>
        </w:tc>
        <w:tc>
          <w:tcPr>
            <w:tcW w:w="1538" w:type="dxa"/>
            <w:tcBorders>
              <w:top w:val="nil"/>
              <w:left w:val="nil"/>
              <w:bottom w:val="single" w:sz="4" w:space="0" w:color="auto"/>
              <w:right w:val="single" w:sz="4" w:space="0" w:color="auto"/>
            </w:tcBorders>
            <w:shd w:val="clear" w:color="auto" w:fill="auto"/>
            <w:noWrap/>
            <w:vAlign w:val="bottom"/>
            <w:hideMark/>
          </w:tcPr>
          <w:p w14:paraId="2C27B08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2000000</w:t>
            </w:r>
          </w:p>
        </w:tc>
        <w:tc>
          <w:tcPr>
            <w:tcW w:w="1538" w:type="dxa"/>
            <w:tcBorders>
              <w:top w:val="nil"/>
              <w:left w:val="nil"/>
              <w:bottom w:val="single" w:sz="4" w:space="0" w:color="auto"/>
              <w:right w:val="single" w:sz="4" w:space="0" w:color="auto"/>
            </w:tcBorders>
            <w:shd w:val="clear" w:color="auto" w:fill="auto"/>
            <w:noWrap/>
            <w:vAlign w:val="bottom"/>
            <w:hideMark/>
          </w:tcPr>
          <w:p w14:paraId="09AC60D3"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£ 500,000.00 </w:t>
            </w:r>
          </w:p>
        </w:tc>
      </w:tr>
      <w:tr w:rsidR="00C84FBE" w:rsidRPr="00C84FBE" w14:paraId="7D2BF090"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079AC42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943" w:type="dxa"/>
            <w:tcBorders>
              <w:top w:val="nil"/>
              <w:left w:val="nil"/>
              <w:bottom w:val="single" w:sz="4" w:space="0" w:color="auto"/>
              <w:right w:val="single" w:sz="4" w:space="0" w:color="auto"/>
            </w:tcBorders>
            <w:shd w:val="clear" w:color="auto" w:fill="auto"/>
            <w:noWrap/>
            <w:vAlign w:val="bottom"/>
            <w:hideMark/>
          </w:tcPr>
          <w:p w14:paraId="57644CC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3DE37AF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5AF1206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6F761FD5"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21B0229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C84FBE" w:rsidRPr="00C84FBE" w14:paraId="1205C51C"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19B8D23B"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Variable Factory Overhead </w:t>
            </w:r>
          </w:p>
        </w:tc>
        <w:tc>
          <w:tcPr>
            <w:tcW w:w="943" w:type="dxa"/>
            <w:tcBorders>
              <w:top w:val="nil"/>
              <w:left w:val="nil"/>
              <w:bottom w:val="single" w:sz="4" w:space="0" w:color="auto"/>
              <w:right w:val="single" w:sz="4" w:space="0" w:color="auto"/>
            </w:tcBorders>
            <w:shd w:val="clear" w:color="auto" w:fill="auto"/>
            <w:noWrap/>
            <w:vAlign w:val="bottom"/>
            <w:hideMark/>
          </w:tcPr>
          <w:p w14:paraId="6265D61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77D3BE3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11365B1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6D506F7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p>
        </w:tc>
        <w:tc>
          <w:tcPr>
            <w:tcW w:w="1538" w:type="dxa"/>
            <w:tcBorders>
              <w:top w:val="nil"/>
              <w:left w:val="nil"/>
              <w:bottom w:val="single" w:sz="4" w:space="0" w:color="auto"/>
              <w:right w:val="single" w:sz="4" w:space="0" w:color="auto"/>
            </w:tcBorders>
            <w:shd w:val="clear" w:color="auto" w:fill="auto"/>
            <w:noWrap/>
            <w:vAlign w:val="bottom"/>
            <w:hideMark/>
          </w:tcPr>
          <w:p w14:paraId="41D135B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p>
        </w:tc>
      </w:tr>
      <w:tr w:rsidR="00C84FBE" w:rsidRPr="00C84FBE" w14:paraId="1908EAB3"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026775AD"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Indirect Materials </w:t>
            </w:r>
          </w:p>
        </w:tc>
        <w:tc>
          <w:tcPr>
            <w:tcW w:w="943" w:type="dxa"/>
            <w:tcBorders>
              <w:top w:val="nil"/>
              <w:left w:val="nil"/>
              <w:bottom w:val="single" w:sz="4" w:space="0" w:color="auto"/>
              <w:right w:val="single" w:sz="4" w:space="0" w:color="auto"/>
            </w:tcBorders>
            <w:shd w:val="clear" w:color="auto" w:fill="auto"/>
            <w:noWrap/>
            <w:vAlign w:val="bottom"/>
            <w:hideMark/>
          </w:tcPr>
          <w:p w14:paraId="561A31A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45EFE2A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2.50 </w:t>
            </w:r>
          </w:p>
        </w:tc>
        <w:tc>
          <w:tcPr>
            <w:tcW w:w="1538" w:type="dxa"/>
            <w:tcBorders>
              <w:top w:val="nil"/>
              <w:left w:val="nil"/>
              <w:bottom w:val="single" w:sz="4" w:space="0" w:color="auto"/>
              <w:right w:val="single" w:sz="4" w:space="0" w:color="auto"/>
            </w:tcBorders>
            <w:shd w:val="clear" w:color="auto" w:fill="auto"/>
            <w:noWrap/>
            <w:vAlign w:val="bottom"/>
            <w:hideMark/>
          </w:tcPr>
          <w:p w14:paraId="1ED64136"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£ 250,000.00 </w:t>
            </w:r>
          </w:p>
        </w:tc>
        <w:tc>
          <w:tcPr>
            <w:tcW w:w="1538" w:type="dxa"/>
            <w:tcBorders>
              <w:top w:val="nil"/>
              <w:left w:val="nil"/>
              <w:bottom w:val="single" w:sz="4" w:space="0" w:color="auto"/>
              <w:right w:val="single" w:sz="4" w:space="0" w:color="auto"/>
            </w:tcBorders>
            <w:shd w:val="clear" w:color="auto" w:fill="auto"/>
            <w:noWrap/>
            <w:vAlign w:val="bottom"/>
            <w:hideMark/>
          </w:tcPr>
          <w:p w14:paraId="1C907EB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£ 200,000.00 </w:t>
            </w:r>
          </w:p>
        </w:tc>
        <w:tc>
          <w:tcPr>
            <w:tcW w:w="1538" w:type="dxa"/>
            <w:tcBorders>
              <w:top w:val="nil"/>
              <w:left w:val="nil"/>
              <w:bottom w:val="single" w:sz="4" w:space="0" w:color="auto"/>
              <w:right w:val="single" w:sz="4" w:space="0" w:color="auto"/>
            </w:tcBorders>
            <w:shd w:val="clear" w:color="auto" w:fill="auto"/>
            <w:noWrap/>
            <w:vAlign w:val="bottom"/>
            <w:hideMark/>
          </w:tcPr>
          <w:p w14:paraId="6E5A4B55"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50,000.00 </w:t>
            </w:r>
          </w:p>
        </w:tc>
      </w:tr>
      <w:tr w:rsidR="00C84FBE" w:rsidRPr="00C84FBE" w14:paraId="09D76020"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0620A16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Indirect </w:t>
            </w:r>
            <w:proofErr w:type="spellStart"/>
            <w:r w:rsidRPr="00C84FBE">
              <w:rPr>
                <w:rFonts w:ascii="Arial" w:eastAsia="Times New Roman" w:hAnsi="Arial" w:cs="Arial"/>
                <w:color w:val="000000"/>
                <w:szCs w:val="24"/>
                <w:lang w:val="en-IN" w:eastAsia="en-IN"/>
              </w:rPr>
              <w:t>Labor</w:t>
            </w:r>
            <w:proofErr w:type="spellEnd"/>
            <w:r w:rsidRPr="00C84FBE">
              <w:rPr>
                <w:rFonts w:ascii="Arial" w:eastAsia="Times New Roman" w:hAnsi="Arial" w:cs="Arial"/>
                <w:color w:val="000000"/>
                <w:szCs w:val="24"/>
                <w:lang w:val="en-IN" w:eastAsia="en-IN"/>
              </w:rPr>
              <w:t xml:space="preserve"> </w:t>
            </w:r>
          </w:p>
        </w:tc>
        <w:tc>
          <w:tcPr>
            <w:tcW w:w="943" w:type="dxa"/>
            <w:tcBorders>
              <w:top w:val="nil"/>
              <w:left w:val="nil"/>
              <w:bottom w:val="single" w:sz="4" w:space="0" w:color="auto"/>
              <w:right w:val="single" w:sz="4" w:space="0" w:color="auto"/>
            </w:tcBorders>
            <w:shd w:val="clear" w:color="auto" w:fill="auto"/>
            <w:noWrap/>
            <w:vAlign w:val="bottom"/>
            <w:hideMark/>
          </w:tcPr>
          <w:p w14:paraId="2CDBE39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0AB74ADD"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4.00 </w:t>
            </w:r>
          </w:p>
        </w:tc>
        <w:tc>
          <w:tcPr>
            <w:tcW w:w="1538" w:type="dxa"/>
            <w:tcBorders>
              <w:top w:val="nil"/>
              <w:left w:val="nil"/>
              <w:bottom w:val="single" w:sz="4" w:space="0" w:color="auto"/>
              <w:right w:val="single" w:sz="4" w:space="0" w:color="auto"/>
            </w:tcBorders>
            <w:shd w:val="clear" w:color="auto" w:fill="auto"/>
            <w:noWrap/>
            <w:vAlign w:val="bottom"/>
            <w:hideMark/>
          </w:tcPr>
          <w:p w14:paraId="34BFB17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£ 400,000.00 </w:t>
            </w:r>
          </w:p>
        </w:tc>
        <w:tc>
          <w:tcPr>
            <w:tcW w:w="1538" w:type="dxa"/>
            <w:tcBorders>
              <w:top w:val="nil"/>
              <w:left w:val="nil"/>
              <w:bottom w:val="single" w:sz="4" w:space="0" w:color="auto"/>
              <w:right w:val="single" w:sz="4" w:space="0" w:color="auto"/>
            </w:tcBorders>
            <w:shd w:val="clear" w:color="auto" w:fill="auto"/>
            <w:noWrap/>
            <w:vAlign w:val="bottom"/>
            <w:hideMark/>
          </w:tcPr>
          <w:p w14:paraId="3906F586"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£ 320,000.00 </w:t>
            </w:r>
          </w:p>
        </w:tc>
        <w:tc>
          <w:tcPr>
            <w:tcW w:w="1538" w:type="dxa"/>
            <w:tcBorders>
              <w:top w:val="nil"/>
              <w:left w:val="nil"/>
              <w:bottom w:val="single" w:sz="4" w:space="0" w:color="auto"/>
              <w:right w:val="single" w:sz="4" w:space="0" w:color="auto"/>
            </w:tcBorders>
            <w:shd w:val="clear" w:color="auto" w:fill="auto"/>
            <w:noWrap/>
            <w:vAlign w:val="bottom"/>
            <w:hideMark/>
          </w:tcPr>
          <w:p w14:paraId="5B05D55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80,000.00 </w:t>
            </w:r>
          </w:p>
        </w:tc>
      </w:tr>
      <w:tr w:rsidR="00C84FBE" w:rsidRPr="00C84FBE" w14:paraId="46BCC185"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268F7176"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Overhead </w:t>
            </w:r>
          </w:p>
        </w:tc>
        <w:tc>
          <w:tcPr>
            <w:tcW w:w="943" w:type="dxa"/>
            <w:tcBorders>
              <w:top w:val="nil"/>
              <w:left w:val="nil"/>
              <w:bottom w:val="single" w:sz="4" w:space="0" w:color="auto"/>
              <w:right w:val="single" w:sz="4" w:space="0" w:color="auto"/>
            </w:tcBorders>
            <w:shd w:val="clear" w:color="auto" w:fill="auto"/>
            <w:noWrap/>
            <w:vAlign w:val="bottom"/>
            <w:hideMark/>
          </w:tcPr>
          <w:p w14:paraId="68007A6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7565C17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1.50 </w:t>
            </w:r>
          </w:p>
        </w:tc>
        <w:tc>
          <w:tcPr>
            <w:tcW w:w="1538" w:type="dxa"/>
            <w:tcBorders>
              <w:top w:val="nil"/>
              <w:left w:val="nil"/>
              <w:bottom w:val="single" w:sz="4" w:space="0" w:color="auto"/>
              <w:right w:val="single" w:sz="4" w:space="0" w:color="auto"/>
            </w:tcBorders>
            <w:shd w:val="clear" w:color="auto" w:fill="auto"/>
            <w:noWrap/>
            <w:vAlign w:val="bottom"/>
            <w:hideMark/>
          </w:tcPr>
          <w:p w14:paraId="5BBD28C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£ 150,000.00 </w:t>
            </w:r>
          </w:p>
        </w:tc>
        <w:tc>
          <w:tcPr>
            <w:tcW w:w="1538" w:type="dxa"/>
            <w:tcBorders>
              <w:top w:val="nil"/>
              <w:left w:val="nil"/>
              <w:bottom w:val="single" w:sz="4" w:space="0" w:color="auto"/>
              <w:right w:val="single" w:sz="4" w:space="0" w:color="auto"/>
            </w:tcBorders>
            <w:shd w:val="clear" w:color="auto" w:fill="auto"/>
            <w:noWrap/>
            <w:vAlign w:val="bottom"/>
            <w:hideMark/>
          </w:tcPr>
          <w:p w14:paraId="02D2866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£ 120,000.00 </w:t>
            </w:r>
          </w:p>
        </w:tc>
        <w:tc>
          <w:tcPr>
            <w:tcW w:w="1538" w:type="dxa"/>
            <w:tcBorders>
              <w:top w:val="nil"/>
              <w:left w:val="nil"/>
              <w:bottom w:val="single" w:sz="4" w:space="0" w:color="auto"/>
              <w:right w:val="single" w:sz="4" w:space="0" w:color="auto"/>
            </w:tcBorders>
            <w:shd w:val="clear" w:color="auto" w:fill="auto"/>
            <w:noWrap/>
            <w:vAlign w:val="bottom"/>
            <w:hideMark/>
          </w:tcPr>
          <w:p w14:paraId="617B0006"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30,000.00 </w:t>
            </w:r>
          </w:p>
        </w:tc>
      </w:tr>
      <w:tr w:rsidR="00C84FBE" w:rsidRPr="00C84FBE" w14:paraId="2D496AB3"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5258E5E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Contribution </w:t>
            </w:r>
          </w:p>
        </w:tc>
        <w:tc>
          <w:tcPr>
            <w:tcW w:w="943" w:type="dxa"/>
            <w:tcBorders>
              <w:top w:val="nil"/>
              <w:left w:val="nil"/>
              <w:bottom w:val="single" w:sz="4" w:space="0" w:color="auto"/>
              <w:right w:val="single" w:sz="4" w:space="0" w:color="auto"/>
            </w:tcBorders>
            <w:shd w:val="clear" w:color="auto" w:fill="auto"/>
            <w:noWrap/>
            <w:vAlign w:val="bottom"/>
            <w:hideMark/>
          </w:tcPr>
          <w:p w14:paraId="3778BFE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2E67243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17.00 </w:t>
            </w:r>
          </w:p>
        </w:tc>
        <w:tc>
          <w:tcPr>
            <w:tcW w:w="1538" w:type="dxa"/>
            <w:tcBorders>
              <w:top w:val="nil"/>
              <w:left w:val="nil"/>
              <w:bottom w:val="single" w:sz="4" w:space="0" w:color="auto"/>
              <w:right w:val="single" w:sz="4" w:space="0" w:color="auto"/>
            </w:tcBorders>
            <w:shd w:val="clear" w:color="auto" w:fill="auto"/>
            <w:noWrap/>
            <w:vAlign w:val="bottom"/>
            <w:hideMark/>
          </w:tcPr>
          <w:p w14:paraId="45E4176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1700000</w:t>
            </w:r>
          </w:p>
        </w:tc>
        <w:tc>
          <w:tcPr>
            <w:tcW w:w="1538" w:type="dxa"/>
            <w:tcBorders>
              <w:top w:val="nil"/>
              <w:left w:val="nil"/>
              <w:bottom w:val="single" w:sz="4" w:space="0" w:color="auto"/>
              <w:right w:val="single" w:sz="4" w:space="0" w:color="auto"/>
            </w:tcBorders>
            <w:shd w:val="clear" w:color="auto" w:fill="auto"/>
            <w:noWrap/>
            <w:vAlign w:val="bottom"/>
            <w:hideMark/>
          </w:tcPr>
          <w:p w14:paraId="5A62E60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1360000</w:t>
            </w:r>
          </w:p>
        </w:tc>
        <w:tc>
          <w:tcPr>
            <w:tcW w:w="1538" w:type="dxa"/>
            <w:tcBorders>
              <w:top w:val="nil"/>
              <w:left w:val="nil"/>
              <w:bottom w:val="single" w:sz="4" w:space="0" w:color="auto"/>
              <w:right w:val="single" w:sz="4" w:space="0" w:color="auto"/>
            </w:tcBorders>
            <w:shd w:val="clear" w:color="auto" w:fill="auto"/>
            <w:noWrap/>
            <w:vAlign w:val="bottom"/>
            <w:hideMark/>
          </w:tcPr>
          <w:p w14:paraId="1F20181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£ 340,000.00 </w:t>
            </w:r>
          </w:p>
        </w:tc>
      </w:tr>
      <w:tr w:rsidR="00C84FBE" w:rsidRPr="00C84FBE" w14:paraId="569DD9AE" w14:textId="77777777" w:rsidTr="00C84FBE">
        <w:trPr>
          <w:trHeight w:val="276"/>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748F12E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Total Variable Costs </w:t>
            </w:r>
          </w:p>
        </w:tc>
        <w:tc>
          <w:tcPr>
            <w:tcW w:w="943" w:type="dxa"/>
            <w:tcBorders>
              <w:top w:val="nil"/>
              <w:left w:val="nil"/>
              <w:bottom w:val="single" w:sz="4" w:space="0" w:color="auto"/>
              <w:right w:val="single" w:sz="4" w:space="0" w:color="auto"/>
            </w:tcBorders>
            <w:shd w:val="clear" w:color="000000" w:fill="E3E3E3"/>
            <w:noWrap/>
            <w:vAlign w:val="bottom"/>
            <w:hideMark/>
          </w:tcPr>
          <w:p w14:paraId="2FD59C8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30E3F60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 </w:t>
            </w:r>
          </w:p>
        </w:tc>
        <w:tc>
          <w:tcPr>
            <w:tcW w:w="1538" w:type="dxa"/>
            <w:tcBorders>
              <w:top w:val="nil"/>
              <w:left w:val="nil"/>
              <w:bottom w:val="single" w:sz="4" w:space="0" w:color="auto"/>
              <w:right w:val="single" w:sz="4" w:space="0" w:color="auto"/>
            </w:tcBorders>
            <w:shd w:val="clear" w:color="000000" w:fill="E3E3E3"/>
            <w:noWrap/>
            <w:vAlign w:val="bottom"/>
            <w:hideMark/>
          </w:tcPr>
          <w:p w14:paraId="34629A2D"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5000000</w:t>
            </w:r>
          </w:p>
        </w:tc>
        <w:tc>
          <w:tcPr>
            <w:tcW w:w="1538" w:type="dxa"/>
            <w:tcBorders>
              <w:top w:val="nil"/>
              <w:left w:val="nil"/>
              <w:bottom w:val="single" w:sz="4" w:space="0" w:color="auto"/>
              <w:right w:val="single" w:sz="4" w:space="0" w:color="auto"/>
            </w:tcBorders>
            <w:shd w:val="clear" w:color="000000" w:fill="E3E3E3"/>
            <w:noWrap/>
            <w:vAlign w:val="bottom"/>
            <w:hideMark/>
          </w:tcPr>
          <w:p w14:paraId="45C1813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4000000</w:t>
            </w:r>
          </w:p>
        </w:tc>
        <w:tc>
          <w:tcPr>
            <w:tcW w:w="1538" w:type="dxa"/>
            <w:tcBorders>
              <w:top w:val="nil"/>
              <w:left w:val="nil"/>
              <w:bottom w:val="single" w:sz="4" w:space="0" w:color="auto"/>
              <w:right w:val="single" w:sz="4" w:space="0" w:color="auto"/>
            </w:tcBorders>
            <w:shd w:val="clear" w:color="000000" w:fill="E3E3E3"/>
            <w:noWrap/>
            <w:vAlign w:val="bottom"/>
            <w:hideMark/>
          </w:tcPr>
          <w:p w14:paraId="2B8634A1"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1000000</w:t>
            </w:r>
          </w:p>
        </w:tc>
      </w:tr>
      <w:tr w:rsidR="00C84FBE" w:rsidRPr="00C84FBE" w14:paraId="7337C809" w14:textId="77777777" w:rsidTr="00C84FBE">
        <w:trPr>
          <w:trHeight w:val="276"/>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00B4D636" w14:textId="77777777" w:rsid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lastRenderedPageBreak/>
              <w:t> </w:t>
            </w:r>
          </w:p>
          <w:p w14:paraId="348A7B9B" w14:textId="77777777" w:rsidR="00604F5C" w:rsidRDefault="00604F5C" w:rsidP="00BB72FF">
            <w:pPr>
              <w:spacing w:after="0" w:line="240" w:lineRule="auto"/>
              <w:jc w:val="both"/>
              <w:rPr>
                <w:rFonts w:ascii="Arial" w:eastAsia="Times New Roman" w:hAnsi="Arial" w:cs="Arial"/>
                <w:color w:val="000000"/>
                <w:szCs w:val="24"/>
                <w:lang w:val="en-IN" w:eastAsia="en-IN"/>
              </w:rPr>
            </w:pPr>
          </w:p>
          <w:p w14:paraId="3FB4C6AC" w14:textId="77777777" w:rsidR="00604F5C" w:rsidRPr="00C84FBE" w:rsidRDefault="00604F5C" w:rsidP="00BB72FF">
            <w:pPr>
              <w:spacing w:after="0" w:line="240" w:lineRule="auto"/>
              <w:jc w:val="both"/>
              <w:rPr>
                <w:rFonts w:ascii="Arial" w:eastAsia="Times New Roman" w:hAnsi="Arial" w:cs="Arial"/>
                <w:color w:val="000000"/>
                <w:szCs w:val="24"/>
                <w:lang w:val="en-IN" w:eastAsia="en-IN"/>
              </w:rPr>
            </w:pPr>
          </w:p>
        </w:tc>
        <w:tc>
          <w:tcPr>
            <w:tcW w:w="943" w:type="dxa"/>
            <w:tcBorders>
              <w:top w:val="nil"/>
              <w:left w:val="nil"/>
              <w:bottom w:val="single" w:sz="4" w:space="0" w:color="auto"/>
              <w:right w:val="single" w:sz="4" w:space="0" w:color="auto"/>
            </w:tcBorders>
            <w:shd w:val="clear" w:color="auto" w:fill="auto"/>
            <w:noWrap/>
            <w:vAlign w:val="bottom"/>
            <w:hideMark/>
          </w:tcPr>
          <w:p w14:paraId="15367FE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66D580C1"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27B9630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E18C123"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66B61B0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C84FBE" w:rsidRPr="00C84FBE" w14:paraId="32B9619C"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3E020212" w14:textId="77777777" w:rsidR="00C84FBE" w:rsidRPr="00C84FBE" w:rsidRDefault="00C84FBE" w:rsidP="00BB72FF">
            <w:pPr>
              <w:spacing w:after="0" w:line="240" w:lineRule="auto"/>
              <w:jc w:val="both"/>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Fixed Factory Overhead </w:t>
            </w:r>
          </w:p>
        </w:tc>
        <w:tc>
          <w:tcPr>
            <w:tcW w:w="943" w:type="dxa"/>
            <w:tcBorders>
              <w:top w:val="nil"/>
              <w:left w:val="nil"/>
              <w:bottom w:val="single" w:sz="4" w:space="0" w:color="auto"/>
              <w:right w:val="single" w:sz="4" w:space="0" w:color="auto"/>
            </w:tcBorders>
            <w:shd w:val="clear" w:color="auto" w:fill="auto"/>
            <w:noWrap/>
            <w:vAlign w:val="bottom"/>
            <w:hideMark/>
          </w:tcPr>
          <w:p w14:paraId="6E164FA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68FB38D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8C1B6A1"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A87FC6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1DE9F06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C84FBE" w:rsidRPr="00C84FBE" w14:paraId="605F2883"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0CE2799D"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Warehouse Rental </w:t>
            </w:r>
          </w:p>
        </w:tc>
        <w:tc>
          <w:tcPr>
            <w:tcW w:w="943" w:type="dxa"/>
            <w:tcBorders>
              <w:top w:val="nil"/>
              <w:left w:val="nil"/>
              <w:bottom w:val="single" w:sz="4" w:space="0" w:color="auto"/>
              <w:right w:val="single" w:sz="4" w:space="0" w:color="auto"/>
            </w:tcBorders>
            <w:shd w:val="clear" w:color="auto" w:fill="auto"/>
            <w:noWrap/>
            <w:vAlign w:val="bottom"/>
            <w:hideMark/>
          </w:tcPr>
          <w:p w14:paraId="67602AA3"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6F50AEA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549AED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£ 200,000.00 </w:t>
            </w:r>
          </w:p>
        </w:tc>
        <w:tc>
          <w:tcPr>
            <w:tcW w:w="1538" w:type="dxa"/>
            <w:tcBorders>
              <w:top w:val="nil"/>
              <w:left w:val="nil"/>
              <w:bottom w:val="single" w:sz="4" w:space="0" w:color="auto"/>
              <w:right w:val="single" w:sz="4" w:space="0" w:color="auto"/>
            </w:tcBorders>
            <w:shd w:val="clear" w:color="auto" w:fill="auto"/>
            <w:noWrap/>
            <w:vAlign w:val="bottom"/>
            <w:hideMark/>
          </w:tcPr>
          <w:p w14:paraId="76C523F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£ 170,000.00 </w:t>
            </w:r>
          </w:p>
        </w:tc>
        <w:tc>
          <w:tcPr>
            <w:tcW w:w="1538" w:type="dxa"/>
            <w:tcBorders>
              <w:top w:val="nil"/>
              <w:left w:val="nil"/>
              <w:bottom w:val="single" w:sz="4" w:space="0" w:color="auto"/>
              <w:right w:val="single" w:sz="4" w:space="0" w:color="auto"/>
            </w:tcBorders>
            <w:shd w:val="clear" w:color="auto" w:fill="auto"/>
            <w:noWrap/>
            <w:vAlign w:val="bottom"/>
            <w:hideMark/>
          </w:tcPr>
          <w:p w14:paraId="04021EA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19,000.00 </w:t>
            </w:r>
          </w:p>
        </w:tc>
      </w:tr>
      <w:tr w:rsidR="00C84FBE" w:rsidRPr="00C84FBE" w14:paraId="18101B7E"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3DA211B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Insurance </w:t>
            </w:r>
          </w:p>
        </w:tc>
        <w:tc>
          <w:tcPr>
            <w:tcW w:w="943" w:type="dxa"/>
            <w:tcBorders>
              <w:top w:val="nil"/>
              <w:left w:val="nil"/>
              <w:bottom w:val="single" w:sz="4" w:space="0" w:color="auto"/>
              <w:right w:val="single" w:sz="4" w:space="0" w:color="auto"/>
            </w:tcBorders>
            <w:shd w:val="clear" w:color="auto" w:fill="auto"/>
            <w:noWrap/>
            <w:vAlign w:val="bottom"/>
            <w:hideMark/>
          </w:tcPr>
          <w:p w14:paraId="0D8F6BE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522C755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E9F137B"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£ 100,000.00 </w:t>
            </w:r>
          </w:p>
        </w:tc>
        <w:tc>
          <w:tcPr>
            <w:tcW w:w="1538" w:type="dxa"/>
            <w:tcBorders>
              <w:top w:val="nil"/>
              <w:left w:val="nil"/>
              <w:bottom w:val="single" w:sz="4" w:space="0" w:color="auto"/>
              <w:right w:val="single" w:sz="4" w:space="0" w:color="auto"/>
            </w:tcBorders>
            <w:shd w:val="clear" w:color="auto" w:fill="auto"/>
            <w:noWrap/>
            <w:vAlign w:val="bottom"/>
            <w:hideMark/>
          </w:tcPr>
          <w:p w14:paraId="07BB0CFC"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£ 100,000.00 </w:t>
            </w:r>
          </w:p>
        </w:tc>
        <w:tc>
          <w:tcPr>
            <w:tcW w:w="1538" w:type="dxa"/>
            <w:tcBorders>
              <w:top w:val="nil"/>
              <w:left w:val="nil"/>
              <w:bottom w:val="single" w:sz="4" w:space="0" w:color="auto"/>
              <w:right w:val="single" w:sz="4" w:space="0" w:color="auto"/>
            </w:tcBorders>
            <w:shd w:val="clear" w:color="auto" w:fill="auto"/>
            <w:noWrap/>
            <w:vAlign w:val="bottom"/>
            <w:hideMark/>
          </w:tcPr>
          <w:p w14:paraId="2DEDD4F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15,000.00 </w:t>
            </w:r>
          </w:p>
        </w:tc>
      </w:tr>
      <w:tr w:rsidR="00C84FBE" w:rsidRPr="00C84FBE" w14:paraId="0B2EE1F2"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3CFB6BB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Fulltime Warehouse supervisor salary </w:t>
            </w:r>
          </w:p>
        </w:tc>
        <w:tc>
          <w:tcPr>
            <w:tcW w:w="943" w:type="dxa"/>
            <w:tcBorders>
              <w:top w:val="nil"/>
              <w:left w:val="nil"/>
              <w:bottom w:val="single" w:sz="4" w:space="0" w:color="auto"/>
              <w:right w:val="single" w:sz="4" w:space="0" w:color="auto"/>
            </w:tcBorders>
            <w:shd w:val="clear" w:color="auto" w:fill="auto"/>
            <w:noWrap/>
            <w:vAlign w:val="bottom"/>
            <w:hideMark/>
          </w:tcPr>
          <w:p w14:paraId="14612FFE"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6F7AE03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57F7852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50,000.00 </w:t>
            </w:r>
          </w:p>
        </w:tc>
        <w:tc>
          <w:tcPr>
            <w:tcW w:w="1538" w:type="dxa"/>
            <w:tcBorders>
              <w:top w:val="nil"/>
              <w:left w:val="nil"/>
              <w:bottom w:val="single" w:sz="4" w:space="0" w:color="auto"/>
              <w:right w:val="single" w:sz="4" w:space="0" w:color="auto"/>
            </w:tcBorders>
            <w:shd w:val="clear" w:color="auto" w:fill="auto"/>
            <w:noWrap/>
            <w:vAlign w:val="bottom"/>
            <w:hideMark/>
          </w:tcPr>
          <w:p w14:paraId="4DBB07D9"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35,000.00 </w:t>
            </w:r>
          </w:p>
        </w:tc>
        <w:tc>
          <w:tcPr>
            <w:tcW w:w="1538" w:type="dxa"/>
            <w:tcBorders>
              <w:top w:val="nil"/>
              <w:left w:val="nil"/>
              <w:bottom w:val="single" w:sz="4" w:space="0" w:color="auto"/>
              <w:right w:val="single" w:sz="4" w:space="0" w:color="auto"/>
            </w:tcBorders>
            <w:shd w:val="clear" w:color="auto" w:fill="auto"/>
            <w:noWrap/>
            <w:vAlign w:val="bottom"/>
            <w:hideMark/>
          </w:tcPr>
          <w:p w14:paraId="1B28E6E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4,500.00 </w:t>
            </w:r>
          </w:p>
        </w:tc>
      </w:tr>
      <w:tr w:rsidR="00C84FBE" w:rsidRPr="00C84FBE" w14:paraId="51BE9F82" w14:textId="77777777" w:rsidTr="00C84FBE">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209EB2F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943" w:type="dxa"/>
            <w:tcBorders>
              <w:top w:val="nil"/>
              <w:left w:val="nil"/>
              <w:bottom w:val="single" w:sz="4" w:space="0" w:color="auto"/>
              <w:right w:val="single" w:sz="4" w:space="0" w:color="auto"/>
            </w:tcBorders>
            <w:shd w:val="clear" w:color="auto" w:fill="auto"/>
            <w:noWrap/>
            <w:vAlign w:val="bottom"/>
            <w:hideMark/>
          </w:tcPr>
          <w:p w14:paraId="03449476"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7900277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15F6EDB5"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3D09EB55"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4095E6A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C84FBE" w:rsidRPr="00C84FBE" w14:paraId="27B51FDB" w14:textId="77777777" w:rsidTr="00C84FBE">
        <w:trPr>
          <w:trHeight w:val="293"/>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18FA2E5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Total Fixed Costs </w:t>
            </w:r>
          </w:p>
        </w:tc>
        <w:tc>
          <w:tcPr>
            <w:tcW w:w="943" w:type="dxa"/>
            <w:tcBorders>
              <w:top w:val="nil"/>
              <w:left w:val="nil"/>
              <w:bottom w:val="single" w:sz="4" w:space="0" w:color="auto"/>
              <w:right w:val="single" w:sz="4" w:space="0" w:color="auto"/>
            </w:tcBorders>
            <w:shd w:val="clear" w:color="000000" w:fill="E3E3E3"/>
            <w:noWrap/>
            <w:vAlign w:val="bottom"/>
            <w:hideMark/>
          </w:tcPr>
          <w:p w14:paraId="50CFCF7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4F55D8BF"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000000" w:fill="E3E3E3"/>
            <w:noWrap/>
            <w:vAlign w:val="bottom"/>
            <w:hideMark/>
          </w:tcPr>
          <w:p w14:paraId="2B690828"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£ 350,000.00 </w:t>
            </w:r>
          </w:p>
        </w:tc>
        <w:tc>
          <w:tcPr>
            <w:tcW w:w="1538" w:type="dxa"/>
            <w:tcBorders>
              <w:top w:val="nil"/>
              <w:left w:val="nil"/>
              <w:bottom w:val="single" w:sz="4" w:space="0" w:color="auto"/>
              <w:right w:val="single" w:sz="4" w:space="0" w:color="auto"/>
            </w:tcBorders>
            <w:shd w:val="clear" w:color="000000" w:fill="E3E3E3"/>
            <w:noWrap/>
            <w:vAlign w:val="bottom"/>
            <w:hideMark/>
          </w:tcPr>
          <w:p w14:paraId="776AA82A"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£ 305,000.00 </w:t>
            </w:r>
          </w:p>
        </w:tc>
        <w:tc>
          <w:tcPr>
            <w:tcW w:w="1538" w:type="dxa"/>
            <w:tcBorders>
              <w:top w:val="nil"/>
              <w:left w:val="nil"/>
              <w:bottom w:val="single" w:sz="4" w:space="0" w:color="auto"/>
              <w:right w:val="single" w:sz="4" w:space="0" w:color="auto"/>
            </w:tcBorders>
            <w:shd w:val="clear" w:color="000000" w:fill="E3E3E3"/>
            <w:noWrap/>
            <w:vAlign w:val="bottom"/>
            <w:hideMark/>
          </w:tcPr>
          <w:p w14:paraId="51C257F4"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38,500.00 </w:t>
            </w:r>
          </w:p>
        </w:tc>
      </w:tr>
      <w:tr w:rsidR="00C84FBE" w:rsidRPr="00C84FBE" w14:paraId="1E8E1A2C" w14:textId="77777777" w:rsidTr="00C84FBE">
        <w:trPr>
          <w:trHeight w:val="276"/>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6A93E3D5"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Total Costs </w:t>
            </w:r>
          </w:p>
        </w:tc>
        <w:tc>
          <w:tcPr>
            <w:tcW w:w="943" w:type="dxa"/>
            <w:tcBorders>
              <w:top w:val="nil"/>
              <w:left w:val="nil"/>
              <w:bottom w:val="single" w:sz="4" w:space="0" w:color="auto"/>
              <w:right w:val="single" w:sz="4" w:space="0" w:color="auto"/>
            </w:tcBorders>
            <w:shd w:val="clear" w:color="000000" w:fill="E3E3E3"/>
            <w:noWrap/>
            <w:vAlign w:val="bottom"/>
            <w:hideMark/>
          </w:tcPr>
          <w:p w14:paraId="469842F6"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5A4DB66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000000" w:fill="E3E3E3"/>
            <w:noWrap/>
            <w:vAlign w:val="bottom"/>
            <w:hideMark/>
          </w:tcPr>
          <w:p w14:paraId="725A6700"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5350000</w:t>
            </w:r>
          </w:p>
        </w:tc>
        <w:tc>
          <w:tcPr>
            <w:tcW w:w="1538" w:type="dxa"/>
            <w:tcBorders>
              <w:top w:val="nil"/>
              <w:left w:val="nil"/>
              <w:bottom w:val="single" w:sz="4" w:space="0" w:color="auto"/>
              <w:right w:val="single" w:sz="4" w:space="0" w:color="auto"/>
            </w:tcBorders>
            <w:shd w:val="clear" w:color="000000" w:fill="E3E3E3"/>
            <w:noWrap/>
            <w:vAlign w:val="bottom"/>
            <w:hideMark/>
          </w:tcPr>
          <w:p w14:paraId="112E5AF2"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4305000</w:t>
            </w:r>
          </w:p>
        </w:tc>
        <w:tc>
          <w:tcPr>
            <w:tcW w:w="1538" w:type="dxa"/>
            <w:tcBorders>
              <w:top w:val="nil"/>
              <w:left w:val="nil"/>
              <w:bottom w:val="single" w:sz="4" w:space="0" w:color="auto"/>
              <w:right w:val="single" w:sz="4" w:space="0" w:color="auto"/>
            </w:tcBorders>
            <w:shd w:val="clear" w:color="000000" w:fill="E3E3E3"/>
            <w:noWrap/>
            <w:vAlign w:val="bottom"/>
            <w:hideMark/>
          </w:tcPr>
          <w:p w14:paraId="3A63B7C7" w14:textId="77777777" w:rsidR="00C84FBE" w:rsidRPr="00C84FBE" w:rsidRDefault="00C84FBE" w:rsidP="00BB72FF">
            <w:pPr>
              <w:spacing w:after="0" w:line="240" w:lineRule="auto"/>
              <w:jc w:val="both"/>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1038500</w:t>
            </w:r>
          </w:p>
        </w:tc>
      </w:tr>
    </w:tbl>
    <w:p w14:paraId="4C8ECB65" w14:textId="77777777" w:rsidR="00C63114" w:rsidRDefault="00C63114" w:rsidP="00BB72FF">
      <w:pPr>
        <w:jc w:val="both"/>
      </w:pPr>
    </w:p>
    <w:p w14:paraId="1D1DD17D" w14:textId="77777777" w:rsidR="00C84FBE" w:rsidRDefault="00C84FBE" w:rsidP="00BB72FF">
      <w:pPr>
        <w:jc w:val="both"/>
      </w:pPr>
    </w:p>
    <w:p w14:paraId="1BFA5C30" w14:textId="77777777" w:rsidR="00604F5C" w:rsidRPr="00FF32A6" w:rsidRDefault="00604F5C" w:rsidP="00BB72FF">
      <w:pPr>
        <w:pStyle w:val="Heading2"/>
        <w:jc w:val="both"/>
      </w:pPr>
      <w:bookmarkStart w:id="2" w:name="_Toc91521569"/>
      <w:bookmarkStart w:id="3" w:name="_Toc91603372"/>
      <w:r w:rsidRPr="00FF32A6">
        <w:t>Amana’s performance for the year 2020</w:t>
      </w:r>
      <w:bookmarkEnd w:id="2"/>
      <w:bookmarkEnd w:id="3"/>
    </w:p>
    <w:p w14:paraId="6EAF649E" w14:textId="77777777" w:rsidR="00252954" w:rsidRDefault="00252954" w:rsidP="00BB72FF">
      <w:pPr>
        <w:jc w:val="both"/>
      </w:pPr>
      <w:r w:rsidRPr="00252954">
        <w:t>Based on principles, there are two set of rules: positive and negative. It is computed by deducting actual expenditures from budget expenditures. In this scenario, the initial cost for 2020 is £ 28</w:t>
      </w:r>
      <w:r w:rsidR="009302B0" w:rsidRPr="00252954">
        <w:t>, 60,900</w:t>
      </w:r>
      <w:r w:rsidRPr="00252954">
        <w:t>, but the actual spending is £20</w:t>
      </w:r>
      <w:r w:rsidR="009302B0" w:rsidRPr="00252954">
        <w:t>, 38,500</w:t>
      </w:r>
      <w:r w:rsidRPr="00252954">
        <w:t>. In this case, variance is a negative standard since budgeted expenses exceed actual spending. The variance is derived by deducting projected expenditure from current expenditure, which is £ 822,400.</w:t>
      </w:r>
      <w:r>
        <w:t xml:space="preserve"> </w:t>
      </w:r>
    </w:p>
    <w:p w14:paraId="59B3F0AA" w14:textId="77777777" w:rsidR="00C84FBE" w:rsidRDefault="009302B0" w:rsidP="00BB72FF">
      <w:pPr>
        <w:jc w:val="both"/>
      </w:pPr>
      <w:r>
        <w:t>Variance</w:t>
      </w:r>
      <w:r w:rsidR="00C41694">
        <w:t xml:space="preserve"> can be controllable when the deviation is occurred due to executive actions and uncontrollable variance are due to external business factors. For calculating performance of the business based on the variance analysis, the factors that </w:t>
      </w:r>
      <w:proofErr w:type="gramStart"/>
      <w:r w:rsidR="00C41694">
        <w:t>cause  variance</w:t>
      </w:r>
      <w:proofErr w:type="gramEnd"/>
      <w:r w:rsidR="00C41694">
        <w:t xml:space="preserve"> are divided into 3 sections.</w:t>
      </w:r>
    </w:p>
    <w:p w14:paraId="67249FEB" w14:textId="77777777" w:rsidR="00DD5150" w:rsidRPr="00DD5150" w:rsidRDefault="00DD5150" w:rsidP="00BB72FF">
      <w:pPr>
        <w:jc w:val="both"/>
        <w:rPr>
          <w:b/>
          <w:bCs/>
          <w:lang w:val="en-IN" w:eastAsia="en-IN"/>
        </w:rPr>
      </w:pPr>
      <w:r w:rsidRPr="00DD5150">
        <w:rPr>
          <w:b/>
          <w:bCs/>
          <w:lang w:val="en-IN" w:eastAsia="en-IN"/>
        </w:rPr>
        <w:t xml:space="preserve">Cost Item </w:t>
      </w:r>
    </w:p>
    <w:p w14:paraId="0317E55F" w14:textId="77777777" w:rsidR="00C41694" w:rsidRDefault="00186994" w:rsidP="00BB72FF">
      <w:pPr>
        <w:jc w:val="both"/>
      </w:pPr>
      <w:r w:rsidRPr="00186994">
        <w:t>Based on the mix and yield outputs, the direct material cost analysis is separated into two parts: price analysis and quantity or usage analysis. In the preceding example, just the selling price is supplied for products, the per unit cost of the item is £ 25, and the total quantity produced by the firm has increased</w:t>
      </w:r>
      <w:r w:rsidR="009302B0">
        <w:t xml:space="preserve"> (</w:t>
      </w:r>
      <w:proofErr w:type="spellStart"/>
      <w:r w:rsidR="009302B0">
        <w:t>Guelfi</w:t>
      </w:r>
      <w:proofErr w:type="spellEnd"/>
      <w:r w:rsidR="009302B0">
        <w:t xml:space="preserve"> </w:t>
      </w:r>
      <w:r w:rsidR="009302B0" w:rsidRPr="009302B0">
        <w:t xml:space="preserve">and </w:t>
      </w:r>
      <w:proofErr w:type="spellStart"/>
      <w:r w:rsidR="009302B0" w:rsidRPr="009302B0">
        <w:t>Saluto</w:t>
      </w:r>
      <w:proofErr w:type="spellEnd"/>
      <w:r w:rsidR="009302B0">
        <w:t>, 2019)</w:t>
      </w:r>
      <w:r w:rsidRPr="00186994">
        <w:t>. The difference between the original and the actual is 20,000 quantities. There is a difference in sales revenue of £500,000.00 as a result of this variation in quantity.</w:t>
      </w:r>
      <w:r>
        <w:t xml:space="preserve"> It is favourable variation for direct material cost.</w:t>
      </w:r>
    </w:p>
    <w:p w14:paraId="46C72FAC" w14:textId="77777777" w:rsidR="00186994" w:rsidRPr="00DD5150" w:rsidRDefault="00186994" w:rsidP="00BB72FF">
      <w:pPr>
        <w:jc w:val="both"/>
        <w:rPr>
          <w:b/>
          <w:bCs/>
          <w:lang w:val="en-IN" w:eastAsia="en-IN"/>
        </w:rPr>
      </w:pPr>
      <w:r w:rsidRPr="00DD5150">
        <w:rPr>
          <w:b/>
          <w:bCs/>
          <w:lang w:val="en-IN" w:eastAsia="en-IN"/>
        </w:rPr>
        <w:t>Variable Factory Overhead</w:t>
      </w:r>
    </w:p>
    <w:p w14:paraId="627CC23C" w14:textId="77777777" w:rsidR="00186994" w:rsidRDefault="00091FC5" w:rsidP="00BB72FF">
      <w:pPr>
        <w:jc w:val="both"/>
      </w:pPr>
      <w:r w:rsidRPr="00091FC5">
        <w:t xml:space="preserve">Operational expenses are known as external expenses. These expenses are difficult to link to a specific product, technique, or subdivision. It consists of costs that now the management </w:t>
      </w:r>
      <w:r w:rsidRPr="00091FC5">
        <w:lastRenderedPageBreak/>
        <w:t>accountant still seems to be hesitant to allocate to particular cost units</w:t>
      </w:r>
      <w:r w:rsidR="009302B0">
        <w:t xml:space="preserve"> (Yan et al., 2020)</w:t>
      </w:r>
      <w:r w:rsidRPr="00091FC5">
        <w:t xml:space="preserve">. </w:t>
      </w:r>
      <w:r>
        <w:t xml:space="preserve"> </w:t>
      </w:r>
      <w:r w:rsidR="000A08CF" w:rsidRPr="000A08CF">
        <w:t>The indirect cost for indirect material incurred per unit is £ 2.50, therefore for original quantities of 100,000.00, the cost is £ 250,000, while the real cost is $ 200,000. There is a £50,000 difference in indirect material costs. Similarly, the corporation experienced a £ 80,000 variance for indirect labour at the rate of £ 4 per unit cost, thus management must pay attention to this element. The other overhead, at £ 1.50 per unit, had a variation of 30,000, which is also a source of concern for the corporation because it is a controlled expenditure. Including additional contributions to variable production overhead, the total fluctuation in company costs is £ 1000000.</w:t>
      </w:r>
    </w:p>
    <w:p w14:paraId="67346617" w14:textId="77777777" w:rsidR="000A08CF" w:rsidRPr="00DD5150" w:rsidRDefault="000A08CF" w:rsidP="00BB72FF">
      <w:pPr>
        <w:jc w:val="both"/>
        <w:rPr>
          <w:b/>
          <w:bCs/>
          <w:lang w:val="en-IN" w:eastAsia="en-IN"/>
        </w:rPr>
      </w:pPr>
      <w:r w:rsidRPr="00DD5150">
        <w:rPr>
          <w:b/>
          <w:bCs/>
          <w:lang w:val="en-IN" w:eastAsia="en-IN"/>
        </w:rPr>
        <w:t>Fixed Factory Overhead</w:t>
      </w:r>
    </w:p>
    <w:p w14:paraId="603D6894" w14:textId="77777777" w:rsidR="00414F4A" w:rsidRDefault="00414F4A" w:rsidP="00BB72FF">
      <w:pPr>
        <w:jc w:val="both"/>
      </w:pPr>
      <w:r w:rsidRPr="00414F4A">
        <w:t>The total fixed cost variation is the difference between the amount predicted and used for fixed operational expenditures related to manufacturing output</w:t>
      </w:r>
      <w:r w:rsidR="009302B0">
        <w:t xml:space="preserve"> (</w:t>
      </w:r>
      <w:proofErr w:type="spellStart"/>
      <w:r w:rsidR="009302B0" w:rsidRPr="009302B0">
        <w:t>Traina</w:t>
      </w:r>
      <w:proofErr w:type="spellEnd"/>
      <w:r w:rsidR="009302B0" w:rsidRPr="009302B0">
        <w:t>,</w:t>
      </w:r>
      <w:r w:rsidR="009302B0">
        <w:t xml:space="preserve"> 2018)</w:t>
      </w:r>
      <w:r w:rsidRPr="00414F4A">
        <w:t>. The actual budget's overall fixed costs are £ 305,000.00, resulting in a total variance of £ 38,500.00 from the initial estimated figure. It also includes a £ 19,000.00 rise in warehouse leasing and a £ 15,000.00 increase in the firm's insurance costs above its initial budget.</w:t>
      </w:r>
    </w:p>
    <w:p w14:paraId="2EE1E902" w14:textId="77777777" w:rsidR="000A08CF" w:rsidRDefault="00414F4A" w:rsidP="00BB72FF">
      <w:pPr>
        <w:jc w:val="both"/>
      </w:pPr>
      <w:r w:rsidRPr="00414F4A">
        <w:t>After accounting for all variances from the initial budget, the total cost incurred per unit is 53. This per unit cost is likewise £53.8 for the real budget, thus we can infer that it is a favourable business condition. Because of the variance, their price has dropped to £51 from £53.</w:t>
      </w:r>
    </w:p>
    <w:p w14:paraId="2BB4B324" w14:textId="77777777" w:rsidR="00414F4A" w:rsidRDefault="00414F4A" w:rsidP="00BB72FF">
      <w:pPr>
        <w:jc w:val="both"/>
      </w:pPr>
    </w:p>
    <w:p w14:paraId="4E493582" w14:textId="77777777" w:rsidR="00414F4A" w:rsidRPr="00FF32A6" w:rsidRDefault="00414F4A" w:rsidP="00BB72FF">
      <w:pPr>
        <w:pStyle w:val="Heading1"/>
        <w:jc w:val="both"/>
      </w:pPr>
      <w:bookmarkStart w:id="4" w:name="_Toc91521570"/>
      <w:bookmarkStart w:id="5" w:name="_Toc91603373"/>
      <w:r w:rsidRPr="00FF32A6">
        <w:t>Recommendations</w:t>
      </w:r>
      <w:bookmarkEnd w:id="4"/>
      <w:bookmarkEnd w:id="5"/>
    </w:p>
    <w:p w14:paraId="6996965D" w14:textId="77777777" w:rsidR="00414F4A" w:rsidRDefault="00414F4A" w:rsidP="00BB72FF">
      <w:pPr>
        <w:jc w:val="both"/>
      </w:pPr>
      <w:r w:rsidRPr="00414F4A">
        <w:t>Overhead includes administrative costs, secondary spending, and intermediate charges; the term can relate to production, employment, or supplier and advertising overhead expenses. Overhead Cost Variance (OCV) is the gap between conventional overhead expenditures and actual operational cost for real production, i.e. the difference between receivable overall expenses with real administrative costs</w:t>
      </w:r>
      <w:r w:rsidR="0093051E">
        <w:t xml:space="preserve"> (</w:t>
      </w:r>
      <w:proofErr w:type="spellStart"/>
      <w:r w:rsidR="0093051E">
        <w:t>Novák</w:t>
      </w:r>
      <w:proofErr w:type="spellEnd"/>
      <w:r w:rsidR="0093051E">
        <w:t xml:space="preserve"> et al., 2017)</w:t>
      </w:r>
      <w:r w:rsidRPr="00414F4A">
        <w:t>. Because flexible operating costs vary depending on output then instead of period, the fluctuation in variable overhead charges is generally approximated as a total.</w:t>
      </w:r>
      <w:r>
        <w:t xml:space="preserve"> </w:t>
      </w:r>
      <w:r w:rsidRPr="00414F4A">
        <w:t xml:space="preserve">Because fixed operational expenses do not vary with production but rather with time, different rates of surplus spending per product will occur at different levels of operation. Volume fluctuation will happen whether such a level of operational costs are produced for more or lower yield than the production lines during that timeframe. It is the gap between total operational costs and steady operating expenses obtained </w:t>
      </w:r>
      <w:r w:rsidRPr="00414F4A">
        <w:lastRenderedPageBreak/>
        <w:t xml:space="preserve">on predicted production. Variation in the Use of Fixed Excess. Is the percentage of flow variance caused by running at higher or lower capacity usage than </w:t>
      </w:r>
      <w:proofErr w:type="gramStart"/>
      <w:r w:rsidRPr="00414F4A">
        <w:t>typical.</w:t>
      </w:r>
      <w:proofErr w:type="gramEnd"/>
      <w:r w:rsidRPr="00414F4A">
        <w:t xml:space="preserve"> Because of protests, shut downs, and breakdowns, labour shortages, unavailability, and other factors, as well as working overtime, the required units of a device and building may vary from the intended or expected capacity</w:t>
      </w:r>
      <w:r w:rsidR="0093051E">
        <w:t xml:space="preserve"> (</w:t>
      </w:r>
      <w:r w:rsidR="0093051E" w:rsidRPr="0093051E">
        <w:t>Akeem,</w:t>
      </w:r>
      <w:r w:rsidR="0093051E">
        <w:t xml:space="preserve"> 2017)</w:t>
      </w:r>
      <w:r w:rsidRPr="00414F4A">
        <w:t>.</w:t>
      </w:r>
      <w:r>
        <w:t xml:space="preserve"> </w:t>
      </w:r>
    </w:p>
    <w:p w14:paraId="51135B54" w14:textId="77777777" w:rsidR="00414F4A" w:rsidRDefault="00414F4A" w:rsidP="00BB72FF">
      <w:pPr>
        <w:jc w:val="both"/>
      </w:pPr>
      <w:r w:rsidRPr="00414F4A">
        <w:t>A flexible financial plan that is based on the precise volume of participation and the revenue and expense formulas from of the growth plan in seeks to bridge the gap among anticipated price and the actual accomplishment and detect any discrepancies. The ratio of expected (static) to realised (flexibility) activities accounts for the contrast between dynamically and changeable expenses. These are referred to as engagement discrepancies.</w:t>
      </w:r>
      <w:r w:rsidR="00EC03BF">
        <w:t xml:space="preserve"> </w:t>
      </w:r>
      <w:r w:rsidR="00EC03BF" w:rsidRPr="00EC03BF">
        <w:t>The differences among actual and potential adaptability outcomes are due to variations in income sales revenue or cost expenditures per item. These differences are known as budget and financial discrepancies. This should be highlighted that swings in admin expenses, organisation and sales fees are driven by both product price and amount utilized.</w:t>
      </w:r>
    </w:p>
    <w:p w14:paraId="6EA394C8" w14:textId="77777777" w:rsidR="00EC03BF" w:rsidRDefault="00EC03BF" w:rsidP="00BB72FF">
      <w:pPr>
        <w:jc w:val="both"/>
      </w:pPr>
      <w:r>
        <w:t>T</w:t>
      </w:r>
      <w:r w:rsidRPr="00EC03BF">
        <w:t>he fixed budgeting, cost estimation, and actual outcomes into variance portions. Differences in volume (activity) show how differences in overall sales effect revenue. Adjustments in revenue and expenditures show how changes in sales selling cost, changeable expenses, and overall fixed expenses impacted revenue</w:t>
      </w:r>
      <w:r w:rsidR="0093051E">
        <w:t xml:space="preserve"> (</w:t>
      </w:r>
      <w:r w:rsidR="0093051E" w:rsidRPr="0093051E">
        <w:t>Morgan,</w:t>
      </w:r>
      <w:r w:rsidR="0093051E">
        <w:t xml:space="preserve"> 2019)</w:t>
      </w:r>
      <w:r w:rsidRPr="00EC03BF">
        <w:t>.</w:t>
      </w:r>
      <w:r>
        <w:t xml:space="preserve"> </w:t>
      </w:r>
      <w:r w:rsidRPr="00EC03BF">
        <w:t>While quantity fluctuations have no influence on necessary costs, this does not ensure that real monthly payments were always the same as predicted fixed costs. Fixed overhead spending may or not match budgeted investment. Costing system provide information which can be used to assess efficiency. A "variance" is the difference between expected and observed performance metrics. Variations in the price and quantity of materials, manpower, and variable expenditures are computed and conveyed to the firm. Positive variations occur when real expenses are less than anticipated amounts, and inversely.</w:t>
      </w:r>
    </w:p>
    <w:p w14:paraId="148FB2BF" w14:textId="77777777" w:rsidR="00DD5150" w:rsidRDefault="00DD5150" w:rsidP="00BB72FF">
      <w:pPr>
        <w:spacing w:line="259" w:lineRule="auto"/>
        <w:jc w:val="both"/>
      </w:pPr>
      <w:r>
        <w:br w:type="page"/>
      </w:r>
    </w:p>
    <w:p w14:paraId="67C9070D" w14:textId="77777777" w:rsidR="00EC03BF" w:rsidRDefault="00DD5150" w:rsidP="00BB72FF">
      <w:pPr>
        <w:pStyle w:val="Heading1"/>
        <w:jc w:val="both"/>
      </w:pPr>
      <w:bookmarkStart w:id="6" w:name="_Toc91603374"/>
      <w:r>
        <w:lastRenderedPageBreak/>
        <w:t>Part 2</w:t>
      </w:r>
      <w:bookmarkEnd w:id="6"/>
    </w:p>
    <w:p w14:paraId="26206A5F" w14:textId="77777777" w:rsidR="00EC03BF" w:rsidRPr="00FA1989" w:rsidRDefault="00EC03BF" w:rsidP="00BB72FF">
      <w:pPr>
        <w:jc w:val="both"/>
        <w:rPr>
          <w:b/>
          <w:bCs/>
        </w:rPr>
      </w:pPr>
      <w:r w:rsidRPr="00FA1989">
        <w:rPr>
          <w:b/>
          <w:bCs/>
        </w:rPr>
        <w:t>In your paper, analyse Mr. Amana's choice to go online and recommend whether they should open their own online store or sell on Amazon. You should take into account all relevant charges.</w:t>
      </w:r>
    </w:p>
    <w:p w14:paraId="449D8086" w14:textId="77777777" w:rsidR="00EC03BF" w:rsidRDefault="00EC03BF" w:rsidP="00BB72FF">
      <w:pPr>
        <w:jc w:val="both"/>
      </w:pPr>
      <w:r w:rsidRPr="00EC03BF">
        <w:t>One of the benefits of an online company is that it is low-cost but effective at drawing clients 24/7 a day, 7 days per week. Internet marketing refers to the use of virtual worlds to advertise and distribute goods and services. Due to the obvious rapid evolution of online digital technology, Amana's should exercise caution when using the web Digital platform in order to protect a strategic advantage. Because of the basic properties of the online, successful digital contact is equally important and helpful for an internet organisation. Online companies must learn further about as well as who buys what products online, as this has a bearing around whether or not transactions are finished at all</w:t>
      </w:r>
      <w:r w:rsidR="0093051E">
        <w:t xml:space="preserve"> (</w:t>
      </w:r>
      <w:proofErr w:type="spellStart"/>
      <w:r w:rsidR="0093051E">
        <w:t>Fahrurrozi</w:t>
      </w:r>
      <w:proofErr w:type="spellEnd"/>
      <w:r w:rsidR="0093051E">
        <w:t xml:space="preserve"> et al., 2020)</w:t>
      </w:r>
      <w:r w:rsidRPr="00EC03BF">
        <w:t>.</w:t>
      </w:r>
      <w:r>
        <w:t xml:space="preserve"> </w:t>
      </w:r>
      <w:r w:rsidRPr="00EC03BF">
        <w:t>The Internet provides new chances for businesses to evaluate consumer demands and interests in order to provide a foundation for terms of finding, layout, and management of all customer communications. Providing a shopping experiences which demands emotional states over limited access points, such as internet sales, makes creating a website that supports online purchase challenging. Many of the well-known advantages of digital networking (low cost, availability, relevant supporting, and so on) have resulted in economic thermal degradation and brought the notion of sided perspective to the forefront of markets and ecosystems.</w:t>
      </w:r>
    </w:p>
    <w:p w14:paraId="69586F7E" w14:textId="77777777" w:rsidR="00EC03BF" w:rsidRDefault="00EC03BF" w:rsidP="00BB72FF">
      <w:pPr>
        <w:jc w:val="both"/>
      </w:pPr>
      <w:r w:rsidRPr="00EC03BF">
        <w:t>To be an aspect of online marketing tactics like wide-scale expressive communication, electronic feedback systems must somehow deliver information, but it also collect and integrate input from large audiences at a low cost.</w:t>
      </w:r>
      <w:r>
        <w:t xml:space="preserve"> </w:t>
      </w:r>
      <w:r w:rsidRPr="00EC03BF">
        <w:t>Integrating marketing t</w:t>
      </w:r>
      <w:r>
        <w:t xml:space="preserve">actics into the development and </w:t>
      </w:r>
      <w:r w:rsidRPr="00EC03BF">
        <w:t>implementation of an e-services leading to better solutions to e-loyalty and revenue.</w:t>
      </w:r>
      <w:r>
        <w:t xml:space="preserve"> </w:t>
      </w:r>
      <w:r w:rsidR="00F44612" w:rsidRPr="00F44612">
        <w:t>Businesses which engage an existing web associate may obtain additional benefits and build new ties if they assess their present situation and use their e-competence to play an active role in whatever the e-marketplace would have to offer.</w:t>
      </w:r>
      <w:r w:rsidR="00F44612">
        <w:t xml:space="preserve"> </w:t>
      </w:r>
      <w:r w:rsidR="00F44612" w:rsidRPr="00F44612">
        <w:t>Irrespective of its goal for worldwide development, Amanas must confront internationalisation obstacles, however the severity and breadth of the difficulties may differ</w:t>
      </w:r>
      <w:r w:rsidR="0093051E">
        <w:t xml:space="preserve"> (Jan et al., 2019)</w:t>
      </w:r>
      <w:r w:rsidR="00F44612" w:rsidRPr="00F44612">
        <w:t>.</w:t>
      </w:r>
      <w:r w:rsidR="00F44612">
        <w:t xml:space="preserve"> </w:t>
      </w:r>
      <w:r w:rsidR="00F44612" w:rsidRPr="00F44612">
        <w:t>The far more logical solution appears to be for retailers to develop their digital marketing leadership skills; otherwise, marketing would disappoint quickly and other technically focused departments, such as IT, will assume over their specific functions.</w:t>
      </w:r>
      <w:r w:rsidR="00F44612">
        <w:t xml:space="preserve"> </w:t>
      </w:r>
      <w:r w:rsidR="00F44612" w:rsidRPr="00F44612">
        <w:t xml:space="preserve">That the concept of added cost is no longer restricted to production cost, operating costs, and taxes, or that investment advisors, leading economists, and specialists are engaged in added cost to reach their aims, or that the corporate accounting log actually </w:t>
      </w:r>
      <w:r w:rsidR="00F44612" w:rsidRPr="00F44612">
        <w:lastRenderedPageBreak/>
        <w:t>costs more than the financial statement log.</w:t>
      </w:r>
      <w:r w:rsidR="00F44612">
        <w:t xml:space="preserve"> </w:t>
      </w:r>
      <w:r w:rsidR="00F44612" w:rsidRPr="00F44612">
        <w:t>Because it is dependent on having to compromise the actual quantity spent by the corporation for products and administrations, the articles are grouped into two types.</w:t>
      </w:r>
      <w:r w:rsidR="00F44612">
        <w:t xml:space="preserve"> </w:t>
      </w:r>
      <w:r w:rsidR="00C620ED" w:rsidRPr="00C620ED">
        <w:t>It requires deducting the expenses involved with generating income for the most recent period and transforming these expenses into expenses such as amortisation, rental, administration, and taxing. It symbolises (assets) and items such as furniture, residences, and prepaid costs that have the growth potential and would be rendered obsolete at the conclusion of the preceding year</w:t>
      </w:r>
      <w:r w:rsidR="0093051E">
        <w:t xml:space="preserve"> (</w:t>
      </w:r>
      <w:proofErr w:type="spellStart"/>
      <w:r w:rsidR="0093051E">
        <w:t>Sanyala</w:t>
      </w:r>
      <w:proofErr w:type="spellEnd"/>
      <w:r w:rsidR="0093051E">
        <w:t xml:space="preserve"> </w:t>
      </w:r>
      <w:r w:rsidR="0093051E" w:rsidRPr="0093051E">
        <w:t xml:space="preserve">and </w:t>
      </w:r>
      <w:proofErr w:type="spellStart"/>
      <w:r w:rsidR="0093051E" w:rsidRPr="0093051E">
        <w:t>Hisamb</w:t>
      </w:r>
      <w:proofErr w:type="spellEnd"/>
      <w:r w:rsidR="0093051E">
        <w:t>, 2019)</w:t>
      </w:r>
      <w:r w:rsidR="00C620ED" w:rsidRPr="00C620ED">
        <w:t>.</w:t>
      </w:r>
      <w:r w:rsidR="00C620ED">
        <w:t xml:space="preserve"> </w:t>
      </w:r>
    </w:p>
    <w:p w14:paraId="00BA1450" w14:textId="77777777" w:rsidR="00C620ED" w:rsidRDefault="00C620ED" w:rsidP="00BB72FF">
      <w:pPr>
        <w:jc w:val="both"/>
      </w:pPr>
      <w:r w:rsidRPr="00C620ED">
        <w:t>The importance of e-commerce in cost reduction accumulates to manufacturers in the speed of evaluation system stores and low-cost starts. Particularly in contrast to the management of physical stores, this also resulted in a fall in the price of corporate strengths and a rise in the scope of foreign providers, such as well beyond typical external providers.</w:t>
      </w:r>
      <w:r>
        <w:t xml:space="preserve"> </w:t>
      </w:r>
      <w:r w:rsidRPr="00C620ED">
        <w:t>Limitations of space and time, and thus to strengthen competitiveness via greater goods or services at cheap costs.</w:t>
      </w:r>
      <w:r>
        <w:t xml:space="preserve"> </w:t>
      </w:r>
      <w:r w:rsidRPr="00C620ED">
        <w:t>That reduces operational procedure complete details a trade finance cost of acquiring information, debate and dealing fees and client orders, related regulations, as well as other key elements of the unit price.</w:t>
      </w:r>
      <w:r>
        <w:t xml:space="preserve"> </w:t>
      </w:r>
      <w:r w:rsidRPr="00C620ED">
        <w:t>E-commerce, on the other hand, plays a vital part in decreasing these expenses through expanding information exchange and boosting corporate interaction, as well as decreasing the cost of obtaining information about potential customers or potential suppliers.</w:t>
      </w:r>
      <w:r>
        <w:t xml:space="preserve"> </w:t>
      </w:r>
      <w:r w:rsidRPr="00C620ED">
        <w:t>Participating to e-commerce to decrease administrative expenditures for businesses in the transmission, retention, and retrieval of incomplete truths might result in a reduction of purchasing administrative expenses by up to 85 %, leading to reduced price of the product.</w:t>
      </w:r>
      <w:r>
        <w:t xml:space="preserve"> </w:t>
      </w:r>
      <w:r w:rsidRPr="00C620ED">
        <w:t>Inventory control as a contributing component to online purchasing will result in a consid</w:t>
      </w:r>
      <w:r>
        <w:t>erable reduction in a product wastage</w:t>
      </w:r>
      <w:r w:rsidRPr="00C620ED">
        <w:t xml:space="preserve"> in the distribution network.</w:t>
      </w:r>
      <w:r>
        <w:t xml:space="preserve"> </w:t>
      </w:r>
      <w:r w:rsidRPr="00C620ED">
        <w:t>The procedure will begin by gathering investor interest from of the consumer and giving them with its application throughout temporary industrialization, and it will cooperate to substantially minimise the business cycle; wherein the items are transported directly from of the maker to the end customer.</w:t>
      </w:r>
      <w:r>
        <w:t xml:space="preserve"> </w:t>
      </w:r>
      <w:r w:rsidRPr="00C620ED">
        <w:t>This is particularly visible in internet platforms, which that is any realizability goods. Thus, e-commerce is a key tool in managing inventory and reducing storage needs, that has macroeconomic implications if people realise that 10% of the fluctuation in month increased productivity is attributable to the uncertainty of capital growth in storage.</w:t>
      </w:r>
    </w:p>
    <w:p w14:paraId="7DA9E4E0" w14:textId="77777777" w:rsidR="00C620ED" w:rsidRDefault="00127705" w:rsidP="00BB72FF">
      <w:pPr>
        <w:jc w:val="both"/>
      </w:pPr>
      <w:r w:rsidRPr="00127705">
        <w:t xml:space="preserve">If e-commerce strives to minimise storing to a minimum, one of the implications of e-commerce is meant to diminish the negative impacts of things like the business cycle induced by a change in stock. The effect of the business cycle inventories is predicted to decrease to a minimum, if not abolished, due to advances in digital innovations and new sharing of </w:t>
      </w:r>
      <w:r w:rsidRPr="00127705">
        <w:lastRenderedPageBreak/>
        <w:t>information.</w:t>
      </w:r>
      <w:r>
        <w:t xml:space="preserve"> </w:t>
      </w:r>
      <w:r w:rsidRPr="00127705">
        <w:t>If e-commerce strives to minimise storage to a minimum, one of the implications of e-commerce is meant to diminish the negative impacts of things like the market cycle induced by a change in inventory.</w:t>
      </w:r>
      <w:r>
        <w:t xml:space="preserve"> </w:t>
      </w:r>
      <w:r w:rsidRPr="00127705">
        <w:t>With the growth of digital technologies and new transmission of information, the impact of the market cycle inventories is predicted to decrease to a bare minimum, if not abolished</w:t>
      </w:r>
      <w:r w:rsidR="0093051E">
        <w:t xml:space="preserve"> (</w:t>
      </w:r>
      <w:proofErr w:type="spellStart"/>
      <w:r w:rsidR="0093051E">
        <w:t>Purcarea</w:t>
      </w:r>
      <w:proofErr w:type="spellEnd"/>
      <w:r w:rsidR="0093051E">
        <w:t xml:space="preserve"> et al., 2021)</w:t>
      </w:r>
      <w:r w:rsidRPr="00127705">
        <w:t>.</w:t>
      </w:r>
    </w:p>
    <w:p w14:paraId="79BE5ED5" w14:textId="77777777" w:rsidR="00127705" w:rsidRDefault="00127705" w:rsidP="00BB72FF">
      <w:pPr>
        <w:jc w:val="both"/>
      </w:pPr>
      <w:r w:rsidRPr="00127705">
        <w:t>Many people are concerned about security issues such as the legality and safety of a firm's site, secrecy, encryption, and auditor identity.</w:t>
      </w:r>
      <w:r>
        <w:t xml:space="preserve"> </w:t>
      </w:r>
      <w:r w:rsidRPr="00127705">
        <w:t>American is the most generally used language on the Web, accounting for more than 80% of all queries, and this is one of the most important impediments to e-commerce in Middle Eastern countries where Arabic is the predominant language.</w:t>
      </w:r>
      <w:r>
        <w:t xml:space="preserve"> </w:t>
      </w:r>
      <w:r w:rsidRPr="00127705">
        <w:t>Another concern is the government's role to support indigenous firms to compete with multinational ventures.</w:t>
      </w:r>
    </w:p>
    <w:p w14:paraId="174907B2" w14:textId="77777777" w:rsidR="00127705" w:rsidRDefault="00127705" w:rsidP="00BB72FF">
      <w:pPr>
        <w:jc w:val="both"/>
      </w:pPr>
    </w:p>
    <w:p w14:paraId="67B8E3F2" w14:textId="77777777" w:rsidR="00DD5150" w:rsidRDefault="00DD5150" w:rsidP="00BB72FF">
      <w:pPr>
        <w:spacing w:line="259" w:lineRule="auto"/>
        <w:jc w:val="both"/>
        <w:rPr>
          <w:rFonts w:eastAsiaTheme="majorEastAsia" w:cstheme="majorBidi"/>
          <w:b/>
          <w:sz w:val="28"/>
          <w:szCs w:val="32"/>
        </w:rPr>
      </w:pPr>
      <w:bookmarkStart w:id="7" w:name="_Toc91521572"/>
      <w:r>
        <w:br w:type="page"/>
      </w:r>
    </w:p>
    <w:p w14:paraId="3B0DA22A" w14:textId="77777777" w:rsidR="00127705" w:rsidRDefault="00127705" w:rsidP="00BB72FF">
      <w:pPr>
        <w:pStyle w:val="Heading1"/>
        <w:jc w:val="both"/>
      </w:pPr>
      <w:bookmarkStart w:id="8" w:name="_Toc91603375"/>
      <w:r>
        <w:lastRenderedPageBreak/>
        <w:t>Conclusion</w:t>
      </w:r>
      <w:bookmarkEnd w:id="7"/>
      <w:bookmarkEnd w:id="8"/>
    </w:p>
    <w:p w14:paraId="15130AA4" w14:textId="77777777" w:rsidR="00F44612" w:rsidRDefault="00127705" w:rsidP="00BB72FF">
      <w:pPr>
        <w:jc w:val="both"/>
      </w:pPr>
      <w:r w:rsidRPr="00127705">
        <w:t>Fluctuations in a company's business or the amount of things produced are referred to as "flexible budgets." Unlike publicly funded systems, which are initially produced of planning, its value changes over time.</w:t>
      </w:r>
      <w:r>
        <w:t xml:space="preserve"> </w:t>
      </w:r>
      <w:r w:rsidRPr="00127705">
        <w:t>Flexible budgets incorporate variable spending per unit instead of fixed costs, which assists the business in forecasting prospective cash flow goes up or down.</w:t>
      </w:r>
      <w:r w:rsidR="00DD5150">
        <w:t xml:space="preserve"> </w:t>
      </w:r>
      <w:r w:rsidR="00DD5150" w:rsidRPr="00DD5150">
        <w:t>Amana's efficiency in 2020, calculated by subtracting current costs from spending, is £ 822,400.</w:t>
      </w:r>
      <w:r w:rsidR="00DD5150">
        <w:t xml:space="preserve"> </w:t>
      </w:r>
      <w:r w:rsidR="00DD5150" w:rsidRPr="00DD5150">
        <w:t>By definition, the variation is positive since planned expenses exceed total spending. Amana paid $ 28,60,900 in 2016 instead of £20,38,500, thus the discrepancy is less that £1.</w:t>
      </w:r>
      <w:r w:rsidR="00DD5150">
        <w:t xml:space="preserve"> </w:t>
      </w:r>
      <w:r w:rsidR="00DD5150" w:rsidRPr="00DD5150">
        <w:t>Material Variances represent the error between the measured cost of manufacturing and the specs.</w:t>
      </w:r>
      <w:r w:rsidR="00DD5150">
        <w:t xml:space="preserve"> </w:t>
      </w:r>
      <w:r w:rsidR="00DD5150" w:rsidRPr="00DD5150">
        <w:t>Material cost variations may be affected by changes in product pricing, quantity utilised, material mixing, or performance produced. Combining two variables, rate variance and efficiency variance, yields the overall variance in labour expenses. In the instance of Amana, the difference is £ 80,000.</w:t>
      </w:r>
    </w:p>
    <w:p w14:paraId="168BDFD7" w14:textId="77777777" w:rsidR="00414F4A" w:rsidRDefault="00414F4A" w:rsidP="00BB72FF">
      <w:pPr>
        <w:jc w:val="both"/>
      </w:pPr>
    </w:p>
    <w:p w14:paraId="0F16FFAB" w14:textId="77777777" w:rsidR="0093051E" w:rsidRDefault="0093051E" w:rsidP="00BB72FF">
      <w:pPr>
        <w:spacing w:line="259" w:lineRule="auto"/>
        <w:jc w:val="both"/>
        <w:rPr>
          <w:rFonts w:eastAsiaTheme="majorEastAsia" w:cstheme="majorBidi"/>
          <w:b/>
          <w:sz w:val="28"/>
          <w:szCs w:val="32"/>
        </w:rPr>
      </w:pPr>
      <w:r>
        <w:br w:type="page"/>
      </w:r>
    </w:p>
    <w:p w14:paraId="005AFE52" w14:textId="77777777" w:rsidR="0093051E" w:rsidRDefault="00DD5150" w:rsidP="00BB72FF">
      <w:pPr>
        <w:pStyle w:val="Heading1"/>
        <w:jc w:val="both"/>
      </w:pPr>
      <w:bookmarkStart w:id="9" w:name="_Toc91603376"/>
      <w:r>
        <w:lastRenderedPageBreak/>
        <w:t>References</w:t>
      </w:r>
      <w:bookmarkEnd w:id="9"/>
    </w:p>
    <w:p w14:paraId="3DDB2FEF" w14:textId="77777777" w:rsidR="0093051E" w:rsidRDefault="0093051E" w:rsidP="00BB72FF">
      <w:pPr>
        <w:jc w:val="both"/>
      </w:pPr>
    </w:p>
    <w:p w14:paraId="1CCABABF" w14:textId="77777777" w:rsidR="0093051E" w:rsidRDefault="0093051E" w:rsidP="00BB72FF">
      <w:pPr>
        <w:jc w:val="both"/>
      </w:pPr>
      <w:r>
        <w:t>Akeem, L.B., 2017. Effect of cost control and cost reduction techniques in organizational performance. International Business and Management, 14(3), pp.19-26.</w:t>
      </w:r>
    </w:p>
    <w:p w14:paraId="286AE7DD" w14:textId="77777777" w:rsidR="0093051E" w:rsidRDefault="0093051E" w:rsidP="00BB72FF">
      <w:pPr>
        <w:jc w:val="both"/>
      </w:pPr>
      <w:r>
        <w:t xml:space="preserve">Arnold, M. and </w:t>
      </w:r>
      <w:proofErr w:type="spellStart"/>
      <w:r>
        <w:t>Artz</w:t>
      </w:r>
      <w:proofErr w:type="spellEnd"/>
      <w:r>
        <w:t>, M., 2019. The use of a single budget or separate budgets for planning and performance evaluation. Accounting, organizations and society, 73, pp.50-67.</w:t>
      </w:r>
    </w:p>
    <w:p w14:paraId="284DBEC9" w14:textId="77777777" w:rsidR="0093051E" w:rsidRDefault="0093051E" w:rsidP="00BB72FF">
      <w:pPr>
        <w:jc w:val="both"/>
      </w:pPr>
      <w:proofErr w:type="spellStart"/>
      <w:r>
        <w:t>Bybordi</w:t>
      </w:r>
      <w:proofErr w:type="spellEnd"/>
      <w:r>
        <w:t xml:space="preserve">, N., </w:t>
      </w:r>
      <w:proofErr w:type="spellStart"/>
      <w:r>
        <w:t>Ousama</w:t>
      </w:r>
      <w:proofErr w:type="spellEnd"/>
      <w:r>
        <w:t xml:space="preserve">, A.A. and </w:t>
      </w:r>
      <w:proofErr w:type="spellStart"/>
      <w:r>
        <w:t>Shreim</w:t>
      </w:r>
      <w:proofErr w:type="spellEnd"/>
      <w:r>
        <w:t>, O.S., 2019. Analysis of the Budgeting System: A Case Study of a Manufacturing Company. Asian Journal of Accounting Perspectives, 12(2), pp.82-100.</w:t>
      </w:r>
    </w:p>
    <w:p w14:paraId="499CF305" w14:textId="77777777" w:rsidR="0093051E" w:rsidRDefault="0093051E" w:rsidP="00BB72FF">
      <w:pPr>
        <w:jc w:val="both"/>
      </w:pPr>
      <w:proofErr w:type="spellStart"/>
      <w:r>
        <w:t>Fahrurrozi</w:t>
      </w:r>
      <w:proofErr w:type="spellEnd"/>
      <w:r>
        <w:t xml:space="preserve">, M., </w:t>
      </w:r>
      <w:proofErr w:type="spellStart"/>
      <w:r>
        <w:t>Soekiman</w:t>
      </w:r>
      <w:proofErr w:type="spellEnd"/>
      <w:r>
        <w:t xml:space="preserve">, J.F.X., </w:t>
      </w:r>
      <w:proofErr w:type="spellStart"/>
      <w:r>
        <w:t>Philipus</w:t>
      </w:r>
      <w:proofErr w:type="spellEnd"/>
      <w:r>
        <w:t xml:space="preserve"> Kurniawan </w:t>
      </w:r>
      <w:proofErr w:type="spellStart"/>
      <w:r>
        <w:t>Gheta</w:t>
      </w:r>
      <w:proofErr w:type="spellEnd"/>
      <w:r>
        <w:t xml:space="preserve">, A., </w:t>
      </w:r>
      <w:proofErr w:type="spellStart"/>
      <w:r>
        <w:t>Sudaryana</w:t>
      </w:r>
      <w:proofErr w:type="spellEnd"/>
      <w:r>
        <w:t>, Y. and Husain, T., 2020. Business to Business ecommerce and role of Knowledge Management. Business to Business ecommerce and role of Knowledge Management, 82.</w:t>
      </w:r>
    </w:p>
    <w:p w14:paraId="2523E407" w14:textId="77777777" w:rsidR="0093051E" w:rsidRDefault="0093051E" w:rsidP="00BB72FF">
      <w:pPr>
        <w:jc w:val="both"/>
      </w:pPr>
      <w:proofErr w:type="spellStart"/>
      <w:r>
        <w:t>Guelfi</w:t>
      </w:r>
      <w:proofErr w:type="spellEnd"/>
      <w:r>
        <w:t xml:space="preserve">, S. and </w:t>
      </w:r>
      <w:proofErr w:type="spellStart"/>
      <w:r>
        <w:t>Saluto</w:t>
      </w:r>
      <w:proofErr w:type="spellEnd"/>
      <w:r>
        <w:t>, P., 2019. Turnover Variances Analysis-Determinants for a Managerial and Competitive Analysis. International Journal of Business Administration, 10(2), pp.63-81.</w:t>
      </w:r>
    </w:p>
    <w:p w14:paraId="6CEFB8E2" w14:textId="77777777" w:rsidR="0093051E" w:rsidRDefault="0093051E" w:rsidP="00BB72FF">
      <w:pPr>
        <w:jc w:val="both"/>
      </w:pPr>
      <w:r>
        <w:t xml:space="preserve">Jan, R.H., Lydia, E.L., Shankar, K., Hashim, W. and </w:t>
      </w:r>
      <w:proofErr w:type="spellStart"/>
      <w:r>
        <w:t>Maseleno</w:t>
      </w:r>
      <w:proofErr w:type="spellEnd"/>
      <w:r>
        <w:t>, A., 2019. The increasing market of ecommerce and its impact on retailer. Journal of Critical Reviews, 6(5), pp.122-127.</w:t>
      </w:r>
    </w:p>
    <w:p w14:paraId="439495DC" w14:textId="77777777" w:rsidR="0093051E" w:rsidRDefault="0093051E" w:rsidP="00BB72FF">
      <w:pPr>
        <w:jc w:val="both"/>
      </w:pPr>
      <w:r>
        <w:t>Morgan, P., 2019. Financial Reporting: A Comprehensive Evaluation of Accounting Methods and Applications (Doctoral dissertation, University of Mississippi).</w:t>
      </w:r>
    </w:p>
    <w:p w14:paraId="3645F828" w14:textId="77777777" w:rsidR="0093051E" w:rsidRDefault="0093051E" w:rsidP="00BB72FF">
      <w:pPr>
        <w:jc w:val="both"/>
      </w:pPr>
      <w:proofErr w:type="spellStart"/>
      <w:r>
        <w:t>Novák</w:t>
      </w:r>
      <w:proofErr w:type="spellEnd"/>
      <w:r>
        <w:t xml:space="preserve">, P., </w:t>
      </w:r>
      <w:proofErr w:type="spellStart"/>
      <w:r>
        <w:t>Dvorský</w:t>
      </w:r>
      <w:proofErr w:type="spellEnd"/>
      <w:r>
        <w:t xml:space="preserve">, J., </w:t>
      </w:r>
      <w:proofErr w:type="spellStart"/>
      <w:r>
        <w:t>Popesko</w:t>
      </w:r>
      <w:proofErr w:type="spellEnd"/>
      <w:r>
        <w:t xml:space="preserve">, B. and Strouhal, J., 2017. Analysis of overhead cost </w:t>
      </w:r>
      <w:proofErr w:type="spellStart"/>
      <w:r>
        <w:t>behavior</w:t>
      </w:r>
      <w:proofErr w:type="spellEnd"/>
      <w:r>
        <w:t>: case study on decision-making approach. Journal of International Studies.</w:t>
      </w:r>
    </w:p>
    <w:p w14:paraId="354DEB34" w14:textId="77777777" w:rsidR="0093051E" w:rsidRDefault="0093051E" w:rsidP="00BB72FF">
      <w:pPr>
        <w:jc w:val="both"/>
      </w:pPr>
      <w:proofErr w:type="spellStart"/>
      <w:r>
        <w:t>Purcarea</w:t>
      </w:r>
      <w:proofErr w:type="spellEnd"/>
      <w:r>
        <w:t>, I.M., 2021. Digital Marketing and Ecommerce in the Digital Neo-Economy, Discovering by Learning in the New Era of Innovation, and Re-engaging the Marketing Team. Holistic Marketing Management Journal, 11(2), pp.16-31.</w:t>
      </w:r>
    </w:p>
    <w:p w14:paraId="0944E71C" w14:textId="77777777" w:rsidR="0093051E" w:rsidRDefault="0093051E" w:rsidP="00BB72FF">
      <w:pPr>
        <w:jc w:val="both"/>
      </w:pPr>
      <w:proofErr w:type="spellStart"/>
      <w:r>
        <w:t>Sanyala</w:t>
      </w:r>
      <w:proofErr w:type="spellEnd"/>
      <w:r>
        <w:t xml:space="preserve">, S. and </w:t>
      </w:r>
      <w:proofErr w:type="spellStart"/>
      <w:r>
        <w:t>Hisamb</w:t>
      </w:r>
      <w:proofErr w:type="spellEnd"/>
      <w:r>
        <w:t>, M.W., 2019, November. Factors Affecting Customer Satisfaction with Ecommerce Websites-An Omani Perspective. In 2019 International Conference on Digitization (ICD) (pp. 232-236). IEEE.</w:t>
      </w:r>
    </w:p>
    <w:p w14:paraId="3362E002" w14:textId="77777777" w:rsidR="0093051E" w:rsidRDefault="0093051E" w:rsidP="00BB72FF">
      <w:pPr>
        <w:jc w:val="both"/>
      </w:pPr>
      <w:proofErr w:type="spellStart"/>
      <w:r>
        <w:t>Traina</w:t>
      </w:r>
      <w:proofErr w:type="spellEnd"/>
      <w:r>
        <w:t>, J., 2018. Is aggregate market power increasing? production trends using financial statements. Production Trends Using Financial Statements (February 8, 2018).</w:t>
      </w:r>
    </w:p>
    <w:p w14:paraId="73388776" w14:textId="77777777" w:rsidR="0093051E" w:rsidRDefault="0093051E" w:rsidP="00BB72FF">
      <w:pPr>
        <w:jc w:val="both"/>
      </w:pPr>
      <w:r>
        <w:lastRenderedPageBreak/>
        <w:t xml:space="preserve">Yan, Z.Z., Chen, Q.L., Zhang, Y.J., He, J.Z. and Hu, H.W., 2020. Industrial development as a key factor explaining variances in soil and grass </w:t>
      </w:r>
      <w:proofErr w:type="spellStart"/>
      <w:r>
        <w:t>phyllosphere</w:t>
      </w:r>
      <w:proofErr w:type="spellEnd"/>
      <w:r>
        <w:t xml:space="preserve"> microbiomes in urban green spaces. Environmental Pollution, 261, p.114201.</w:t>
      </w:r>
    </w:p>
    <w:sectPr w:rsidR="00930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0MTIxNTYyMbYwtzBU0lEKTi0uzszPAykwrAUAsxTQaCwAAAA="/>
  </w:docVars>
  <w:rsids>
    <w:rsidRoot w:val="004569C1"/>
    <w:rsid w:val="0003414A"/>
    <w:rsid w:val="00091FC5"/>
    <w:rsid w:val="000A08CF"/>
    <w:rsid w:val="00127705"/>
    <w:rsid w:val="00163AF3"/>
    <w:rsid w:val="00186994"/>
    <w:rsid w:val="00252954"/>
    <w:rsid w:val="003F4512"/>
    <w:rsid w:val="00414F4A"/>
    <w:rsid w:val="004569C1"/>
    <w:rsid w:val="004F64F9"/>
    <w:rsid w:val="00530D9B"/>
    <w:rsid w:val="00604F5C"/>
    <w:rsid w:val="007C65AB"/>
    <w:rsid w:val="009302B0"/>
    <w:rsid w:val="0093051E"/>
    <w:rsid w:val="00A90D57"/>
    <w:rsid w:val="00AE41C2"/>
    <w:rsid w:val="00B1562C"/>
    <w:rsid w:val="00B82BDC"/>
    <w:rsid w:val="00BB72FF"/>
    <w:rsid w:val="00C41694"/>
    <w:rsid w:val="00C620ED"/>
    <w:rsid w:val="00C63114"/>
    <w:rsid w:val="00C705B6"/>
    <w:rsid w:val="00C84FBE"/>
    <w:rsid w:val="00DD5150"/>
    <w:rsid w:val="00E62DC5"/>
    <w:rsid w:val="00EC03BF"/>
    <w:rsid w:val="00F4461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B38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150"/>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DD515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04F5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04F5C"/>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DD5150"/>
    <w:rPr>
      <w:rFonts w:ascii="Times New Roman" w:eastAsiaTheme="majorEastAsia" w:hAnsi="Times New Roman" w:cstheme="majorBidi"/>
      <w:b/>
      <w:sz w:val="28"/>
      <w:szCs w:val="32"/>
      <w:lang w:val="en-GB"/>
    </w:rPr>
  </w:style>
  <w:style w:type="paragraph" w:styleId="Title">
    <w:name w:val="Title"/>
    <w:basedOn w:val="Normal"/>
    <w:next w:val="Normal"/>
    <w:link w:val="TitleChar"/>
    <w:uiPriority w:val="10"/>
    <w:qFormat/>
    <w:rsid w:val="00DD5150"/>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D5150"/>
    <w:rPr>
      <w:rFonts w:ascii="Times New Roman" w:eastAsiaTheme="majorEastAsia" w:hAnsi="Times New Roman" w:cstheme="majorBidi"/>
      <w:b/>
      <w:spacing w:val="-10"/>
      <w:kern w:val="28"/>
      <w:sz w:val="56"/>
      <w:szCs w:val="56"/>
      <w:lang w:val="en-GB"/>
    </w:rPr>
  </w:style>
  <w:style w:type="paragraph" w:styleId="TOCHeading">
    <w:name w:val="TOC Heading"/>
    <w:basedOn w:val="Heading1"/>
    <w:next w:val="Normal"/>
    <w:uiPriority w:val="39"/>
    <w:unhideWhenUsed/>
    <w:qFormat/>
    <w:rsid w:val="0003414A"/>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3414A"/>
    <w:pPr>
      <w:spacing w:after="100"/>
    </w:pPr>
  </w:style>
  <w:style w:type="paragraph" w:styleId="TOC2">
    <w:name w:val="toc 2"/>
    <w:basedOn w:val="Normal"/>
    <w:next w:val="Normal"/>
    <w:autoRedefine/>
    <w:uiPriority w:val="39"/>
    <w:unhideWhenUsed/>
    <w:rsid w:val="0003414A"/>
    <w:pPr>
      <w:spacing w:after="100"/>
      <w:ind w:left="240"/>
    </w:pPr>
  </w:style>
  <w:style w:type="character" w:styleId="Hyperlink">
    <w:name w:val="Hyperlink"/>
    <w:basedOn w:val="DefaultParagraphFont"/>
    <w:uiPriority w:val="99"/>
    <w:unhideWhenUsed/>
    <w:rsid w:val="000341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54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87560-E814-451B-BF33-07C753B95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2022-01-05T18:25:00Z</dcterms:created>
  <dcterms:modified xsi:type="dcterms:W3CDTF">2022-01-05T18:28:00Z</dcterms:modified>
</cp:coreProperties>
</file>