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5756" w:rsidRPr="00AA250A" w:rsidRDefault="003B5756" w:rsidP="00AA250A">
      <w:pPr>
        <w:jc w:val="center"/>
        <w:rPr>
          <w:b/>
          <w:sz w:val="56"/>
          <w:szCs w:val="56"/>
        </w:rPr>
      </w:pPr>
    </w:p>
    <w:p w:rsidR="003B5756" w:rsidRPr="00AA250A" w:rsidRDefault="008E27AF" w:rsidP="00AA250A">
      <w:pPr>
        <w:jc w:val="center"/>
        <w:rPr>
          <w:b/>
          <w:sz w:val="56"/>
          <w:szCs w:val="56"/>
        </w:rPr>
      </w:pPr>
      <w:r>
        <w:rPr>
          <w:b/>
          <w:sz w:val="56"/>
          <w:szCs w:val="56"/>
        </w:rPr>
        <w:t>Module code:LCBB6002</w:t>
      </w:r>
    </w:p>
    <w:p w:rsidR="008078AA" w:rsidRDefault="003B5756" w:rsidP="00AA250A">
      <w:pPr>
        <w:jc w:val="center"/>
        <w:rPr>
          <w:b/>
          <w:sz w:val="56"/>
          <w:szCs w:val="56"/>
        </w:rPr>
      </w:pPr>
      <w:r w:rsidRPr="00AA250A">
        <w:rPr>
          <w:b/>
          <w:sz w:val="56"/>
          <w:szCs w:val="56"/>
        </w:rPr>
        <w:t>International Financial Management</w:t>
      </w:r>
    </w:p>
    <w:p w:rsidR="008E27AF" w:rsidRDefault="008E27AF" w:rsidP="00AA250A">
      <w:pPr>
        <w:jc w:val="center"/>
        <w:rPr>
          <w:b/>
          <w:sz w:val="56"/>
          <w:szCs w:val="56"/>
        </w:rPr>
      </w:pPr>
      <w:r>
        <w:rPr>
          <w:b/>
          <w:sz w:val="56"/>
          <w:szCs w:val="56"/>
        </w:rPr>
        <w:t>Student name:Ecaterina Tartamus</w:t>
      </w:r>
    </w:p>
    <w:p w:rsidR="008E27AF" w:rsidRDefault="008E27AF" w:rsidP="00AA250A">
      <w:pPr>
        <w:jc w:val="center"/>
        <w:rPr>
          <w:b/>
          <w:sz w:val="56"/>
          <w:szCs w:val="56"/>
        </w:rPr>
      </w:pPr>
      <w:r>
        <w:rPr>
          <w:b/>
          <w:sz w:val="56"/>
          <w:szCs w:val="56"/>
        </w:rPr>
        <w:t>Student number:2010309</w:t>
      </w:r>
    </w:p>
    <w:p w:rsidR="008E27AF" w:rsidRPr="00AA250A" w:rsidRDefault="008E27AF" w:rsidP="00AA250A">
      <w:pPr>
        <w:jc w:val="center"/>
        <w:rPr>
          <w:b/>
          <w:sz w:val="56"/>
          <w:szCs w:val="56"/>
        </w:rPr>
      </w:pPr>
      <w:r>
        <w:rPr>
          <w:b/>
          <w:sz w:val="56"/>
          <w:szCs w:val="56"/>
        </w:rPr>
        <w:t>Module Lecturer’s:Taye Osadiya</w:t>
      </w:r>
    </w:p>
    <w:p w:rsidR="008078AA" w:rsidRPr="00AA250A" w:rsidRDefault="008078AA" w:rsidP="00AA250A">
      <w:pPr>
        <w:spacing w:after="0"/>
        <w:jc w:val="left"/>
        <w:rPr>
          <w:b/>
          <w:sz w:val="56"/>
          <w:szCs w:val="56"/>
        </w:rPr>
      </w:pPr>
      <w:r w:rsidRPr="00AA250A">
        <w:rPr>
          <w:b/>
          <w:sz w:val="56"/>
          <w:szCs w:val="56"/>
        </w:rPr>
        <w:br w:type="page"/>
      </w:r>
    </w:p>
    <w:p w:rsidR="008078AA" w:rsidRPr="00AA250A" w:rsidRDefault="008078AA" w:rsidP="00AA250A">
      <w:pPr>
        <w:pStyle w:val="1"/>
        <w:rPr>
          <w:rFonts w:ascii="Times New Roman" w:hAnsi="Times New Roman"/>
          <w:b/>
          <w:color w:val="auto"/>
        </w:rPr>
      </w:pPr>
      <w:bookmarkStart w:id="0" w:name="_Toc119357123"/>
      <w:r w:rsidRPr="00AA250A">
        <w:rPr>
          <w:rFonts w:ascii="Times New Roman" w:hAnsi="Times New Roman"/>
          <w:b/>
          <w:color w:val="auto"/>
        </w:rPr>
        <w:lastRenderedPageBreak/>
        <w:t>Executive Summary</w:t>
      </w:r>
      <w:bookmarkEnd w:id="0"/>
    </w:p>
    <w:p w:rsidR="008078AA" w:rsidRPr="00AA250A" w:rsidRDefault="008078AA" w:rsidP="00AA250A">
      <w:pPr>
        <w:rPr>
          <w:lang w:val="en-GB" w:eastAsia="en-GB"/>
        </w:rPr>
      </w:pPr>
      <w:r w:rsidRPr="00AA250A">
        <w:rPr>
          <w:lang w:val="en-GB" w:eastAsia="en-GB"/>
        </w:rPr>
        <w:t xml:space="preserve">This assignment has shown an analysis and importance of International Financial Management (IFM) in light of a renowned multinational company named Unilever and how international financial management can play a vital role in the organization’s financial management and operational efficiency to perform the business smoothly in different global regions without facing financial performance discrepancy. This assignment has critically analysed each factor and how combining different corporate financial tools and efficient use of assets and capital are connected with international financial management. To analyse and understand the significance of international financial management, this assignment has conducted </w:t>
      </w:r>
      <w:r w:rsidR="008A4273">
        <w:rPr>
          <w:lang w:val="en-GB" w:eastAsia="en-GB"/>
        </w:rPr>
        <w:t xml:space="preserve">an </w:t>
      </w:r>
      <w:r w:rsidRPr="00AA250A">
        <w:rPr>
          <w:lang w:val="en-GB" w:eastAsia="en-GB"/>
        </w:rPr>
        <w:t>analysis on Unilever’s financial management as this organization is performing operation</w:t>
      </w:r>
      <w:r w:rsidR="008A4273">
        <w:rPr>
          <w:lang w:val="en-GB" w:eastAsia="en-GB"/>
        </w:rPr>
        <w:t>s</w:t>
      </w:r>
      <w:r w:rsidRPr="00AA250A">
        <w:rPr>
          <w:lang w:val="en-GB" w:eastAsia="en-GB"/>
        </w:rPr>
        <w:t xml:space="preserve"> globally so here it has been shown the importance of following </w:t>
      </w:r>
      <w:r w:rsidR="008A4273">
        <w:rPr>
          <w:lang w:val="en-GB" w:eastAsia="en-GB"/>
        </w:rPr>
        <w:t xml:space="preserve">an </w:t>
      </w:r>
      <w:r w:rsidRPr="00AA250A">
        <w:rPr>
          <w:lang w:val="en-GB" w:eastAsia="en-GB"/>
        </w:rPr>
        <w:t xml:space="preserve">international financial management framework for dealing with micro and macroeconomic uncertainties. In addition, the challenges the organization is facing in </w:t>
      </w:r>
      <w:r w:rsidR="008A4273">
        <w:rPr>
          <w:lang w:val="en-GB" w:eastAsia="en-GB"/>
        </w:rPr>
        <w:t xml:space="preserve">the </w:t>
      </w:r>
      <w:r w:rsidRPr="00AA250A">
        <w:rPr>
          <w:lang w:val="en-GB" w:eastAsia="en-GB"/>
        </w:rPr>
        <w:t xml:space="preserve">current economic situation and how IFM can help to understand the problem in </w:t>
      </w:r>
      <w:r w:rsidR="008A4273">
        <w:rPr>
          <w:lang w:val="en-GB" w:eastAsia="en-GB"/>
        </w:rPr>
        <w:t xml:space="preserve">a </w:t>
      </w:r>
      <w:r w:rsidRPr="00AA250A">
        <w:rPr>
          <w:lang w:val="en-GB" w:eastAsia="en-GB"/>
        </w:rPr>
        <w:t>better way</w:t>
      </w:r>
      <w:r w:rsidR="008A4273">
        <w:rPr>
          <w:lang w:val="en-GB" w:eastAsia="en-GB"/>
        </w:rPr>
        <w:t xml:space="preserve"> are also analysed</w:t>
      </w:r>
      <w:r w:rsidRPr="00AA250A">
        <w:rPr>
          <w:lang w:val="en-GB" w:eastAsia="en-GB"/>
        </w:rPr>
        <w:t xml:space="preserve">. Finally, for analysing more importance of IFM implication, this assignment has also shown Unilever’s approach </w:t>
      </w:r>
      <w:r w:rsidR="008A4273">
        <w:rPr>
          <w:lang w:val="en-GB" w:eastAsia="en-GB"/>
        </w:rPr>
        <w:t>to</w:t>
      </w:r>
      <w:r w:rsidRPr="00AA250A">
        <w:rPr>
          <w:lang w:val="en-GB" w:eastAsia="en-GB"/>
        </w:rPr>
        <w:t xml:space="preserve"> dividend policy structure, efficient market hypothesis and methods of appraisal projects and how international financial management helps to build a better policy for the company.</w:t>
      </w:r>
    </w:p>
    <w:p w:rsidR="003B5756" w:rsidRPr="00AA250A" w:rsidRDefault="003B5756" w:rsidP="00AA250A"/>
    <w:p w:rsidR="008078AA" w:rsidRPr="00AA250A" w:rsidRDefault="008078AA" w:rsidP="00AA250A">
      <w:pPr>
        <w:spacing w:after="0"/>
        <w:jc w:val="left"/>
        <w:rPr>
          <w:b/>
        </w:rPr>
      </w:pPr>
      <w:r w:rsidRPr="00AA250A">
        <w:rPr>
          <w:b/>
        </w:rPr>
        <w:br w:type="page"/>
      </w:r>
    </w:p>
    <w:sdt>
      <w:sdtPr>
        <w:rPr>
          <w:rFonts w:ascii="Times New Roman" w:eastAsiaTheme="minorHAnsi" w:hAnsi="Times New Roman"/>
          <w:b/>
          <w:color w:val="auto"/>
          <w:sz w:val="24"/>
          <w:szCs w:val="24"/>
        </w:rPr>
        <w:id w:val="2114776877"/>
        <w:docPartObj>
          <w:docPartGallery w:val="Table of Contents"/>
          <w:docPartUnique/>
        </w:docPartObj>
      </w:sdtPr>
      <w:sdtEndPr>
        <w:rPr>
          <w:rFonts w:eastAsia="Calibri"/>
          <w:b w:val="0"/>
          <w:bCs/>
          <w:noProof/>
          <w:szCs w:val="22"/>
        </w:rPr>
      </w:sdtEndPr>
      <w:sdtContent>
        <w:p w:rsidR="003B5756" w:rsidRPr="00AA250A" w:rsidRDefault="003B5756" w:rsidP="00AA250A">
          <w:pPr>
            <w:pStyle w:val="a6"/>
            <w:jc w:val="center"/>
            <w:rPr>
              <w:rFonts w:ascii="Times New Roman" w:hAnsi="Times New Roman"/>
              <w:b/>
              <w:color w:val="auto"/>
              <w:sz w:val="28"/>
              <w:szCs w:val="24"/>
            </w:rPr>
          </w:pPr>
          <w:r w:rsidRPr="00AA250A">
            <w:rPr>
              <w:rFonts w:ascii="Times New Roman" w:hAnsi="Times New Roman"/>
              <w:b/>
              <w:color w:val="auto"/>
              <w:sz w:val="28"/>
              <w:szCs w:val="24"/>
            </w:rPr>
            <w:t>Table of Contents</w:t>
          </w:r>
        </w:p>
        <w:p w:rsidR="008078AA" w:rsidRPr="00AA250A" w:rsidRDefault="00E16A43" w:rsidP="00AA250A">
          <w:pPr>
            <w:pStyle w:val="11"/>
            <w:tabs>
              <w:tab w:val="right" w:leader="dot" w:pos="9016"/>
            </w:tabs>
            <w:rPr>
              <w:rFonts w:eastAsiaTheme="minorEastAsia" w:cs="Times New Roman"/>
              <w:noProof/>
              <w:sz w:val="22"/>
              <w:szCs w:val="28"/>
              <w:lang w:bidi="bn-IN"/>
            </w:rPr>
          </w:pPr>
          <w:r w:rsidRPr="00E16A43">
            <w:rPr>
              <w:rFonts w:cs="Times New Roman"/>
              <w:b/>
              <w:bCs/>
              <w:noProof/>
              <w:sz w:val="22"/>
            </w:rPr>
            <w:fldChar w:fldCharType="begin"/>
          </w:r>
          <w:r w:rsidR="003B5756" w:rsidRPr="00AA250A">
            <w:rPr>
              <w:rFonts w:cs="Times New Roman"/>
              <w:b/>
              <w:bCs/>
              <w:noProof/>
              <w:sz w:val="22"/>
            </w:rPr>
            <w:instrText xml:space="preserve"> TOC \o "1-3" \h \z \u </w:instrText>
          </w:r>
          <w:r w:rsidRPr="00E16A43">
            <w:rPr>
              <w:rFonts w:cs="Times New Roman"/>
              <w:b/>
              <w:bCs/>
              <w:noProof/>
              <w:sz w:val="22"/>
            </w:rPr>
            <w:fldChar w:fldCharType="separate"/>
          </w:r>
          <w:hyperlink w:anchor="_Toc119357123" w:history="1">
            <w:r w:rsidR="008078AA" w:rsidRPr="00AA250A">
              <w:rPr>
                <w:rStyle w:val="a7"/>
                <w:rFonts w:cs="Times New Roman"/>
                <w:b/>
                <w:noProof/>
              </w:rPr>
              <w:t>Executive Summary</w:t>
            </w:r>
            <w:r w:rsidR="008078AA" w:rsidRPr="00AA250A">
              <w:rPr>
                <w:rFonts w:cs="Times New Roman"/>
                <w:noProof/>
                <w:webHidden/>
              </w:rPr>
              <w:tab/>
            </w:r>
            <w:r w:rsidRPr="00AA250A">
              <w:rPr>
                <w:rFonts w:cs="Times New Roman"/>
                <w:noProof/>
                <w:webHidden/>
              </w:rPr>
              <w:fldChar w:fldCharType="begin"/>
            </w:r>
            <w:r w:rsidR="008078AA" w:rsidRPr="00AA250A">
              <w:rPr>
                <w:rFonts w:cs="Times New Roman"/>
                <w:noProof/>
                <w:webHidden/>
              </w:rPr>
              <w:instrText xml:space="preserve"> PAGEREF _Toc119357123 \h </w:instrText>
            </w:r>
            <w:r w:rsidRPr="00AA250A">
              <w:rPr>
                <w:rFonts w:cs="Times New Roman"/>
                <w:noProof/>
                <w:webHidden/>
              </w:rPr>
            </w:r>
            <w:r w:rsidRPr="00AA250A">
              <w:rPr>
                <w:rFonts w:cs="Times New Roman"/>
                <w:noProof/>
                <w:webHidden/>
              </w:rPr>
              <w:fldChar w:fldCharType="separate"/>
            </w:r>
            <w:r w:rsidR="008078AA" w:rsidRPr="00AA250A">
              <w:rPr>
                <w:rFonts w:cs="Times New Roman"/>
                <w:noProof/>
                <w:webHidden/>
              </w:rPr>
              <w:t>2</w:t>
            </w:r>
            <w:r w:rsidRPr="00AA250A">
              <w:rPr>
                <w:rFonts w:cs="Times New Roman"/>
                <w:noProof/>
                <w:webHidden/>
              </w:rPr>
              <w:fldChar w:fldCharType="end"/>
            </w:r>
          </w:hyperlink>
        </w:p>
        <w:p w:rsidR="008078AA" w:rsidRPr="00AA250A" w:rsidRDefault="00E16A43" w:rsidP="00AA250A">
          <w:pPr>
            <w:pStyle w:val="11"/>
            <w:tabs>
              <w:tab w:val="right" w:leader="dot" w:pos="9016"/>
            </w:tabs>
            <w:rPr>
              <w:rFonts w:eastAsiaTheme="minorEastAsia" w:cs="Times New Roman"/>
              <w:noProof/>
              <w:sz w:val="22"/>
              <w:szCs w:val="28"/>
              <w:lang w:bidi="bn-IN"/>
            </w:rPr>
          </w:pPr>
          <w:hyperlink w:anchor="_Toc119357124" w:history="1">
            <w:r w:rsidR="008078AA" w:rsidRPr="00AA250A">
              <w:rPr>
                <w:rStyle w:val="a7"/>
                <w:rFonts w:cs="Times New Roman"/>
                <w:b/>
                <w:noProof/>
              </w:rPr>
              <w:t>Introduction</w:t>
            </w:r>
            <w:r w:rsidR="008078AA" w:rsidRPr="00AA250A">
              <w:rPr>
                <w:rFonts w:cs="Times New Roman"/>
                <w:noProof/>
                <w:webHidden/>
              </w:rPr>
              <w:tab/>
            </w:r>
            <w:r w:rsidRPr="00AA250A">
              <w:rPr>
                <w:rFonts w:cs="Times New Roman"/>
                <w:noProof/>
                <w:webHidden/>
              </w:rPr>
              <w:fldChar w:fldCharType="begin"/>
            </w:r>
            <w:r w:rsidR="008078AA" w:rsidRPr="00AA250A">
              <w:rPr>
                <w:rFonts w:cs="Times New Roman"/>
                <w:noProof/>
                <w:webHidden/>
              </w:rPr>
              <w:instrText xml:space="preserve"> PAGEREF _Toc119357124 \h </w:instrText>
            </w:r>
            <w:r w:rsidRPr="00AA250A">
              <w:rPr>
                <w:rFonts w:cs="Times New Roman"/>
                <w:noProof/>
                <w:webHidden/>
              </w:rPr>
            </w:r>
            <w:r w:rsidRPr="00AA250A">
              <w:rPr>
                <w:rFonts w:cs="Times New Roman"/>
                <w:noProof/>
                <w:webHidden/>
              </w:rPr>
              <w:fldChar w:fldCharType="separate"/>
            </w:r>
            <w:r w:rsidR="008078AA" w:rsidRPr="00AA250A">
              <w:rPr>
                <w:rFonts w:cs="Times New Roman"/>
                <w:noProof/>
                <w:webHidden/>
              </w:rPr>
              <w:t>4</w:t>
            </w:r>
            <w:r w:rsidRPr="00AA250A">
              <w:rPr>
                <w:rFonts w:cs="Times New Roman"/>
                <w:noProof/>
                <w:webHidden/>
              </w:rPr>
              <w:fldChar w:fldCharType="end"/>
            </w:r>
          </w:hyperlink>
        </w:p>
        <w:p w:rsidR="008078AA" w:rsidRPr="00AA250A" w:rsidRDefault="00E16A43" w:rsidP="00AA250A">
          <w:pPr>
            <w:pStyle w:val="11"/>
            <w:tabs>
              <w:tab w:val="right" w:leader="dot" w:pos="9016"/>
            </w:tabs>
            <w:rPr>
              <w:rFonts w:eastAsiaTheme="minorEastAsia" w:cs="Times New Roman"/>
              <w:noProof/>
              <w:sz w:val="22"/>
              <w:szCs w:val="28"/>
              <w:lang w:bidi="bn-IN"/>
            </w:rPr>
          </w:pPr>
          <w:hyperlink w:anchor="_Toc119357125" w:history="1">
            <w:r w:rsidR="008078AA" w:rsidRPr="00AA250A">
              <w:rPr>
                <w:rStyle w:val="a7"/>
                <w:rFonts w:cs="Times New Roman"/>
                <w:b/>
                <w:noProof/>
              </w:rPr>
              <w:t>Importance of international financial management (IFM) to Unilever</w:t>
            </w:r>
            <w:r w:rsidR="008078AA" w:rsidRPr="00AA250A">
              <w:rPr>
                <w:rFonts w:cs="Times New Roman"/>
                <w:noProof/>
                <w:webHidden/>
              </w:rPr>
              <w:tab/>
            </w:r>
            <w:r w:rsidRPr="00AA250A">
              <w:rPr>
                <w:rFonts w:cs="Times New Roman"/>
                <w:noProof/>
                <w:webHidden/>
              </w:rPr>
              <w:fldChar w:fldCharType="begin"/>
            </w:r>
            <w:r w:rsidR="008078AA" w:rsidRPr="00AA250A">
              <w:rPr>
                <w:rFonts w:cs="Times New Roman"/>
                <w:noProof/>
                <w:webHidden/>
              </w:rPr>
              <w:instrText xml:space="preserve"> PAGEREF _Toc119357125 \h </w:instrText>
            </w:r>
            <w:r w:rsidRPr="00AA250A">
              <w:rPr>
                <w:rFonts w:cs="Times New Roman"/>
                <w:noProof/>
                <w:webHidden/>
              </w:rPr>
            </w:r>
            <w:r w:rsidRPr="00AA250A">
              <w:rPr>
                <w:rFonts w:cs="Times New Roman"/>
                <w:noProof/>
                <w:webHidden/>
              </w:rPr>
              <w:fldChar w:fldCharType="separate"/>
            </w:r>
            <w:r w:rsidR="008078AA" w:rsidRPr="00AA250A">
              <w:rPr>
                <w:rFonts w:cs="Times New Roman"/>
                <w:noProof/>
                <w:webHidden/>
              </w:rPr>
              <w:t>4</w:t>
            </w:r>
            <w:r w:rsidRPr="00AA250A">
              <w:rPr>
                <w:rFonts w:cs="Times New Roman"/>
                <w:noProof/>
                <w:webHidden/>
              </w:rPr>
              <w:fldChar w:fldCharType="end"/>
            </w:r>
          </w:hyperlink>
        </w:p>
        <w:p w:rsidR="008078AA" w:rsidRPr="00AA250A" w:rsidRDefault="00E16A43" w:rsidP="00AA250A">
          <w:pPr>
            <w:pStyle w:val="11"/>
            <w:tabs>
              <w:tab w:val="right" w:leader="dot" w:pos="9016"/>
            </w:tabs>
            <w:rPr>
              <w:rFonts w:eastAsiaTheme="minorEastAsia" w:cs="Times New Roman"/>
              <w:noProof/>
              <w:sz w:val="22"/>
              <w:szCs w:val="28"/>
              <w:lang w:bidi="bn-IN"/>
            </w:rPr>
          </w:pPr>
          <w:hyperlink w:anchor="_Toc119357126" w:history="1">
            <w:r w:rsidR="008078AA" w:rsidRPr="00AA250A">
              <w:rPr>
                <w:rStyle w:val="a7"/>
                <w:rFonts w:cs="Times New Roman"/>
                <w:b/>
                <w:noProof/>
              </w:rPr>
              <w:t>Challenges Unilever Experiencing in International Financial Markets</w:t>
            </w:r>
            <w:r w:rsidR="008078AA" w:rsidRPr="00AA250A">
              <w:rPr>
                <w:rFonts w:cs="Times New Roman"/>
                <w:noProof/>
                <w:webHidden/>
              </w:rPr>
              <w:tab/>
            </w:r>
            <w:r w:rsidRPr="00AA250A">
              <w:rPr>
                <w:rFonts w:cs="Times New Roman"/>
                <w:noProof/>
                <w:webHidden/>
              </w:rPr>
              <w:fldChar w:fldCharType="begin"/>
            </w:r>
            <w:r w:rsidR="008078AA" w:rsidRPr="00AA250A">
              <w:rPr>
                <w:rFonts w:cs="Times New Roman"/>
                <w:noProof/>
                <w:webHidden/>
              </w:rPr>
              <w:instrText xml:space="preserve"> PAGEREF _Toc119357126 \h </w:instrText>
            </w:r>
            <w:r w:rsidRPr="00AA250A">
              <w:rPr>
                <w:rFonts w:cs="Times New Roman"/>
                <w:noProof/>
                <w:webHidden/>
              </w:rPr>
            </w:r>
            <w:r w:rsidRPr="00AA250A">
              <w:rPr>
                <w:rFonts w:cs="Times New Roman"/>
                <w:noProof/>
                <w:webHidden/>
              </w:rPr>
              <w:fldChar w:fldCharType="separate"/>
            </w:r>
            <w:r w:rsidR="008078AA" w:rsidRPr="00AA250A">
              <w:rPr>
                <w:rFonts w:cs="Times New Roman"/>
                <w:noProof/>
                <w:webHidden/>
              </w:rPr>
              <w:t>5</w:t>
            </w:r>
            <w:r w:rsidRPr="00AA250A">
              <w:rPr>
                <w:rFonts w:cs="Times New Roman"/>
                <w:noProof/>
                <w:webHidden/>
              </w:rPr>
              <w:fldChar w:fldCharType="end"/>
            </w:r>
          </w:hyperlink>
        </w:p>
        <w:p w:rsidR="008078AA" w:rsidRPr="00AA250A" w:rsidRDefault="00E16A43" w:rsidP="00AA250A">
          <w:pPr>
            <w:pStyle w:val="11"/>
            <w:tabs>
              <w:tab w:val="right" w:leader="dot" w:pos="9016"/>
            </w:tabs>
            <w:rPr>
              <w:rFonts w:eastAsiaTheme="minorEastAsia" w:cs="Times New Roman"/>
              <w:noProof/>
              <w:sz w:val="22"/>
              <w:szCs w:val="28"/>
              <w:lang w:bidi="bn-IN"/>
            </w:rPr>
          </w:pPr>
          <w:hyperlink w:anchor="_Toc119357127" w:history="1">
            <w:r w:rsidR="008078AA" w:rsidRPr="00AA250A">
              <w:rPr>
                <w:rStyle w:val="a7"/>
                <w:rFonts w:cs="Times New Roman"/>
                <w:b/>
                <w:noProof/>
              </w:rPr>
              <w:t>Dividend Distribution Policy of Unilever</w:t>
            </w:r>
            <w:r w:rsidR="008078AA" w:rsidRPr="00AA250A">
              <w:rPr>
                <w:rFonts w:cs="Times New Roman"/>
                <w:noProof/>
                <w:webHidden/>
              </w:rPr>
              <w:tab/>
            </w:r>
            <w:r w:rsidRPr="00AA250A">
              <w:rPr>
                <w:rFonts w:cs="Times New Roman"/>
                <w:noProof/>
                <w:webHidden/>
              </w:rPr>
              <w:fldChar w:fldCharType="begin"/>
            </w:r>
            <w:r w:rsidR="008078AA" w:rsidRPr="00AA250A">
              <w:rPr>
                <w:rFonts w:cs="Times New Roman"/>
                <w:noProof/>
                <w:webHidden/>
              </w:rPr>
              <w:instrText xml:space="preserve"> PAGEREF _Toc119357127 \h </w:instrText>
            </w:r>
            <w:r w:rsidRPr="00AA250A">
              <w:rPr>
                <w:rFonts w:cs="Times New Roman"/>
                <w:noProof/>
                <w:webHidden/>
              </w:rPr>
            </w:r>
            <w:r w:rsidRPr="00AA250A">
              <w:rPr>
                <w:rFonts w:cs="Times New Roman"/>
                <w:noProof/>
                <w:webHidden/>
              </w:rPr>
              <w:fldChar w:fldCharType="separate"/>
            </w:r>
            <w:r w:rsidR="008078AA" w:rsidRPr="00AA250A">
              <w:rPr>
                <w:rFonts w:cs="Times New Roman"/>
                <w:noProof/>
                <w:webHidden/>
              </w:rPr>
              <w:t>6</w:t>
            </w:r>
            <w:r w:rsidRPr="00AA250A">
              <w:rPr>
                <w:rFonts w:cs="Times New Roman"/>
                <w:noProof/>
                <w:webHidden/>
              </w:rPr>
              <w:fldChar w:fldCharType="end"/>
            </w:r>
          </w:hyperlink>
        </w:p>
        <w:p w:rsidR="008078AA" w:rsidRPr="00AA250A" w:rsidRDefault="00E16A43" w:rsidP="00AA250A">
          <w:pPr>
            <w:pStyle w:val="11"/>
            <w:tabs>
              <w:tab w:val="right" w:leader="dot" w:pos="9016"/>
            </w:tabs>
            <w:rPr>
              <w:rFonts w:eastAsiaTheme="minorEastAsia" w:cs="Times New Roman"/>
              <w:noProof/>
              <w:sz w:val="22"/>
              <w:szCs w:val="28"/>
              <w:lang w:bidi="bn-IN"/>
            </w:rPr>
          </w:pPr>
          <w:hyperlink w:anchor="_Toc119357128" w:history="1">
            <w:r w:rsidR="008078AA" w:rsidRPr="00AA250A">
              <w:rPr>
                <w:rStyle w:val="a7"/>
                <w:rFonts w:cs="Times New Roman"/>
                <w:b/>
                <w:noProof/>
              </w:rPr>
              <w:t>Efficient Market Hypothesis Theory for Unilever</w:t>
            </w:r>
            <w:r w:rsidR="008078AA" w:rsidRPr="00AA250A">
              <w:rPr>
                <w:rFonts w:cs="Times New Roman"/>
                <w:noProof/>
                <w:webHidden/>
              </w:rPr>
              <w:tab/>
            </w:r>
            <w:r w:rsidRPr="00AA250A">
              <w:rPr>
                <w:rFonts w:cs="Times New Roman"/>
                <w:noProof/>
                <w:webHidden/>
              </w:rPr>
              <w:fldChar w:fldCharType="begin"/>
            </w:r>
            <w:r w:rsidR="008078AA" w:rsidRPr="00AA250A">
              <w:rPr>
                <w:rFonts w:cs="Times New Roman"/>
                <w:noProof/>
                <w:webHidden/>
              </w:rPr>
              <w:instrText xml:space="preserve"> PAGEREF _Toc119357128 \h </w:instrText>
            </w:r>
            <w:r w:rsidRPr="00AA250A">
              <w:rPr>
                <w:rFonts w:cs="Times New Roman"/>
                <w:noProof/>
                <w:webHidden/>
              </w:rPr>
            </w:r>
            <w:r w:rsidRPr="00AA250A">
              <w:rPr>
                <w:rFonts w:cs="Times New Roman"/>
                <w:noProof/>
                <w:webHidden/>
              </w:rPr>
              <w:fldChar w:fldCharType="separate"/>
            </w:r>
            <w:r w:rsidR="008078AA" w:rsidRPr="00AA250A">
              <w:rPr>
                <w:rFonts w:cs="Times New Roman"/>
                <w:noProof/>
                <w:webHidden/>
              </w:rPr>
              <w:t>7</w:t>
            </w:r>
            <w:r w:rsidRPr="00AA250A">
              <w:rPr>
                <w:rFonts w:cs="Times New Roman"/>
                <w:noProof/>
                <w:webHidden/>
              </w:rPr>
              <w:fldChar w:fldCharType="end"/>
            </w:r>
          </w:hyperlink>
        </w:p>
        <w:p w:rsidR="008078AA" w:rsidRPr="00AA250A" w:rsidRDefault="00E16A43" w:rsidP="00AA250A">
          <w:pPr>
            <w:pStyle w:val="11"/>
            <w:tabs>
              <w:tab w:val="right" w:leader="dot" w:pos="9016"/>
            </w:tabs>
            <w:rPr>
              <w:rFonts w:eastAsiaTheme="minorEastAsia" w:cs="Times New Roman"/>
              <w:noProof/>
              <w:sz w:val="22"/>
              <w:szCs w:val="28"/>
              <w:lang w:bidi="bn-IN"/>
            </w:rPr>
          </w:pPr>
          <w:hyperlink w:anchor="_Toc119357129" w:history="1">
            <w:r w:rsidR="008078AA" w:rsidRPr="00AA250A">
              <w:rPr>
                <w:rStyle w:val="a7"/>
                <w:rFonts w:cs="Times New Roman"/>
                <w:b/>
                <w:noProof/>
              </w:rPr>
              <w:t>Methods of Appraising Projects of Unilever</w:t>
            </w:r>
            <w:r w:rsidR="008078AA" w:rsidRPr="00AA250A">
              <w:rPr>
                <w:rFonts w:cs="Times New Roman"/>
                <w:noProof/>
                <w:webHidden/>
              </w:rPr>
              <w:tab/>
            </w:r>
            <w:r w:rsidRPr="00AA250A">
              <w:rPr>
                <w:rFonts w:cs="Times New Roman"/>
                <w:noProof/>
                <w:webHidden/>
              </w:rPr>
              <w:fldChar w:fldCharType="begin"/>
            </w:r>
            <w:r w:rsidR="008078AA" w:rsidRPr="00AA250A">
              <w:rPr>
                <w:rFonts w:cs="Times New Roman"/>
                <w:noProof/>
                <w:webHidden/>
              </w:rPr>
              <w:instrText xml:space="preserve"> PAGEREF _Toc119357129 \h </w:instrText>
            </w:r>
            <w:r w:rsidRPr="00AA250A">
              <w:rPr>
                <w:rFonts w:cs="Times New Roman"/>
                <w:noProof/>
                <w:webHidden/>
              </w:rPr>
            </w:r>
            <w:r w:rsidRPr="00AA250A">
              <w:rPr>
                <w:rFonts w:cs="Times New Roman"/>
                <w:noProof/>
                <w:webHidden/>
              </w:rPr>
              <w:fldChar w:fldCharType="separate"/>
            </w:r>
            <w:r w:rsidR="008078AA" w:rsidRPr="00AA250A">
              <w:rPr>
                <w:rFonts w:cs="Times New Roman"/>
                <w:noProof/>
                <w:webHidden/>
              </w:rPr>
              <w:t>8</w:t>
            </w:r>
            <w:r w:rsidRPr="00AA250A">
              <w:rPr>
                <w:rFonts w:cs="Times New Roman"/>
                <w:noProof/>
                <w:webHidden/>
              </w:rPr>
              <w:fldChar w:fldCharType="end"/>
            </w:r>
          </w:hyperlink>
        </w:p>
        <w:p w:rsidR="008078AA" w:rsidRPr="00AA250A" w:rsidRDefault="00E16A43" w:rsidP="00AA250A">
          <w:pPr>
            <w:pStyle w:val="11"/>
            <w:tabs>
              <w:tab w:val="right" w:leader="dot" w:pos="9016"/>
            </w:tabs>
            <w:rPr>
              <w:rFonts w:eastAsiaTheme="minorEastAsia" w:cs="Times New Roman"/>
              <w:noProof/>
              <w:sz w:val="22"/>
              <w:szCs w:val="28"/>
              <w:lang w:bidi="bn-IN"/>
            </w:rPr>
          </w:pPr>
          <w:hyperlink w:anchor="_Toc119357130" w:history="1">
            <w:r w:rsidR="008078AA" w:rsidRPr="00AA250A">
              <w:rPr>
                <w:rStyle w:val="a7"/>
                <w:rFonts w:cs="Times New Roman"/>
                <w:b/>
                <w:noProof/>
              </w:rPr>
              <w:t>Conclusion</w:t>
            </w:r>
            <w:r w:rsidR="008078AA" w:rsidRPr="00AA250A">
              <w:rPr>
                <w:rFonts w:cs="Times New Roman"/>
                <w:noProof/>
                <w:webHidden/>
              </w:rPr>
              <w:tab/>
            </w:r>
            <w:r w:rsidRPr="00AA250A">
              <w:rPr>
                <w:rFonts w:cs="Times New Roman"/>
                <w:noProof/>
                <w:webHidden/>
              </w:rPr>
              <w:fldChar w:fldCharType="begin"/>
            </w:r>
            <w:r w:rsidR="008078AA" w:rsidRPr="00AA250A">
              <w:rPr>
                <w:rFonts w:cs="Times New Roman"/>
                <w:noProof/>
                <w:webHidden/>
              </w:rPr>
              <w:instrText xml:space="preserve"> PAGEREF _Toc119357130 \h </w:instrText>
            </w:r>
            <w:r w:rsidRPr="00AA250A">
              <w:rPr>
                <w:rFonts w:cs="Times New Roman"/>
                <w:noProof/>
                <w:webHidden/>
              </w:rPr>
            </w:r>
            <w:r w:rsidRPr="00AA250A">
              <w:rPr>
                <w:rFonts w:cs="Times New Roman"/>
                <w:noProof/>
                <w:webHidden/>
              </w:rPr>
              <w:fldChar w:fldCharType="separate"/>
            </w:r>
            <w:r w:rsidR="008078AA" w:rsidRPr="00AA250A">
              <w:rPr>
                <w:rFonts w:cs="Times New Roman"/>
                <w:noProof/>
                <w:webHidden/>
              </w:rPr>
              <w:t>9</w:t>
            </w:r>
            <w:r w:rsidRPr="00AA250A">
              <w:rPr>
                <w:rFonts w:cs="Times New Roman"/>
                <w:noProof/>
                <w:webHidden/>
              </w:rPr>
              <w:fldChar w:fldCharType="end"/>
            </w:r>
          </w:hyperlink>
        </w:p>
        <w:p w:rsidR="008078AA" w:rsidRPr="00AA250A" w:rsidRDefault="00E16A43" w:rsidP="00AA250A">
          <w:pPr>
            <w:pStyle w:val="11"/>
            <w:tabs>
              <w:tab w:val="right" w:leader="dot" w:pos="9016"/>
            </w:tabs>
            <w:rPr>
              <w:rFonts w:eastAsiaTheme="minorEastAsia" w:cs="Times New Roman"/>
              <w:noProof/>
              <w:sz w:val="22"/>
              <w:szCs w:val="28"/>
              <w:lang w:bidi="bn-IN"/>
            </w:rPr>
          </w:pPr>
          <w:hyperlink w:anchor="_Toc119357131" w:history="1">
            <w:r w:rsidR="008078AA" w:rsidRPr="00AA250A">
              <w:rPr>
                <w:rStyle w:val="a7"/>
                <w:rFonts w:cs="Times New Roman"/>
                <w:b/>
                <w:noProof/>
              </w:rPr>
              <w:t>References</w:t>
            </w:r>
            <w:r w:rsidR="008078AA" w:rsidRPr="00AA250A">
              <w:rPr>
                <w:rFonts w:cs="Times New Roman"/>
                <w:noProof/>
                <w:webHidden/>
              </w:rPr>
              <w:tab/>
            </w:r>
            <w:r w:rsidRPr="00AA250A">
              <w:rPr>
                <w:rFonts w:cs="Times New Roman"/>
                <w:noProof/>
                <w:webHidden/>
              </w:rPr>
              <w:fldChar w:fldCharType="begin"/>
            </w:r>
            <w:r w:rsidR="008078AA" w:rsidRPr="00AA250A">
              <w:rPr>
                <w:rFonts w:cs="Times New Roman"/>
                <w:noProof/>
                <w:webHidden/>
              </w:rPr>
              <w:instrText xml:space="preserve"> PAGEREF _Toc119357131 \h </w:instrText>
            </w:r>
            <w:r w:rsidRPr="00AA250A">
              <w:rPr>
                <w:rFonts w:cs="Times New Roman"/>
                <w:noProof/>
                <w:webHidden/>
              </w:rPr>
            </w:r>
            <w:r w:rsidRPr="00AA250A">
              <w:rPr>
                <w:rFonts w:cs="Times New Roman"/>
                <w:noProof/>
                <w:webHidden/>
              </w:rPr>
              <w:fldChar w:fldCharType="separate"/>
            </w:r>
            <w:r w:rsidR="008078AA" w:rsidRPr="00AA250A">
              <w:rPr>
                <w:rFonts w:cs="Times New Roman"/>
                <w:noProof/>
                <w:webHidden/>
              </w:rPr>
              <w:t>9</w:t>
            </w:r>
            <w:r w:rsidRPr="00AA250A">
              <w:rPr>
                <w:rFonts w:cs="Times New Roman"/>
                <w:noProof/>
                <w:webHidden/>
              </w:rPr>
              <w:fldChar w:fldCharType="end"/>
            </w:r>
          </w:hyperlink>
        </w:p>
        <w:p w:rsidR="003B5756" w:rsidRPr="00AA250A" w:rsidRDefault="00E16A43" w:rsidP="00AA250A">
          <w:pPr>
            <w:rPr>
              <w:bCs/>
              <w:noProof/>
            </w:rPr>
          </w:pPr>
          <w:r w:rsidRPr="00AA250A">
            <w:rPr>
              <w:b/>
              <w:bCs/>
              <w:noProof/>
            </w:rPr>
            <w:fldChar w:fldCharType="end"/>
          </w:r>
        </w:p>
      </w:sdtContent>
    </w:sdt>
    <w:p w:rsidR="00CF59F9" w:rsidRDefault="00CF59F9">
      <w:pPr>
        <w:spacing w:after="0" w:line="240" w:lineRule="auto"/>
        <w:jc w:val="left"/>
        <w:rPr>
          <w:rFonts w:eastAsia="MS Gothic"/>
          <w:b/>
          <w:color w:val="000000" w:themeColor="text1"/>
          <w:sz w:val="32"/>
          <w:szCs w:val="32"/>
          <w:lang w:val="en-GB" w:eastAsia="en-GB"/>
        </w:rPr>
      </w:pPr>
      <w:bookmarkStart w:id="1" w:name="_Toc119357124"/>
      <w:r>
        <w:rPr>
          <w:b/>
          <w:color w:val="000000" w:themeColor="text1"/>
        </w:rPr>
        <w:br w:type="page"/>
      </w:r>
    </w:p>
    <w:p w:rsidR="003B5756" w:rsidRPr="00AA250A" w:rsidRDefault="00350BBB" w:rsidP="00AA250A">
      <w:pPr>
        <w:pStyle w:val="1"/>
        <w:rPr>
          <w:rFonts w:ascii="Times New Roman" w:hAnsi="Times New Roman"/>
          <w:b/>
          <w:color w:val="000000" w:themeColor="text1"/>
        </w:rPr>
      </w:pPr>
      <w:r w:rsidRPr="00AA250A">
        <w:rPr>
          <w:rFonts w:ascii="Times New Roman" w:hAnsi="Times New Roman"/>
          <w:b/>
          <w:color w:val="000000" w:themeColor="text1"/>
        </w:rPr>
        <w:lastRenderedPageBreak/>
        <w:t>Introduction</w:t>
      </w:r>
      <w:bookmarkEnd w:id="1"/>
    </w:p>
    <w:p w:rsidR="008078AA" w:rsidRPr="00AA250A" w:rsidRDefault="00350BBB" w:rsidP="00AA250A">
      <w:pPr>
        <w:rPr>
          <w:lang w:val="en-GB" w:eastAsia="en-GB"/>
        </w:rPr>
      </w:pPr>
      <w:r w:rsidRPr="00AA250A">
        <w:rPr>
          <w:lang w:val="en-GB" w:eastAsia="en-GB"/>
        </w:rPr>
        <w:t>International finance management refers to the combination of monetary relations which is developed in process of the economic agreement thus the business can conduct trade, foreign exchange, and investment between residents of the country with the foreign country</w:t>
      </w:r>
      <w:r w:rsidR="0032455C" w:rsidRPr="00AA250A">
        <w:t xml:space="preserve"> (</w:t>
      </w:r>
      <w:r w:rsidR="0032455C" w:rsidRPr="00AA250A">
        <w:rPr>
          <w:lang w:val="en-GB" w:eastAsia="en-GB"/>
        </w:rPr>
        <w:t>Bekaert and Hodrick, 2018)</w:t>
      </w:r>
      <w:r w:rsidRPr="00AA250A">
        <w:rPr>
          <w:lang w:val="en-GB" w:eastAsia="en-GB"/>
        </w:rPr>
        <w:t xml:space="preserve">. Now financial management here concerns how multiple corporate financial decisions such as investment, capital structure, dividend policy, and working capital will work all together to ensure a smooth flow of operation thus </w:t>
      </w:r>
      <w:r w:rsidR="008A4273">
        <w:rPr>
          <w:lang w:val="en-GB" w:eastAsia="en-GB"/>
        </w:rPr>
        <w:t xml:space="preserve">the </w:t>
      </w:r>
      <w:r w:rsidRPr="00AA250A">
        <w:rPr>
          <w:lang w:val="en-GB" w:eastAsia="en-GB"/>
        </w:rPr>
        <w:t xml:space="preserve">business can achieve its objectives. </w:t>
      </w:r>
      <w:r w:rsidR="003B5756" w:rsidRPr="00AA250A">
        <w:rPr>
          <w:lang w:val="en-GB" w:eastAsia="en-GB"/>
        </w:rPr>
        <w:t>Unilever is performing its business in a highly competitive environment and during different macroeconomic environment</w:t>
      </w:r>
      <w:r w:rsidR="00F35C28" w:rsidRPr="00AA250A">
        <w:rPr>
          <w:lang w:val="en-GB" w:eastAsia="en-GB"/>
        </w:rPr>
        <w:t>s</w:t>
      </w:r>
      <w:r w:rsidR="00C34125">
        <w:rPr>
          <w:lang w:val="en-GB" w:eastAsia="en-GB"/>
        </w:rPr>
        <w:t xml:space="preserve"> so t</w:t>
      </w:r>
      <w:r w:rsidR="003B5756" w:rsidRPr="00AA250A">
        <w:rPr>
          <w:lang w:val="en-GB" w:eastAsia="en-GB"/>
        </w:rPr>
        <w:t>he importance of international financial management and how Unilever is applying it for oper</w:t>
      </w:r>
      <w:r w:rsidRPr="00AA250A">
        <w:rPr>
          <w:lang w:val="en-GB" w:eastAsia="en-GB"/>
        </w:rPr>
        <w:t>ations has been described as be</w:t>
      </w:r>
      <w:r w:rsidR="008A4273">
        <w:rPr>
          <w:lang w:val="en-GB" w:eastAsia="en-GB"/>
        </w:rPr>
        <w:t>ing</w:t>
      </w:r>
      <w:r w:rsidRPr="00AA250A">
        <w:rPr>
          <w:lang w:val="en-GB" w:eastAsia="en-GB"/>
        </w:rPr>
        <w:t xml:space="preserve"> analysed to gain an in-depth understanding.</w:t>
      </w:r>
    </w:p>
    <w:p w:rsidR="008078AA" w:rsidRPr="00AA250A" w:rsidRDefault="008078AA" w:rsidP="00AA250A">
      <w:pPr>
        <w:spacing w:after="0"/>
        <w:jc w:val="left"/>
        <w:rPr>
          <w:lang w:val="en-GB" w:eastAsia="en-GB"/>
        </w:rPr>
      </w:pPr>
      <w:r w:rsidRPr="00AA250A">
        <w:rPr>
          <w:lang w:val="en-GB" w:eastAsia="en-GB"/>
        </w:rPr>
        <w:br w:type="page"/>
      </w:r>
    </w:p>
    <w:p w:rsidR="003B5756" w:rsidRPr="00AA250A" w:rsidRDefault="003B5756" w:rsidP="00AA250A">
      <w:pPr>
        <w:pStyle w:val="1"/>
        <w:rPr>
          <w:rFonts w:ascii="Times New Roman" w:hAnsi="Times New Roman"/>
          <w:b/>
          <w:color w:val="auto"/>
          <w:sz w:val="30"/>
          <w:szCs w:val="30"/>
        </w:rPr>
      </w:pPr>
      <w:bookmarkStart w:id="2" w:name="_Toc119357125"/>
      <w:r w:rsidRPr="00AA250A">
        <w:rPr>
          <w:rFonts w:ascii="Times New Roman" w:hAnsi="Times New Roman"/>
          <w:b/>
          <w:color w:val="auto"/>
          <w:sz w:val="30"/>
          <w:szCs w:val="30"/>
        </w:rPr>
        <w:lastRenderedPageBreak/>
        <w:t>Importance of international financial management (IFM) to Unilever</w:t>
      </w:r>
      <w:bookmarkEnd w:id="2"/>
    </w:p>
    <w:p w:rsidR="003B5756" w:rsidRPr="00AA250A" w:rsidRDefault="003B5756" w:rsidP="00AA250A">
      <w:pPr>
        <w:rPr>
          <w:lang w:val="en-GB" w:eastAsia="en-GB"/>
        </w:rPr>
      </w:pPr>
      <w:r w:rsidRPr="00AA250A">
        <w:rPr>
          <w:lang w:val="en-GB" w:eastAsia="en-GB"/>
        </w:rPr>
        <w:tab/>
      </w:r>
      <w:r w:rsidRPr="00AA250A">
        <w:rPr>
          <w:b/>
          <w:lang w:val="en-GB" w:eastAsia="en-GB"/>
        </w:rPr>
        <w:t xml:space="preserve">Foreign Exchange Risk – </w:t>
      </w:r>
      <w:r w:rsidRPr="00AA250A">
        <w:rPr>
          <w:lang w:val="en-GB" w:eastAsia="en-GB"/>
        </w:rPr>
        <w:t>when there are currency exchanges across different nations, there is a prominent risk of volatility in foreign exchange rates</w:t>
      </w:r>
      <w:r w:rsidR="008A3E89" w:rsidRPr="00AA250A">
        <w:rPr>
          <w:lang w:val="en-GB" w:eastAsia="en-GB"/>
        </w:rPr>
        <w:t xml:space="preserve"> (Maurer, 2022)</w:t>
      </w:r>
      <w:r w:rsidRPr="00AA250A">
        <w:rPr>
          <w:lang w:val="en-GB" w:eastAsia="en-GB"/>
        </w:rPr>
        <w:t xml:space="preserve">. When </w:t>
      </w:r>
      <w:r w:rsidR="00F35C28" w:rsidRPr="00AA250A">
        <w:rPr>
          <w:lang w:val="en-GB" w:eastAsia="en-GB"/>
        </w:rPr>
        <w:t xml:space="preserve">the </w:t>
      </w:r>
      <w:r w:rsidRPr="00AA250A">
        <w:rPr>
          <w:lang w:val="en-GB" w:eastAsia="en-GB"/>
        </w:rPr>
        <w:t>business has any liability to pay in a particular nation and currency value increases before paying the company face</w:t>
      </w:r>
      <w:r w:rsidR="00F35C28" w:rsidRPr="00AA250A">
        <w:rPr>
          <w:lang w:val="en-GB" w:eastAsia="en-GB"/>
        </w:rPr>
        <w:t>s</w:t>
      </w:r>
      <w:r w:rsidRPr="00AA250A">
        <w:rPr>
          <w:lang w:val="en-GB" w:eastAsia="en-GB"/>
        </w:rPr>
        <w:t xml:space="preserve"> loss and decreases it</w:t>
      </w:r>
      <w:r w:rsidR="00F35C28" w:rsidRPr="00AA250A">
        <w:rPr>
          <w:lang w:val="en-GB" w:eastAsia="en-GB"/>
        </w:rPr>
        <w:t>s</w:t>
      </w:r>
      <w:r w:rsidRPr="00AA250A">
        <w:rPr>
          <w:lang w:val="en-GB" w:eastAsia="en-GB"/>
        </w:rPr>
        <w:t xml:space="preserve"> gains. To avoid such risks, IFM plays a vital role </w:t>
      </w:r>
      <w:r w:rsidR="00F35C28" w:rsidRPr="00AA250A">
        <w:rPr>
          <w:lang w:val="en-GB" w:eastAsia="en-GB"/>
        </w:rPr>
        <w:t xml:space="preserve">in </w:t>
      </w:r>
      <w:r w:rsidRPr="00AA250A">
        <w:rPr>
          <w:lang w:val="en-GB" w:eastAsia="en-GB"/>
        </w:rPr>
        <w:t>offering different hedging techniques. Pricing, settlement, forward contracts, lending</w:t>
      </w:r>
      <w:r w:rsidR="00F35C28" w:rsidRPr="00AA250A">
        <w:rPr>
          <w:lang w:val="en-GB" w:eastAsia="en-GB"/>
        </w:rPr>
        <w:t>,</w:t>
      </w:r>
      <w:r w:rsidRPr="00AA250A">
        <w:rPr>
          <w:lang w:val="en-GB" w:eastAsia="en-GB"/>
        </w:rPr>
        <w:t xml:space="preserve"> and logging all support organization</w:t>
      </w:r>
      <w:r w:rsidR="00F35C28" w:rsidRPr="00AA250A">
        <w:rPr>
          <w:lang w:val="en-GB" w:eastAsia="en-GB"/>
        </w:rPr>
        <w:t>s</w:t>
      </w:r>
      <w:r w:rsidRPr="00AA250A">
        <w:rPr>
          <w:lang w:val="en-GB" w:eastAsia="en-GB"/>
        </w:rPr>
        <w:t xml:space="preserve"> to deal with such risks</w:t>
      </w:r>
      <w:r w:rsidR="00F35C28" w:rsidRPr="00AA250A">
        <w:rPr>
          <w:lang w:val="en-GB" w:eastAsia="en-GB"/>
        </w:rPr>
        <w:t>,</w:t>
      </w:r>
      <w:r w:rsidRPr="00AA250A">
        <w:rPr>
          <w:lang w:val="en-GB" w:eastAsia="en-GB"/>
        </w:rPr>
        <w:t xml:space="preserve"> and for Unilever</w:t>
      </w:r>
      <w:r w:rsidR="00F35C28" w:rsidRPr="00AA250A">
        <w:rPr>
          <w:lang w:val="en-GB" w:eastAsia="en-GB"/>
        </w:rPr>
        <w:t>,</w:t>
      </w:r>
      <w:r w:rsidRPr="00AA250A">
        <w:rPr>
          <w:lang w:val="en-GB" w:eastAsia="en-GB"/>
        </w:rPr>
        <w:t xml:space="preserve"> these IFM techniques help to run smooth financial management</w:t>
      </w:r>
      <w:r w:rsidR="008A3E89" w:rsidRPr="00AA250A">
        <w:rPr>
          <w:lang w:val="en-GB" w:eastAsia="en-GB"/>
        </w:rPr>
        <w:t xml:space="preserve"> (</w:t>
      </w:r>
      <w:r w:rsidR="00866E7E" w:rsidRPr="00AA250A">
        <w:rPr>
          <w:lang w:val="en-GB" w:eastAsia="en-GB"/>
        </w:rPr>
        <w:t>Wang, 2018</w:t>
      </w:r>
      <w:r w:rsidR="008A3E89" w:rsidRPr="00AA250A">
        <w:rPr>
          <w:lang w:val="en-GB" w:eastAsia="en-GB"/>
        </w:rPr>
        <w:t>)</w:t>
      </w:r>
      <w:r w:rsidRPr="00AA250A">
        <w:rPr>
          <w:lang w:val="en-GB" w:eastAsia="en-GB"/>
        </w:rPr>
        <w:t>.</w:t>
      </w:r>
    </w:p>
    <w:p w:rsidR="003B5756" w:rsidRPr="00AA250A" w:rsidRDefault="003B5756" w:rsidP="00AA250A">
      <w:pPr>
        <w:rPr>
          <w:lang w:val="en-GB" w:eastAsia="en-GB"/>
        </w:rPr>
      </w:pPr>
      <w:r w:rsidRPr="00AA250A">
        <w:rPr>
          <w:lang w:val="en-GB" w:eastAsia="en-GB"/>
        </w:rPr>
        <w:tab/>
      </w:r>
      <w:r w:rsidRPr="00AA250A">
        <w:rPr>
          <w:b/>
          <w:lang w:val="en-GB" w:eastAsia="en-GB"/>
        </w:rPr>
        <w:t xml:space="preserve">Working Capital Management – </w:t>
      </w:r>
      <w:r w:rsidRPr="00AA250A">
        <w:rPr>
          <w:lang w:val="en-GB" w:eastAsia="en-GB"/>
        </w:rPr>
        <w:t xml:space="preserve">IFM plays a very helpful role while managing working capital for Unilever as it refers </w:t>
      </w:r>
      <w:r w:rsidR="00F35C28" w:rsidRPr="00AA250A">
        <w:rPr>
          <w:lang w:val="en-GB" w:eastAsia="en-GB"/>
        </w:rPr>
        <w:t xml:space="preserve">to </w:t>
      </w:r>
      <w:r w:rsidRPr="00AA250A">
        <w:rPr>
          <w:lang w:val="en-GB" w:eastAsia="en-GB"/>
        </w:rPr>
        <w:t>short-term liquidity and capital financing</w:t>
      </w:r>
      <w:r w:rsidR="0097223E">
        <w:rPr>
          <w:lang w:val="en-GB" w:eastAsia="en-GB"/>
        </w:rPr>
        <w:t xml:space="preserve">. </w:t>
      </w:r>
      <w:r w:rsidRPr="00AA250A">
        <w:rPr>
          <w:lang w:val="en-GB" w:eastAsia="en-GB"/>
        </w:rPr>
        <w:t xml:space="preserve">IFM techniques ensure to gain company goal </w:t>
      </w:r>
      <w:r w:rsidR="00F35C28" w:rsidRPr="00AA250A">
        <w:rPr>
          <w:lang w:val="en-GB" w:eastAsia="en-GB"/>
        </w:rPr>
        <w:t>of</w:t>
      </w:r>
      <w:r w:rsidRPr="00AA250A">
        <w:rPr>
          <w:lang w:val="en-GB" w:eastAsia="en-GB"/>
        </w:rPr>
        <w:t xml:space="preserve"> maximizing net worth by investing such projects which produce positive NPV (Net Present Value) with </w:t>
      </w:r>
      <w:r w:rsidR="00F35C28" w:rsidRPr="00AA250A">
        <w:rPr>
          <w:lang w:val="en-GB" w:eastAsia="en-GB"/>
        </w:rPr>
        <w:t xml:space="preserve">an </w:t>
      </w:r>
      <w:r w:rsidRPr="00AA250A">
        <w:rPr>
          <w:lang w:val="en-GB" w:eastAsia="en-GB"/>
        </w:rPr>
        <w:t xml:space="preserve">appropriate discount rate. </w:t>
      </w:r>
    </w:p>
    <w:p w:rsidR="003B5756" w:rsidRPr="00AA250A" w:rsidRDefault="003B5756" w:rsidP="00AA250A">
      <w:pPr>
        <w:rPr>
          <w:lang w:val="en-GB" w:eastAsia="en-GB"/>
        </w:rPr>
      </w:pPr>
      <w:r w:rsidRPr="00AA250A">
        <w:rPr>
          <w:lang w:val="en-GB" w:eastAsia="en-GB"/>
        </w:rPr>
        <w:tab/>
      </w:r>
      <w:r w:rsidRPr="00AA250A">
        <w:rPr>
          <w:b/>
          <w:lang w:val="en-GB" w:eastAsia="en-GB"/>
        </w:rPr>
        <w:t xml:space="preserve">Analysis of macro and micro economic factors for decision making – </w:t>
      </w:r>
      <w:r w:rsidRPr="00AA250A">
        <w:rPr>
          <w:lang w:val="en-GB" w:eastAsia="en-GB"/>
        </w:rPr>
        <w:t>IFM considers the analysis of macro and micro factors for Unilever</w:t>
      </w:r>
      <w:r w:rsidR="00F35C28" w:rsidRPr="00AA250A">
        <w:rPr>
          <w:lang w:val="en-GB" w:eastAsia="en-GB"/>
        </w:rPr>
        <w:t>'s</w:t>
      </w:r>
      <w:r w:rsidRPr="00AA250A">
        <w:rPr>
          <w:lang w:val="en-GB" w:eastAsia="en-GB"/>
        </w:rPr>
        <w:t xml:space="preserve"> financial management efficiency such as cash basis contracts result</w:t>
      </w:r>
      <w:r w:rsidR="00F35C28" w:rsidRPr="00AA250A">
        <w:rPr>
          <w:lang w:val="en-GB" w:eastAsia="en-GB"/>
        </w:rPr>
        <w:t>ing in</w:t>
      </w:r>
      <w:r w:rsidRPr="00AA250A">
        <w:rPr>
          <w:lang w:val="en-GB" w:eastAsia="en-GB"/>
        </w:rPr>
        <w:t xml:space="preserve"> more borrowing and mak</w:t>
      </w:r>
      <w:r w:rsidR="00F35C28" w:rsidRPr="00AA250A">
        <w:rPr>
          <w:lang w:val="en-GB" w:eastAsia="en-GB"/>
        </w:rPr>
        <w:t>ing</w:t>
      </w:r>
      <w:r w:rsidRPr="00AA250A">
        <w:rPr>
          <w:lang w:val="en-GB" w:eastAsia="en-GB"/>
        </w:rPr>
        <w:t xml:space="preserve"> it expensive</w:t>
      </w:r>
      <w:r w:rsidR="008A3E89" w:rsidRPr="00AA250A">
        <w:rPr>
          <w:lang w:val="en-GB" w:eastAsia="en-GB"/>
        </w:rPr>
        <w:t xml:space="preserve"> </w:t>
      </w:r>
      <w:r w:rsidR="00334835" w:rsidRPr="00AA250A">
        <w:rPr>
          <w:lang w:val="en-GB" w:eastAsia="en-GB"/>
        </w:rPr>
        <w:t xml:space="preserve">(Bhalla, 2014). </w:t>
      </w:r>
      <w:r w:rsidRPr="00AA250A">
        <w:rPr>
          <w:lang w:val="en-GB" w:eastAsia="en-GB"/>
        </w:rPr>
        <w:t xml:space="preserve">In addition, reduced exchange rates benefit capital adequacy and legal financial leverage. </w:t>
      </w:r>
    </w:p>
    <w:p w:rsidR="003B5756" w:rsidRPr="00AA250A" w:rsidRDefault="003B5756" w:rsidP="00AA250A">
      <w:pPr>
        <w:rPr>
          <w:lang w:val="en-GB" w:eastAsia="en-GB"/>
        </w:rPr>
      </w:pPr>
      <w:r w:rsidRPr="00AA250A">
        <w:rPr>
          <w:lang w:val="en-GB" w:eastAsia="en-GB"/>
        </w:rPr>
        <w:tab/>
      </w:r>
      <w:r w:rsidRPr="00AA250A">
        <w:rPr>
          <w:b/>
          <w:lang w:val="en-GB" w:eastAsia="en-GB"/>
        </w:rPr>
        <w:t>Expanded Global Opportunity</w:t>
      </w:r>
      <w:r w:rsidRPr="00AA250A">
        <w:rPr>
          <w:lang w:val="en-GB" w:eastAsia="en-GB"/>
        </w:rPr>
        <w:t xml:space="preserve"> – IFM analyses the opportunities Unilever can gain while operating globally such as </w:t>
      </w:r>
      <w:r w:rsidR="00F35C28" w:rsidRPr="00AA250A">
        <w:rPr>
          <w:lang w:val="en-GB" w:eastAsia="en-GB"/>
        </w:rPr>
        <w:t xml:space="preserve">the </w:t>
      </w:r>
      <w:r w:rsidRPr="00AA250A">
        <w:rPr>
          <w:lang w:val="en-GB" w:eastAsia="en-GB"/>
        </w:rPr>
        <w:t xml:space="preserve">firm can raise new fund capital with </w:t>
      </w:r>
      <w:r w:rsidR="00F35C28" w:rsidRPr="00AA250A">
        <w:rPr>
          <w:lang w:val="en-GB" w:eastAsia="en-GB"/>
        </w:rPr>
        <w:t xml:space="preserve">the </w:t>
      </w:r>
      <w:r w:rsidRPr="00AA250A">
        <w:rPr>
          <w:lang w:val="en-GB" w:eastAsia="en-GB"/>
        </w:rPr>
        <w:t>lowest cost of capital. Moreover, Unilever can gain greater economi</w:t>
      </w:r>
      <w:r w:rsidR="00F35C28" w:rsidRPr="00AA250A">
        <w:rPr>
          <w:lang w:val="en-GB" w:eastAsia="en-GB"/>
        </w:rPr>
        <w:t>es</w:t>
      </w:r>
      <w:r w:rsidRPr="00AA250A">
        <w:rPr>
          <w:lang w:val="en-GB" w:eastAsia="en-GB"/>
        </w:rPr>
        <w:t xml:space="preserve"> of scale </w:t>
      </w:r>
      <w:r w:rsidR="00F35C28" w:rsidRPr="00AA250A">
        <w:rPr>
          <w:lang w:val="en-GB" w:eastAsia="en-GB"/>
        </w:rPr>
        <w:t xml:space="preserve">by </w:t>
      </w:r>
      <w:r w:rsidRPr="00AA250A">
        <w:rPr>
          <w:lang w:val="en-GB" w:eastAsia="en-GB"/>
        </w:rPr>
        <w:t xml:space="preserve">operating </w:t>
      </w:r>
      <w:r w:rsidR="00F35C28" w:rsidRPr="00AA250A">
        <w:rPr>
          <w:lang w:val="en-GB" w:eastAsia="en-GB"/>
        </w:rPr>
        <w:t>o</w:t>
      </w:r>
      <w:r w:rsidRPr="00AA250A">
        <w:rPr>
          <w:lang w:val="en-GB" w:eastAsia="en-GB"/>
        </w:rPr>
        <w:t xml:space="preserve">n </w:t>
      </w:r>
      <w:r w:rsidR="00F35C28" w:rsidRPr="00AA250A">
        <w:rPr>
          <w:lang w:val="en-GB" w:eastAsia="en-GB"/>
        </w:rPr>
        <w:t xml:space="preserve">a </w:t>
      </w:r>
      <w:r w:rsidRPr="00AA250A">
        <w:rPr>
          <w:lang w:val="en-GB" w:eastAsia="en-GB"/>
        </w:rPr>
        <w:t xml:space="preserve">global basis. </w:t>
      </w:r>
    </w:p>
    <w:p w:rsidR="003B5756" w:rsidRPr="00AA250A" w:rsidRDefault="003B5756" w:rsidP="00AA250A">
      <w:pPr>
        <w:rPr>
          <w:lang w:val="en-GB" w:eastAsia="en-GB"/>
        </w:rPr>
      </w:pPr>
      <w:r w:rsidRPr="00AA250A">
        <w:rPr>
          <w:lang w:val="en-GB" w:eastAsia="en-GB"/>
        </w:rPr>
        <w:tab/>
      </w:r>
      <w:r w:rsidRPr="00AA250A">
        <w:rPr>
          <w:b/>
          <w:lang w:val="en-GB" w:eastAsia="en-GB"/>
        </w:rPr>
        <w:t xml:space="preserve">Foreign Government’s Fiscal and Monetary Policy – </w:t>
      </w:r>
      <w:r w:rsidRPr="00AA250A">
        <w:rPr>
          <w:lang w:val="en-GB" w:eastAsia="en-GB"/>
        </w:rPr>
        <w:t xml:space="preserve">IFM considers this factor while planning techniques to manage Unilever’s international finance as this factor refers </w:t>
      </w:r>
      <w:r w:rsidR="00F35C28" w:rsidRPr="00AA250A">
        <w:rPr>
          <w:lang w:val="en-GB" w:eastAsia="en-GB"/>
        </w:rPr>
        <w:t>to</w:t>
      </w:r>
      <w:r w:rsidRPr="00AA250A">
        <w:rPr>
          <w:lang w:val="en-GB" w:eastAsia="en-GB"/>
        </w:rPr>
        <w:t xml:space="preserve"> </w:t>
      </w:r>
      <w:r w:rsidR="00F35C28" w:rsidRPr="00AA250A">
        <w:rPr>
          <w:lang w:val="en-GB" w:eastAsia="en-GB"/>
        </w:rPr>
        <w:t xml:space="preserve">the </w:t>
      </w:r>
      <w:r w:rsidRPr="00AA250A">
        <w:rPr>
          <w:lang w:val="en-GB" w:eastAsia="en-GB"/>
        </w:rPr>
        <w:t>government’s taxation and expenditure decisions as with str</w:t>
      </w:r>
      <w:r w:rsidR="00F35C28" w:rsidRPr="00AA250A">
        <w:rPr>
          <w:lang w:val="en-GB" w:eastAsia="en-GB"/>
        </w:rPr>
        <w:t>ong</w:t>
      </w:r>
      <w:r w:rsidRPr="00AA250A">
        <w:rPr>
          <w:lang w:val="en-GB" w:eastAsia="en-GB"/>
        </w:rPr>
        <w:t xml:space="preserve"> economic growth cost of goods and services will increase</w:t>
      </w:r>
      <w:r w:rsidR="008A3E89" w:rsidRPr="00AA250A">
        <w:rPr>
          <w:lang w:val="en-GB" w:eastAsia="en-GB"/>
        </w:rPr>
        <w:t xml:space="preserve"> (Maurer, 2022)</w:t>
      </w:r>
      <w:r w:rsidRPr="00AA250A">
        <w:rPr>
          <w:lang w:val="en-GB" w:eastAsia="en-GB"/>
        </w:rPr>
        <w:t xml:space="preserve">. With </w:t>
      </w:r>
      <w:r w:rsidR="00F35C28" w:rsidRPr="00AA250A">
        <w:rPr>
          <w:lang w:val="en-GB" w:eastAsia="en-GB"/>
        </w:rPr>
        <w:t xml:space="preserve">the </w:t>
      </w:r>
      <w:r w:rsidRPr="00AA250A">
        <w:rPr>
          <w:lang w:val="en-GB" w:eastAsia="en-GB"/>
        </w:rPr>
        <w:t xml:space="preserve">growing demand </w:t>
      </w:r>
      <w:r w:rsidR="00F35C28" w:rsidRPr="00AA250A">
        <w:rPr>
          <w:lang w:val="en-GB" w:eastAsia="en-GB"/>
        </w:rPr>
        <w:t>for</w:t>
      </w:r>
      <w:r w:rsidRPr="00AA250A">
        <w:rPr>
          <w:lang w:val="en-GB" w:eastAsia="en-GB"/>
        </w:rPr>
        <w:t xml:space="preserve"> manufacturing producti</w:t>
      </w:r>
      <w:r w:rsidR="00250E2B">
        <w:rPr>
          <w:lang w:val="en-GB" w:eastAsia="en-GB"/>
        </w:rPr>
        <w:t>on, inflation will grow higher.</w:t>
      </w:r>
    </w:p>
    <w:p w:rsidR="003B5756" w:rsidRPr="00AA250A" w:rsidRDefault="003B5756" w:rsidP="00AA250A">
      <w:pPr>
        <w:rPr>
          <w:lang w:val="en-GB" w:eastAsia="en-GB"/>
        </w:rPr>
      </w:pPr>
      <w:r w:rsidRPr="00AA250A">
        <w:rPr>
          <w:lang w:val="en-GB" w:eastAsia="en-GB"/>
        </w:rPr>
        <w:tab/>
      </w:r>
      <w:r w:rsidRPr="00AA250A">
        <w:rPr>
          <w:b/>
          <w:lang w:val="en-GB" w:eastAsia="en-GB"/>
        </w:rPr>
        <w:t>IFM Measures Business Performance –</w:t>
      </w:r>
      <w:r w:rsidRPr="00AA250A">
        <w:rPr>
          <w:lang w:val="en-GB" w:eastAsia="en-GB"/>
        </w:rPr>
        <w:t xml:space="preserve"> Through applying the technique of ratio analysis, IFM helps to understand the financial health of Unilever which plays </w:t>
      </w:r>
      <w:r w:rsidR="00F35C28" w:rsidRPr="00AA250A">
        <w:rPr>
          <w:lang w:val="en-GB" w:eastAsia="en-GB"/>
        </w:rPr>
        <w:t xml:space="preserve">a </w:t>
      </w:r>
      <w:r w:rsidRPr="00AA250A">
        <w:rPr>
          <w:lang w:val="en-GB" w:eastAsia="en-GB"/>
        </w:rPr>
        <w:t>role take international financial decision</w:t>
      </w:r>
      <w:r w:rsidR="008A4273">
        <w:rPr>
          <w:lang w:val="en-GB" w:eastAsia="en-GB"/>
        </w:rPr>
        <w:t>s</w:t>
      </w:r>
      <w:r w:rsidRPr="00AA250A">
        <w:rPr>
          <w:lang w:val="en-GB" w:eastAsia="en-GB"/>
        </w:rPr>
        <w:t xml:space="preserve"> to enhance profitability.</w:t>
      </w:r>
    </w:p>
    <w:p w:rsidR="00343214" w:rsidRPr="00AA250A" w:rsidRDefault="00343214" w:rsidP="00AA250A">
      <w:pPr>
        <w:rPr>
          <w:lang w:val="en-GB" w:eastAsia="en-GB"/>
        </w:rPr>
      </w:pPr>
    </w:p>
    <w:p w:rsidR="00343214" w:rsidRPr="00AA250A" w:rsidRDefault="00343214" w:rsidP="00AA250A">
      <w:pPr>
        <w:pStyle w:val="1"/>
        <w:rPr>
          <w:rFonts w:ascii="Times New Roman" w:hAnsi="Times New Roman"/>
          <w:b/>
          <w:color w:val="auto"/>
          <w:sz w:val="30"/>
          <w:szCs w:val="30"/>
        </w:rPr>
      </w:pPr>
      <w:bookmarkStart w:id="3" w:name="_Toc119357126"/>
      <w:r w:rsidRPr="00AA250A">
        <w:rPr>
          <w:rFonts w:ascii="Times New Roman" w:hAnsi="Times New Roman"/>
          <w:b/>
          <w:color w:val="auto"/>
          <w:sz w:val="30"/>
          <w:szCs w:val="30"/>
        </w:rPr>
        <w:lastRenderedPageBreak/>
        <w:t>Challenges Unilever Experiencing in International Financial Markets</w:t>
      </w:r>
      <w:bookmarkEnd w:id="3"/>
    </w:p>
    <w:p w:rsidR="00343214" w:rsidRPr="00AA250A" w:rsidRDefault="00343214" w:rsidP="00AA250A">
      <w:pPr>
        <w:rPr>
          <w:lang w:val="en-GB" w:eastAsia="en-GB"/>
        </w:rPr>
      </w:pPr>
      <w:r w:rsidRPr="00AA250A">
        <w:rPr>
          <w:lang w:val="en-GB" w:eastAsia="en-GB"/>
        </w:rPr>
        <w:tab/>
      </w:r>
      <w:r w:rsidRPr="00AA250A">
        <w:rPr>
          <w:b/>
          <w:lang w:val="en-GB" w:eastAsia="en-GB"/>
        </w:rPr>
        <w:t xml:space="preserve">Foreign Exchange Rate Challenge – </w:t>
      </w:r>
      <w:r w:rsidRPr="00AA250A">
        <w:rPr>
          <w:lang w:val="en-GB" w:eastAsia="en-GB"/>
        </w:rPr>
        <w:t xml:space="preserve">this is one of the most important means to determine the economic health of a country as this is the window to </w:t>
      </w:r>
      <w:r w:rsidR="00825801" w:rsidRPr="00AA250A">
        <w:rPr>
          <w:lang w:val="en-GB" w:eastAsia="en-GB"/>
        </w:rPr>
        <w:t>analyse</w:t>
      </w:r>
      <w:r w:rsidRPr="00AA250A">
        <w:rPr>
          <w:lang w:val="en-GB" w:eastAsia="en-GB"/>
        </w:rPr>
        <w:t xml:space="preserve"> how stable the economy of a country </w:t>
      </w:r>
      <w:r w:rsidR="00F35C28" w:rsidRPr="00AA250A">
        <w:rPr>
          <w:lang w:val="en-GB" w:eastAsia="en-GB"/>
        </w:rPr>
        <w:t xml:space="preserve">is </w:t>
      </w:r>
      <w:r w:rsidRPr="00AA250A">
        <w:rPr>
          <w:lang w:val="en-GB" w:eastAsia="en-GB"/>
        </w:rPr>
        <w:t xml:space="preserve">for operation. For Unilever, </w:t>
      </w:r>
      <w:r w:rsidR="008A4273">
        <w:rPr>
          <w:lang w:val="en-GB" w:eastAsia="en-GB"/>
        </w:rPr>
        <w:t xml:space="preserve">the </w:t>
      </w:r>
      <w:r w:rsidRPr="00AA250A">
        <w:rPr>
          <w:lang w:val="en-GB" w:eastAsia="en-GB"/>
        </w:rPr>
        <w:t>foreign exchange became a headwind due to ongoing cost increase of raw materials, Latin America’s sales growth was 9% but worldwide profitability has down to 16%</w:t>
      </w:r>
      <w:r w:rsidR="008A3E89" w:rsidRPr="00AA250A">
        <w:rPr>
          <w:lang w:val="en-GB" w:eastAsia="en-GB"/>
        </w:rPr>
        <w:t xml:space="preserve"> (Unilever, 2022.)</w:t>
      </w:r>
      <w:r w:rsidRPr="00AA250A">
        <w:rPr>
          <w:lang w:val="en-GB" w:eastAsia="en-GB"/>
        </w:rPr>
        <w:t>.</w:t>
      </w:r>
      <w:r w:rsidR="008A3E89" w:rsidRPr="00AA250A">
        <w:rPr>
          <w:lang w:val="en-GB" w:eastAsia="en-GB"/>
        </w:rPr>
        <w:t xml:space="preserve"> </w:t>
      </w:r>
    </w:p>
    <w:p w:rsidR="00343214" w:rsidRPr="00AA250A" w:rsidRDefault="00343214" w:rsidP="00AA250A">
      <w:pPr>
        <w:rPr>
          <w:lang w:val="en-GB" w:eastAsia="en-GB"/>
        </w:rPr>
      </w:pPr>
      <w:r w:rsidRPr="00AA250A">
        <w:rPr>
          <w:lang w:val="en-GB" w:eastAsia="en-GB"/>
        </w:rPr>
        <w:tab/>
      </w:r>
      <w:r w:rsidRPr="00AA250A">
        <w:rPr>
          <w:b/>
          <w:lang w:val="en-GB" w:eastAsia="en-GB"/>
        </w:rPr>
        <w:t xml:space="preserve">Inflation Challenges – </w:t>
      </w:r>
      <w:r w:rsidRPr="00AA250A">
        <w:rPr>
          <w:lang w:val="en-GB" w:eastAsia="en-GB"/>
        </w:rPr>
        <w:t xml:space="preserve">inflation plays a vital role in currency exchange as </w:t>
      </w:r>
      <w:r w:rsidR="00F35C28" w:rsidRPr="00AA250A">
        <w:rPr>
          <w:lang w:val="en-GB" w:eastAsia="en-GB"/>
        </w:rPr>
        <w:t xml:space="preserve">the </w:t>
      </w:r>
      <w:r w:rsidRPr="00AA250A">
        <w:rPr>
          <w:lang w:val="en-GB" w:eastAsia="en-GB"/>
        </w:rPr>
        <w:t xml:space="preserve">country with </w:t>
      </w:r>
      <w:r w:rsidR="00F35C28" w:rsidRPr="00AA250A">
        <w:rPr>
          <w:lang w:val="en-GB" w:eastAsia="en-GB"/>
        </w:rPr>
        <w:t xml:space="preserve">a </w:t>
      </w:r>
      <w:r w:rsidRPr="00AA250A">
        <w:rPr>
          <w:lang w:val="en-GB" w:eastAsia="en-GB"/>
        </w:rPr>
        <w:t xml:space="preserve">lower inflation rate will experience appreciation </w:t>
      </w:r>
      <w:r w:rsidR="00F35C28" w:rsidRPr="00AA250A">
        <w:rPr>
          <w:lang w:val="en-GB" w:eastAsia="en-GB"/>
        </w:rPr>
        <w:t>i</w:t>
      </w:r>
      <w:r w:rsidRPr="00AA250A">
        <w:rPr>
          <w:lang w:val="en-GB" w:eastAsia="en-GB"/>
        </w:rPr>
        <w:t xml:space="preserve">n its value and prices of goods increases at a slower rate and interest rate remain stable. The CFO of Unilever has shared concern </w:t>
      </w:r>
      <w:r w:rsidR="00F35C28" w:rsidRPr="00AA250A">
        <w:rPr>
          <w:lang w:val="en-GB" w:eastAsia="en-GB"/>
        </w:rPr>
        <w:t>about</w:t>
      </w:r>
      <w:r w:rsidRPr="00AA250A">
        <w:rPr>
          <w:lang w:val="en-GB" w:eastAsia="en-GB"/>
        </w:rPr>
        <w:t xml:space="preserve"> </w:t>
      </w:r>
      <w:r w:rsidR="00F35C28" w:rsidRPr="00AA250A">
        <w:rPr>
          <w:lang w:val="en-GB" w:eastAsia="en-GB"/>
        </w:rPr>
        <w:t xml:space="preserve">the </w:t>
      </w:r>
      <w:r w:rsidRPr="00AA250A">
        <w:rPr>
          <w:lang w:val="en-GB" w:eastAsia="en-GB"/>
        </w:rPr>
        <w:t xml:space="preserve">rising inflation rate which is making </w:t>
      </w:r>
      <w:r w:rsidR="00F35C28" w:rsidRPr="00AA250A">
        <w:rPr>
          <w:lang w:val="en-GB" w:eastAsia="en-GB"/>
        </w:rPr>
        <w:t xml:space="preserve">it </w:t>
      </w:r>
      <w:r w:rsidRPr="00AA250A">
        <w:rPr>
          <w:lang w:val="en-GB" w:eastAsia="en-GB"/>
        </w:rPr>
        <w:t>difficult to forecast future inflation as current mounting economic uncertainty with volatile prices</w:t>
      </w:r>
      <w:r w:rsidR="008A3E89" w:rsidRPr="00AA250A">
        <w:rPr>
          <w:lang w:val="en-GB" w:eastAsia="en-GB"/>
        </w:rPr>
        <w:t xml:space="preserve"> (Unilever, 2022.)</w:t>
      </w:r>
      <w:r w:rsidRPr="00AA250A">
        <w:rPr>
          <w:lang w:val="en-GB" w:eastAsia="en-GB"/>
        </w:rPr>
        <w:t>.</w:t>
      </w:r>
    </w:p>
    <w:p w:rsidR="00343214" w:rsidRPr="00AA250A" w:rsidRDefault="00343214" w:rsidP="00AA250A">
      <w:pPr>
        <w:rPr>
          <w:lang w:val="en-GB" w:eastAsia="en-GB"/>
        </w:rPr>
      </w:pPr>
      <w:r w:rsidRPr="00AA250A">
        <w:rPr>
          <w:lang w:val="en-GB" w:eastAsia="en-GB"/>
        </w:rPr>
        <w:tab/>
      </w:r>
      <w:r w:rsidRPr="00AA250A">
        <w:rPr>
          <w:b/>
          <w:lang w:val="en-GB" w:eastAsia="en-GB"/>
        </w:rPr>
        <w:t xml:space="preserve">Interest Rates Parity – </w:t>
      </w:r>
      <w:r w:rsidRPr="00AA250A">
        <w:rPr>
          <w:lang w:val="en-GB" w:eastAsia="en-GB"/>
        </w:rPr>
        <w:t xml:space="preserve">this refers </w:t>
      </w:r>
      <w:r w:rsidR="00F35C28" w:rsidRPr="00AA250A">
        <w:rPr>
          <w:lang w:val="en-GB" w:eastAsia="en-GB"/>
        </w:rPr>
        <w:t xml:space="preserve">to </w:t>
      </w:r>
      <w:r w:rsidRPr="00AA250A">
        <w:rPr>
          <w:lang w:val="en-GB" w:eastAsia="en-GB"/>
        </w:rPr>
        <w:t>the interest rate differential between two countries</w:t>
      </w:r>
      <w:r w:rsidRPr="00AA250A">
        <w:rPr>
          <w:b/>
          <w:lang w:val="en-GB" w:eastAsia="en-GB"/>
        </w:rPr>
        <w:t xml:space="preserve"> </w:t>
      </w:r>
      <w:r w:rsidRPr="00AA250A">
        <w:rPr>
          <w:lang w:val="en-GB" w:eastAsia="en-GB"/>
        </w:rPr>
        <w:t xml:space="preserve">which is equal to </w:t>
      </w:r>
      <w:r w:rsidR="00F35C28" w:rsidRPr="00AA250A">
        <w:rPr>
          <w:lang w:val="en-GB" w:eastAsia="en-GB"/>
        </w:rPr>
        <w:t xml:space="preserve">the </w:t>
      </w:r>
      <w:r w:rsidRPr="00AA250A">
        <w:rPr>
          <w:lang w:val="en-GB" w:eastAsia="en-GB"/>
        </w:rPr>
        <w:t>difference between foreign exchange and spot exchange rate</w:t>
      </w:r>
      <w:r w:rsidR="00F35C28" w:rsidRPr="00AA250A">
        <w:rPr>
          <w:lang w:val="en-GB" w:eastAsia="en-GB"/>
        </w:rPr>
        <w:t>s</w:t>
      </w:r>
      <w:r w:rsidR="008A3E89" w:rsidRPr="00AA250A">
        <w:rPr>
          <w:lang w:val="en-GB" w:eastAsia="en-GB"/>
        </w:rPr>
        <w:t xml:space="preserve"> </w:t>
      </w:r>
      <w:r w:rsidR="00334835" w:rsidRPr="00AA250A">
        <w:rPr>
          <w:lang w:val="en-GB" w:eastAsia="en-GB"/>
        </w:rPr>
        <w:t xml:space="preserve">(Bhalla, 2014). </w:t>
      </w:r>
      <w:r w:rsidRPr="00AA250A">
        <w:rPr>
          <w:lang w:val="en-GB" w:eastAsia="en-GB"/>
        </w:rPr>
        <w:t xml:space="preserve">The rising interest rate causing </w:t>
      </w:r>
      <w:r w:rsidR="00F35C28" w:rsidRPr="00AA250A">
        <w:rPr>
          <w:lang w:val="en-GB" w:eastAsia="en-GB"/>
        </w:rPr>
        <w:t xml:space="preserve">a </w:t>
      </w:r>
      <w:r w:rsidRPr="00AA250A">
        <w:rPr>
          <w:lang w:val="en-GB" w:eastAsia="en-GB"/>
        </w:rPr>
        <w:t>huge problem for Unilever as due to instability the yield on cash and bond has been so shockingly low.</w:t>
      </w:r>
    </w:p>
    <w:p w:rsidR="00343214" w:rsidRPr="00AA250A" w:rsidRDefault="00343214" w:rsidP="00AA250A">
      <w:pPr>
        <w:rPr>
          <w:lang w:val="en-GB" w:eastAsia="en-GB"/>
        </w:rPr>
      </w:pPr>
      <w:r w:rsidRPr="00AA250A">
        <w:rPr>
          <w:lang w:val="en-GB" w:eastAsia="en-GB"/>
        </w:rPr>
        <w:tab/>
      </w:r>
      <w:r w:rsidRPr="00AA250A">
        <w:rPr>
          <w:b/>
          <w:lang w:val="en-GB" w:eastAsia="en-GB"/>
        </w:rPr>
        <w:t>Purchasing Power Parity –</w:t>
      </w:r>
      <w:r w:rsidRPr="00AA250A">
        <w:rPr>
          <w:lang w:val="en-GB" w:eastAsia="en-GB"/>
        </w:rPr>
        <w:t xml:space="preserve"> this theory says the exchange rate is nothing but </w:t>
      </w:r>
      <w:r w:rsidR="00F35C28" w:rsidRPr="00AA250A">
        <w:rPr>
          <w:lang w:val="en-GB" w:eastAsia="en-GB"/>
        </w:rPr>
        <w:t xml:space="preserve">the </w:t>
      </w:r>
      <w:r w:rsidRPr="00AA250A">
        <w:rPr>
          <w:lang w:val="en-GB" w:eastAsia="en-GB"/>
        </w:rPr>
        <w:t xml:space="preserve">ratio of prices between two countries. If one country has </w:t>
      </w:r>
      <w:r w:rsidR="00F35C28" w:rsidRPr="00AA250A">
        <w:rPr>
          <w:lang w:val="en-GB" w:eastAsia="en-GB"/>
        </w:rPr>
        <w:t xml:space="preserve">a </w:t>
      </w:r>
      <w:r w:rsidRPr="00AA250A">
        <w:rPr>
          <w:lang w:val="en-GB" w:eastAsia="en-GB"/>
        </w:rPr>
        <w:t xml:space="preserve">relatively greater price, </w:t>
      </w:r>
      <w:r w:rsidR="00F35C28" w:rsidRPr="00AA250A">
        <w:rPr>
          <w:lang w:val="en-GB" w:eastAsia="en-GB"/>
        </w:rPr>
        <w:t xml:space="preserve">the </w:t>
      </w:r>
      <w:r w:rsidRPr="00AA250A">
        <w:rPr>
          <w:lang w:val="en-GB" w:eastAsia="en-GB"/>
        </w:rPr>
        <w:t>currency will depreciat</w:t>
      </w:r>
      <w:r w:rsidR="00F35C28" w:rsidRPr="00AA250A">
        <w:rPr>
          <w:lang w:val="en-GB" w:eastAsia="en-GB"/>
        </w:rPr>
        <w:t>e</w:t>
      </w:r>
      <w:r w:rsidRPr="00AA250A">
        <w:rPr>
          <w:lang w:val="en-GB" w:eastAsia="en-GB"/>
        </w:rPr>
        <w:t xml:space="preserve"> as a result a new exchange rate will be established</w:t>
      </w:r>
      <w:r w:rsidR="00CB487A">
        <w:rPr>
          <w:lang w:val="en-GB" w:eastAsia="en-GB"/>
        </w:rPr>
        <w:t xml:space="preserve">. </w:t>
      </w:r>
      <w:r w:rsidRPr="00AA250A">
        <w:rPr>
          <w:lang w:val="en-GB" w:eastAsia="en-GB"/>
        </w:rPr>
        <w:t xml:space="preserve">Unilever is concerned with </w:t>
      </w:r>
      <w:r w:rsidR="00F35C28" w:rsidRPr="00AA250A">
        <w:rPr>
          <w:lang w:val="en-GB" w:eastAsia="en-GB"/>
        </w:rPr>
        <w:t xml:space="preserve">the </w:t>
      </w:r>
      <w:r w:rsidRPr="00AA250A">
        <w:rPr>
          <w:lang w:val="en-GB" w:eastAsia="en-GB"/>
        </w:rPr>
        <w:t xml:space="preserve">current rise of inflation as this reduces the purchasing of a nation and if inflation persists in underdeveloped </w:t>
      </w:r>
      <w:r w:rsidR="008078AA" w:rsidRPr="00AA250A">
        <w:rPr>
          <w:lang w:val="en-GB" w:eastAsia="en-GB"/>
        </w:rPr>
        <w:t>countries,</w:t>
      </w:r>
      <w:r w:rsidRPr="00AA250A">
        <w:rPr>
          <w:lang w:val="en-GB" w:eastAsia="en-GB"/>
        </w:rPr>
        <w:t xml:space="preserve"> then it will be difficult for operational excellence. </w:t>
      </w:r>
    </w:p>
    <w:p w:rsidR="00343214" w:rsidRPr="00AA250A" w:rsidRDefault="00343214" w:rsidP="00AA250A">
      <w:pPr>
        <w:rPr>
          <w:lang w:val="en-GB" w:eastAsia="en-GB"/>
        </w:rPr>
      </w:pPr>
      <w:r w:rsidRPr="00AA250A">
        <w:rPr>
          <w:lang w:val="en-GB" w:eastAsia="en-GB"/>
        </w:rPr>
        <w:tab/>
      </w:r>
      <w:r w:rsidRPr="00AA250A">
        <w:rPr>
          <w:b/>
          <w:lang w:val="en-GB" w:eastAsia="en-GB"/>
        </w:rPr>
        <w:t xml:space="preserve">International Fisher Effect – </w:t>
      </w:r>
      <w:r w:rsidRPr="00AA250A">
        <w:rPr>
          <w:lang w:val="en-GB" w:eastAsia="en-GB"/>
        </w:rPr>
        <w:t>this theory proposes that the changes in the spot rate of exchange between two currencies will be equal to the differences in their nominal interest rates and it is helpful for investors to calculate the real rate of return o</w:t>
      </w:r>
      <w:r w:rsidR="00F35C28" w:rsidRPr="00AA250A">
        <w:rPr>
          <w:lang w:val="en-GB" w:eastAsia="en-GB"/>
        </w:rPr>
        <w:t>n</w:t>
      </w:r>
      <w:r w:rsidRPr="00AA250A">
        <w:rPr>
          <w:lang w:val="en-GB" w:eastAsia="en-GB"/>
        </w:rPr>
        <w:t xml:space="preserve"> investment</w:t>
      </w:r>
      <w:r w:rsidR="00CB487A">
        <w:rPr>
          <w:lang w:val="en-GB" w:eastAsia="en-GB"/>
        </w:rPr>
        <w:t xml:space="preserve">. </w:t>
      </w:r>
      <w:r w:rsidRPr="00AA250A">
        <w:rPr>
          <w:lang w:val="en-GB" w:eastAsia="en-GB"/>
        </w:rPr>
        <w:t xml:space="preserve">Unilever is facing </w:t>
      </w:r>
      <w:r w:rsidR="00F35C28" w:rsidRPr="00AA250A">
        <w:rPr>
          <w:lang w:val="en-GB" w:eastAsia="en-GB"/>
        </w:rPr>
        <w:t xml:space="preserve">the </w:t>
      </w:r>
      <w:r w:rsidRPr="00AA250A">
        <w:rPr>
          <w:lang w:val="en-GB" w:eastAsia="en-GB"/>
        </w:rPr>
        <w:t xml:space="preserve">challenge </w:t>
      </w:r>
      <w:r w:rsidR="00F35C28" w:rsidRPr="00AA250A">
        <w:rPr>
          <w:lang w:val="en-GB" w:eastAsia="en-GB"/>
        </w:rPr>
        <w:t>of</w:t>
      </w:r>
      <w:r w:rsidRPr="00AA250A">
        <w:rPr>
          <w:lang w:val="en-GB" w:eastAsia="en-GB"/>
        </w:rPr>
        <w:t xml:space="preserve"> inflation in many countries as a country with </w:t>
      </w:r>
      <w:r w:rsidR="00F35C28" w:rsidRPr="00AA250A">
        <w:rPr>
          <w:lang w:val="en-GB" w:eastAsia="en-GB"/>
        </w:rPr>
        <w:t xml:space="preserve">a </w:t>
      </w:r>
      <w:r w:rsidRPr="00AA250A">
        <w:rPr>
          <w:lang w:val="en-GB" w:eastAsia="en-GB"/>
        </w:rPr>
        <w:t xml:space="preserve">high inflation rate tends to have </w:t>
      </w:r>
      <w:r w:rsidR="00F35C28" w:rsidRPr="00AA250A">
        <w:rPr>
          <w:lang w:val="en-GB" w:eastAsia="en-GB"/>
        </w:rPr>
        <w:t xml:space="preserve">a </w:t>
      </w:r>
      <w:r w:rsidRPr="00AA250A">
        <w:rPr>
          <w:lang w:val="en-GB" w:eastAsia="en-GB"/>
        </w:rPr>
        <w:t>high</w:t>
      </w:r>
      <w:r w:rsidR="00F35C28" w:rsidRPr="00AA250A">
        <w:rPr>
          <w:lang w:val="en-GB" w:eastAsia="en-GB"/>
        </w:rPr>
        <w:t>-</w:t>
      </w:r>
      <w:r w:rsidRPr="00AA250A">
        <w:rPr>
          <w:lang w:val="en-GB" w:eastAsia="en-GB"/>
        </w:rPr>
        <w:t>interest rate which is more risker for Unilever to borrow loans with higher costs.</w:t>
      </w:r>
    </w:p>
    <w:p w:rsidR="00343214" w:rsidRPr="00AA250A" w:rsidRDefault="00343214" w:rsidP="00AA250A">
      <w:pPr>
        <w:rPr>
          <w:lang w:val="en-GB" w:eastAsia="en-GB"/>
        </w:rPr>
      </w:pPr>
    </w:p>
    <w:p w:rsidR="00343214" w:rsidRPr="00AA250A" w:rsidRDefault="00343214" w:rsidP="00AA250A">
      <w:pPr>
        <w:pStyle w:val="1"/>
        <w:rPr>
          <w:rFonts w:ascii="Times New Roman" w:hAnsi="Times New Roman"/>
          <w:b/>
          <w:color w:val="auto"/>
        </w:rPr>
      </w:pPr>
      <w:bookmarkStart w:id="4" w:name="_Toc119357127"/>
      <w:r w:rsidRPr="00AA250A">
        <w:rPr>
          <w:rFonts w:ascii="Times New Roman" w:hAnsi="Times New Roman"/>
          <w:b/>
          <w:color w:val="auto"/>
        </w:rPr>
        <w:t>Dividend Distribution Policy of Unilever</w:t>
      </w:r>
      <w:bookmarkEnd w:id="4"/>
    </w:p>
    <w:p w:rsidR="00343214" w:rsidRPr="00AA250A" w:rsidRDefault="00343214" w:rsidP="00AA250A">
      <w:pPr>
        <w:rPr>
          <w:lang w:val="en-GB" w:eastAsia="en-GB"/>
        </w:rPr>
      </w:pPr>
      <w:r w:rsidRPr="00AA250A">
        <w:rPr>
          <w:lang w:val="en-GB" w:eastAsia="en-GB"/>
        </w:rPr>
        <w:t xml:space="preserve">The dividend distribution policy refers to the established principles to ascertain </w:t>
      </w:r>
      <w:r w:rsidR="00F35C28" w:rsidRPr="00AA250A">
        <w:rPr>
          <w:lang w:val="en-GB" w:eastAsia="en-GB"/>
        </w:rPr>
        <w:t xml:space="preserve">the </w:t>
      </w:r>
      <w:r w:rsidRPr="00AA250A">
        <w:rPr>
          <w:lang w:val="en-GB" w:eastAsia="en-GB"/>
        </w:rPr>
        <w:t>amount that can be distributed to equity shareholders by the company</w:t>
      </w:r>
      <w:r w:rsidR="008A3E89" w:rsidRPr="00AA250A">
        <w:rPr>
          <w:lang w:val="en-GB" w:eastAsia="en-GB"/>
        </w:rPr>
        <w:t xml:space="preserve"> </w:t>
      </w:r>
      <w:r w:rsidR="00334835" w:rsidRPr="00AA250A">
        <w:rPr>
          <w:lang w:val="en-GB" w:eastAsia="en-GB"/>
        </w:rPr>
        <w:t xml:space="preserve">(Madura and Hoque, 2018). </w:t>
      </w:r>
      <w:r w:rsidRPr="00AA250A">
        <w:rPr>
          <w:lang w:val="en-GB" w:eastAsia="en-GB"/>
        </w:rPr>
        <w:lastRenderedPageBreak/>
        <w:t xml:space="preserve">Moreover, it enables </w:t>
      </w:r>
      <w:r w:rsidR="00F35C28" w:rsidRPr="00AA250A">
        <w:rPr>
          <w:lang w:val="en-GB" w:eastAsia="en-GB"/>
        </w:rPr>
        <w:t xml:space="preserve">the </w:t>
      </w:r>
      <w:r w:rsidRPr="00AA250A">
        <w:rPr>
          <w:lang w:val="en-GB" w:eastAsia="en-GB"/>
        </w:rPr>
        <w:t xml:space="preserve">company to strike balance between pay-out and retained earnings to address future needs of the company. </w:t>
      </w:r>
    </w:p>
    <w:p w:rsidR="00343214" w:rsidRPr="00AA250A" w:rsidRDefault="00343214" w:rsidP="00AA250A">
      <w:pPr>
        <w:rPr>
          <w:lang w:val="en-GB" w:eastAsia="en-GB"/>
        </w:rPr>
      </w:pPr>
      <w:r w:rsidRPr="00AA250A">
        <w:rPr>
          <w:lang w:val="en-GB" w:eastAsia="en-GB"/>
        </w:rPr>
        <w:t xml:space="preserve">Unilever has </w:t>
      </w:r>
      <w:r w:rsidR="00F35C28" w:rsidRPr="00AA250A">
        <w:rPr>
          <w:lang w:val="en-GB" w:eastAsia="en-GB"/>
        </w:rPr>
        <w:t>a</w:t>
      </w:r>
      <w:r w:rsidRPr="00AA250A">
        <w:rPr>
          <w:lang w:val="en-GB" w:eastAsia="en-GB"/>
        </w:rPr>
        <w:t xml:space="preserve"> well-established divide</w:t>
      </w:r>
      <w:r w:rsidR="00F35C28" w:rsidRPr="00AA250A">
        <w:rPr>
          <w:lang w:val="en-GB" w:eastAsia="en-GB"/>
        </w:rPr>
        <w:t>n</w:t>
      </w:r>
      <w:r w:rsidRPr="00AA250A">
        <w:rPr>
          <w:lang w:val="en-GB" w:eastAsia="en-GB"/>
        </w:rPr>
        <w:t>d policy where it has said that dividend</w:t>
      </w:r>
      <w:r w:rsidR="00F35C28" w:rsidRPr="00AA250A">
        <w:rPr>
          <w:lang w:val="en-GB" w:eastAsia="en-GB"/>
        </w:rPr>
        <w:t>s</w:t>
      </w:r>
      <w:r w:rsidRPr="00AA250A">
        <w:rPr>
          <w:lang w:val="en-GB" w:eastAsia="en-GB"/>
        </w:rPr>
        <w:t xml:space="preserve"> will be recommended out of the current year’s profit after tax of the company and no divide</w:t>
      </w:r>
      <w:r w:rsidR="00F35C28" w:rsidRPr="00AA250A">
        <w:rPr>
          <w:lang w:val="en-GB" w:eastAsia="en-GB"/>
        </w:rPr>
        <w:t>n</w:t>
      </w:r>
      <w:r w:rsidRPr="00AA250A">
        <w:rPr>
          <w:lang w:val="en-GB" w:eastAsia="en-GB"/>
        </w:rPr>
        <w:t>d shall be provided at the Annual General Meeting</w:t>
      </w:r>
      <w:r w:rsidR="008A3E89" w:rsidRPr="00AA250A">
        <w:rPr>
          <w:lang w:val="en-GB" w:eastAsia="en-GB"/>
        </w:rPr>
        <w:t xml:space="preserve"> (Unilever, 2022.)</w:t>
      </w:r>
      <w:r w:rsidRPr="00AA250A">
        <w:rPr>
          <w:lang w:val="en-GB" w:eastAsia="en-GB"/>
        </w:rPr>
        <w:t xml:space="preserve"> more than the amount has been recommended by the Board of Directors. The objective of this policy is to provide clarity to stakeholders on the divided distribution framework where the policy has been formed by </w:t>
      </w:r>
      <w:r w:rsidR="00F35C28" w:rsidRPr="00AA250A">
        <w:rPr>
          <w:lang w:val="en-GB" w:eastAsia="en-GB"/>
        </w:rPr>
        <w:t xml:space="preserve">the </w:t>
      </w:r>
      <w:r w:rsidRPr="00AA250A">
        <w:rPr>
          <w:lang w:val="en-GB" w:eastAsia="en-GB"/>
        </w:rPr>
        <w:t>board of directors in compliance with the Articles of Association of the Company, the provisions of the Company Act, 1994</w:t>
      </w:r>
      <w:r w:rsidR="00F35C28" w:rsidRPr="00AA250A">
        <w:rPr>
          <w:lang w:val="en-GB" w:eastAsia="en-GB"/>
        </w:rPr>
        <w:t>,</w:t>
      </w:r>
      <w:r w:rsidRPr="00AA250A">
        <w:rPr>
          <w:lang w:val="en-GB" w:eastAsia="en-GB"/>
        </w:rPr>
        <w:t xml:space="preserve"> and other relevant directives</w:t>
      </w:r>
      <w:r w:rsidR="008A3E89" w:rsidRPr="00AA250A">
        <w:rPr>
          <w:lang w:val="en-GB" w:eastAsia="en-GB"/>
        </w:rPr>
        <w:t xml:space="preserve"> (Unilever, 2022.)</w:t>
      </w:r>
      <w:r w:rsidRPr="00AA250A">
        <w:rPr>
          <w:lang w:val="en-GB" w:eastAsia="en-GB"/>
        </w:rPr>
        <w:t>. The dividend policy should ensure that it returns cash from operations and be more for foreseeable needs back to the shareholders over the long</w:t>
      </w:r>
      <w:r w:rsidR="00F35C28" w:rsidRPr="00AA250A">
        <w:rPr>
          <w:lang w:val="en-GB" w:eastAsia="en-GB"/>
        </w:rPr>
        <w:t xml:space="preserve"> </w:t>
      </w:r>
      <w:r w:rsidRPr="00AA250A">
        <w:rPr>
          <w:lang w:val="en-GB" w:eastAsia="en-GB"/>
        </w:rPr>
        <w:t>term</w:t>
      </w:r>
      <w:r w:rsidR="00B35E99">
        <w:rPr>
          <w:lang w:val="en-GB" w:eastAsia="en-GB"/>
        </w:rPr>
        <w:t>.</w:t>
      </w:r>
    </w:p>
    <w:p w:rsidR="00343214" w:rsidRPr="00AA250A" w:rsidRDefault="00343214" w:rsidP="00AA250A">
      <w:pPr>
        <w:rPr>
          <w:lang w:val="en-GB" w:eastAsia="en-GB"/>
        </w:rPr>
      </w:pPr>
      <w:r w:rsidRPr="00AA250A">
        <w:rPr>
          <w:lang w:val="en-GB" w:eastAsia="en-GB"/>
        </w:rPr>
        <w:t xml:space="preserve">The actual quantum of dividend pay-out </w:t>
      </w:r>
      <w:r w:rsidR="00F35C28" w:rsidRPr="00AA250A">
        <w:rPr>
          <w:lang w:val="en-GB" w:eastAsia="en-GB"/>
        </w:rPr>
        <w:t>yearly</w:t>
      </w:r>
      <w:r w:rsidRPr="00AA250A">
        <w:rPr>
          <w:lang w:val="en-GB" w:eastAsia="en-GB"/>
        </w:rPr>
        <w:t xml:space="preserve"> will be dependent on </w:t>
      </w:r>
      <w:r w:rsidR="00F35C28" w:rsidRPr="00AA250A">
        <w:rPr>
          <w:lang w:val="en-GB" w:eastAsia="en-GB"/>
        </w:rPr>
        <w:t xml:space="preserve">the </w:t>
      </w:r>
      <w:r w:rsidRPr="00AA250A">
        <w:rPr>
          <w:lang w:val="en-GB" w:eastAsia="en-GB"/>
        </w:rPr>
        <w:t xml:space="preserve">following factors; </w:t>
      </w:r>
    </w:p>
    <w:p w:rsidR="00343214" w:rsidRPr="00AA250A" w:rsidRDefault="00343214" w:rsidP="00AA250A">
      <w:pPr>
        <w:rPr>
          <w:lang w:val="en-GB" w:eastAsia="en-GB"/>
        </w:rPr>
      </w:pPr>
      <w:r w:rsidRPr="00AA250A">
        <w:rPr>
          <w:lang w:val="en-GB" w:eastAsia="en-GB"/>
        </w:rPr>
        <w:tab/>
      </w:r>
      <w:r w:rsidRPr="00AA250A">
        <w:rPr>
          <w:b/>
          <w:lang w:val="en-GB" w:eastAsia="en-GB"/>
        </w:rPr>
        <w:t>Internal factors –</w:t>
      </w:r>
      <w:r w:rsidRPr="00AA250A">
        <w:rPr>
          <w:lang w:val="en-GB" w:eastAsia="en-GB"/>
        </w:rPr>
        <w:t xml:space="preserve"> existing and expected underlying financial performance, cash flow and liquidity position, capital expenditure and investment plan</w:t>
      </w:r>
      <w:r w:rsidR="00F35C28" w:rsidRPr="00AA250A">
        <w:rPr>
          <w:lang w:val="en-GB" w:eastAsia="en-GB"/>
        </w:rPr>
        <w:t>,</w:t>
      </w:r>
      <w:r w:rsidRPr="00AA250A">
        <w:rPr>
          <w:lang w:val="en-GB" w:eastAsia="en-GB"/>
        </w:rPr>
        <w:t xml:space="preserve"> and many other internal</w:t>
      </w:r>
      <w:r w:rsidR="00F35C28" w:rsidRPr="00AA250A">
        <w:rPr>
          <w:lang w:val="en-GB" w:eastAsia="en-GB"/>
        </w:rPr>
        <w:t>-</w:t>
      </w:r>
      <w:r w:rsidRPr="00AA250A">
        <w:rPr>
          <w:lang w:val="en-GB" w:eastAsia="en-GB"/>
        </w:rPr>
        <w:t>related factors</w:t>
      </w:r>
      <w:r w:rsidR="008A3E89" w:rsidRPr="00AA250A">
        <w:rPr>
          <w:lang w:val="en-GB" w:eastAsia="en-GB"/>
        </w:rPr>
        <w:t xml:space="preserve"> (Maurer, 2022)</w:t>
      </w:r>
      <w:r w:rsidRPr="00AA250A">
        <w:rPr>
          <w:lang w:val="en-GB" w:eastAsia="en-GB"/>
        </w:rPr>
        <w:t>.</w:t>
      </w:r>
    </w:p>
    <w:p w:rsidR="00343214" w:rsidRPr="00AA250A" w:rsidRDefault="00343214" w:rsidP="00AA250A">
      <w:pPr>
        <w:rPr>
          <w:lang w:val="en-GB" w:eastAsia="en-GB"/>
        </w:rPr>
      </w:pPr>
      <w:r w:rsidRPr="00AA250A">
        <w:rPr>
          <w:lang w:val="en-GB" w:eastAsia="en-GB"/>
        </w:rPr>
        <w:tab/>
      </w:r>
      <w:r w:rsidRPr="00AA250A">
        <w:rPr>
          <w:b/>
          <w:lang w:val="en-GB" w:eastAsia="en-GB"/>
        </w:rPr>
        <w:t>External factors –</w:t>
      </w:r>
      <w:r w:rsidRPr="00AA250A">
        <w:rPr>
          <w:lang w:val="en-GB" w:eastAsia="en-GB"/>
        </w:rPr>
        <w:t xml:space="preserve"> macro-economic environment, market conditions and consumer trends, changes in regulatory requirements, shareholders’ expectations</w:t>
      </w:r>
      <w:r w:rsidR="00F35C28" w:rsidRPr="00AA250A">
        <w:rPr>
          <w:lang w:val="en-GB" w:eastAsia="en-GB"/>
        </w:rPr>
        <w:t>,</w:t>
      </w:r>
      <w:r w:rsidRPr="00AA250A">
        <w:rPr>
          <w:lang w:val="en-GB" w:eastAsia="en-GB"/>
        </w:rPr>
        <w:t xml:space="preserve"> and many other external factors</w:t>
      </w:r>
      <w:r w:rsidR="00334835" w:rsidRPr="00AA250A">
        <w:rPr>
          <w:lang w:val="en-GB" w:eastAsia="en-GB"/>
        </w:rPr>
        <w:t xml:space="preserve"> (Madura and Hoque, 2018).</w:t>
      </w:r>
    </w:p>
    <w:p w:rsidR="00343214" w:rsidRPr="00AA250A" w:rsidRDefault="00343214" w:rsidP="00AA250A">
      <w:pPr>
        <w:rPr>
          <w:lang w:val="en-GB" w:eastAsia="en-GB"/>
        </w:rPr>
      </w:pPr>
      <w:r w:rsidRPr="00AA250A">
        <w:rPr>
          <w:lang w:val="en-GB" w:eastAsia="en-GB"/>
        </w:rPr>
        <w:t>Dividend payout method and timing, unclaimed dividend, review</w:t>
      </w:r>
      <w:r w:rsidR="00F35C28" w:rsidRPr="00AA250A">
        <w:rPr>
          <w:lang w:val="en-GB" w:eastAsia="en-GB"/>
        </w:rPr>
        <w:t>,</w:t>
      </w:r>
      <w:r w:rsidRPr="00AA250A">
        <w:rPr>
          <w:lang w:val="en-GB" w:eastAsia="en-GB"/>
        </w:rPr>
        <w:t xml:space="preserve"> and disclosure all these factors are also monitored by Unilev</w:t>
      </w:r>
      <w:r w:rsidR="006569CA">
        <w:rPr>
          <w:lang w:val="en-GB" w:eastAsia="en-GB"/>
        </w:rPr>
        <w:t>er while making dividend policy.</w:t>
      </w:r>
    </w:p>
    <w:p w:rsidR="008078AA" w:rsidRPr="00AA250A" w:rsidRDefault="00343214" w:rsidP="00AA250A">
      <w:pPr>
        <w:rPr>
          <w:lang w:val="en-GB" w:eastAsia="en-GB"/>
        </w:rPr>
      </w:pPr>
      <w:r w:rsidRPr="00AA250A">
        <w:rPr>
          <w:lang w:val="en-GB" w:eastAsia="en-GB"/>
        </w:rPr>
        <w:tab/>
      </w:r>
    </w:p>
    <w:p w:rsidR="008078AA" w:rsidRPr="00AA250A" w:rsidRDefault="008078AA" w:rsidP="00AA250A">
      <w:pPr>
        <w:spacing w:after="0"/>
        <w:jc w:val="left"/>
        <w:rPr>
          <w:lang w:val="en-GB" w:eastAsia="en-GB"/>
        </w:rPr>
      </w:pPr>
      <w:r w:rsidRPr="00AA250A">
        <w:rPr>
          <w:lang w:val="en-GB" w:eastAsia="en-GB"/>
        </w:rPr>
        <w:br w:type="page"/>
      </w:r>
    </w:p>
    <w:p w:rsidR="00343214" w:rsidRPr="00AA250A" w:rsidRDefault="00343214" w:rsidP="00AA250A">
      <w:pPr>
        <w:pStyle w:val="1"/>
        <w:rPr>
          <w:rFonts w:ascii="Times New Roman" w:hAnsi="Times New Roman"/>
          <w:b/>
          <w:color w:val="auto"/>
        </w:rPr>
      </w:pPr>
      <w:bookmarkStart w:id="5" w:name="_Toc119357128"/>
      <w:r w:rsidRPr="00AA250A">
        <w:rPr>
          <w:rFonts w:ascii="Times New Roman" w:hAnsi="Times New Roman"/>
          <w:b/>
          <w:color w:val="auto"/>
        </w:rPr>
        <w:lastRenderedPageBreak/>
        <w:t>Efficient Market Hypothesis Theory for Unilever</w:t>
      </w:r>
      <w:bookmarkEnd w:id="5"/>
    </w:p>
    <w:p w:rsidR="00343214" w:rsidRPr="00AA250A" w:rsidRDefault="00F35C28" w:rsidP="00AA250A">
      <w:pPr>
        <w:rPr>
          <w:lang w:val="en-GB" w:eastAsia="en-GB"/>
        </w:rPr>
      </w:pPr>
      <w:r w:rsidRPr="00AA250A">
        <w:rPr>
          <w:lang w:val="en-GB" w:eastAsia="en-GB"/>
        </w:rPr>
        <w:t>The E</w:t>
      </w:r>
      <w:r w:rsidR="00343214" w:rsidRPr="00AA250A">
        <w:rPr>
          <w:lang w:val="en-GB" w:eastAsia="en-GB"/>
        </w:rPr>
        <w:t xml:space="preserve">fficient Market Hypothesis refers </w:t>
      </w:r>
      <w:r w:rsidRPr="00AA250A">
        <w:rPr>
          <w:lang w:val="en-GB" w:eastAsia="en-GB"/>
        </w:rPr>
        <w:t>to</w:t>
      </w:r>
      <w:r w:rsidR="00343214" w:rsidRPr="00AA250A">
        <w:rPr>
          <w:lang w:val="en-GB" w:eastAsia="en-GB"/>
        </w:rPr>
        <w:t xml:space="preserve"> investment theory which states that share prices reflect all information where stocks always trade at their fair value on exchanges and i</w:t>
      </w:r>
      <w:r w:rsidRPr="00AA250A">
        <w:rPr>
          <w:lang w:val="en-GB" w:eastAsia="en-GB"/>
        </w:rPr>
        <w:t>nvestors can't</w:t>
      </w:r>
      <w:r w:rsidR="00343214" w:rsidRPr="00AA250A">
        <w:rPr>
          <w:lang w:val="en-GB" w:eastAsia="en-GB"/>
        </w:rPr>
        <w:t xml:space="preserve"> purchase undervalued stocks or sell stocks at inflated prices</w:t>
      </w:r>
      <w:r w:rsidR="00334835" w:rsidRPr="00AA250A">
        <w:rPr>
          <w:lang w:val="en-GB" w:eastAsia="en-GB"/>
        </w:rPr>
        <w:t xml:space="preserve"> (Madura and Hoque, 2018)</w:t>
      </w:r>
      <w:r w:rsidR="00343214" w:rsidRPr="00AA250A">
        <w:rPr>
          <w:lang w:val="en-GB" w:eastAsia="en-GB"/>
        </w:rPr>
        <w:t>. This theory mainly helps to explain how well prices reflect all information available where it leaves no room to make extra profit by investors when prices are fairly value</w:t>
      </w:r>
      <w:r w:rsidRPr="00AA250A">
        <w:rPr>
          <w:lang w:val="en-GB" w:eastAsia="en-GB"/>
        </w:rPr>
        <w:t>d</w:t>
      </w:r>
      <w:r w:rsidR="00AA6F1F">
        <w:rPr>
          <w:lang w:val="en-GB" w:eastAsia="en-GB"/>
        </w:rPr>
        <w:t>.</w:t>
      </w:r>
    </w:p>
    <w:p w:rsidR="00343214" w:rsidRPr="00AA250A" w:rsidRDefault="00343214" w:rsidP="00AA250A">
      <w:pPr>
        <w:rPr>
          <w:lang w:val="en-GB" w:eastAsia="en-GB"/>
        </w:rPr>
      </w:pPr>
      <w:r w:rsidRPr="00AA250A">
        <w:rPr>
          <w:lang w:val="en-GB" w:eastAsia="en-GB"/>
        </w:rPr>
        <w:t xml:space="preserve">Currently, globally the major concern is rising inflation. The rise </w:t>
      </w:r>
      <w:r w:rsidR="00F35C28" w:rsidRPr="00AA250A">
        <w:rPr>
          <w:lang w:val="en-GB" w:eastAsia="en-GB"/>
        </w:rPr>
        <w:t>in</w:t>
      </w:r>
      <w:r w:rsidRPr="00AA250A">
        <w:rPr>
          <w:lang w:val="en-GB" w:eastAsia="en-GB"/>
        </w:rPr>
        <w:t xml:space="preserve"> prices of goods as well as services has reduced the purchasing power of each unit of currency. This rising can also cost consumers in stocks and </w:t>
      </w:r>
      <w:r w:rsidR="00F35C28" w:rsidRPr="00AA250A">
        <w:rPr>
          <w:lang w:val="en-GB" w:eastAsia="en-GB"/>
        </w:rPr>
        <w:t xml:space="preserve">the </w:t>
      </w:r>
      <w:r w:rsidR="004553C2">
        <w:rPr>
          <w:lang w:val="en-GB" w:eastAsia="en-GB"/>
        </w:rPr>
        <w:t>economy.</w:t>
      </w:r>
    </w:p>
    <w:p w:rsidR="00343214" w:rsidRPr="00AA250A" w:rsidRDefault="00343214" w:rsidP="00AA250A">
      <w:pPr>
        <w:rPr>
          <w:lang w:val="en-GB" w:eastAsia="en-GB"/>
        </w:rPr>
      </w:pPr>
      <w:r w:rsidRPr="00AA250A">
        <w:rPr>
          <w:lang w:val="en-GB" w:eastAsia="en-GB"/>
        </w:rPr>
        <w:t xml:space="preserve">In the case of Unilever, amidst </w:t>
      </w:r>
      <w:r w:rsidR="00F35C28" w:rsidRPr="00AA250A">
        <w:rPr>
          <w:lang w:val="en-GB" w:eastAsia="en-GB"/>
        </w:rPr>
        <w:t xml:space="preserve">a </w:t>
      </w:r>
      <w:r w:rsidRPr="00AA250A">
        <w:rPr>
          <w:lang w:val="en-GB" w:eastAsia="en-GB"/>
        </w:rPr>
        <w:t>global economic hurricane, Unilever performed more efficient</w:t>
      </w:r>
      <w:r w:rsidR="00F35C28" w:rsidRPr="00AA250A">
        <w:rPr>
          <w:lang w:val="en-GB" w:eastAsia="en-GB"/>
        </w:rPr>
        <w:t>ly</w:t>
      </w:r>
      <w:r w:rsidRPr="00AA250A">
        <w:rPr>
          <w:lang w:val="en-GB" w:eastAsia="en-GB"/>
        </w:rPr>
        <w:t xml:space="preserve"> to hold the trust of its investors. Though the overall stock performance might have varied, Unilever’s share price has largely unmoved while </w:t>
      </w:r>
      <w:r w:rsidR="00F35C28" w:rsidRPr="00AA250A">
        <w:rPr>
          <w:lang w:val="en-GB" w:eastAsia="en-GB"/>
        </w:rPr>
        <w:t xml:space="preserve">the </w:t>
      </w:r>
      <w:r w:rsidRPr="00AA250A">
        <w:rPr>
          <w:lang w:val="en-GB" w:eastAsia="en-GB"/>
        </w:rPr>
        <w:t>UK index has declined about 5%</w:t>
      </w:r>
      <w:r w:rsidR="008A3E89" w:rsidRPr="00AA250A">
        <w:rPr>
          <w:lang w:val="en-GB" w:eastAsia="en-GB"/>
        </w:rPr>
        <w:t xml:space="preserve"> (Maurer, 2022)</w:t>
      </w:r>
      <w:r w:rsidRPr="00AA250A">
        <w:rPr>
          <w:lang w:val="en-GB" w:eastAsia="en-GB"/>
        </w:rPr>
        <w:t xml:space="preserve">. Moreover, it has a 3% dividend yield policy which helped investors further hedge against the impact </w:t>
      </w:r>
      <w:r w:rsidR="00F35C28" w:rsidRPr="00AA250A">
        <w:rPr>
          <w:lang w:val="en-GB" w:eastAsia="en-GB"/>
        </w:rPr>
        <w:t xml:space="preserve">of </w:t>
      </w:r>
      <w:r w:rsidRPr="00AA250A">
        <w:rPr>
          <w:lang w:val="en-GB" w:eastAsia="en-GB"/>
        </w:rPr>
        <w:t>inflation on their investment</w:t>
      </w:r>
      <w:r w:rsidR="00F35C28" w:rsidRPr="00AA250A">
        <w:rPr>
          <w:lang w:val="en-GB" w:eastAsia="en-GB"/>
        </w:rPr>
        <w:t>s</w:t>
      </w:r>
      <w:r w:rsidR="008A3E89" w:rsidRPr="00AA250A">
        <w:rPr>
          <w:lang w:val="en-GB" w:eastAsia="en-GB"/>
        </w:rPr>
        <w:t xml:space="preserve"> (Maurer, 2022)</w:t>
      </w:r>
      <w:r w:rsidRPr="00AA250A">
        <w:rPr>
          <w:lang w:val="en-GB" w:eastAsia="en-GB"/>
        </w:rPr>
        <w:t xml:space="preserve">. With higher sales lift a 12% volume didn’t affect much and </w:t>
      </w:r>
      <w:r w:rsidR="00F35C28" w:rsidRPr="00AA250A">
        <w:rPr>
          <w:lang w:val="en-GB" w:eastAsia="en-GB"/>
        </w:rPr>
        <w:t xml:space="preserve">the </w:t>
      </w:r>
      <w:r w:rsidRPr="00AA250A">
        <w:rPr>
          <w:lang w:val="en-GB" w:eastAsia="en-GB"/>
        </w:rPr>
        <w:t xml:space="preserve">stock price has increased by 5% in </w:t>
      </w:r>
      <w:r w:rsidR="00F35C28" w:rsidRPr="00AA250A">
        <w:rPr>
          <w:lang w:val="en-GB" w:eastAsia="en-GB"/>
        </w:rPr>
        <w:t xml:space="preserve">the </w:t>
      </w:r>
      <w:r w:rsidRPr="00AA250A">
        <w:rPr>
          <w:lang w:val="en-GB" w:eastAsia="en-GB"/>
        </w:rPr>
        <w:t>market</w:t>
      </w:r>
      <w:r w:rsidR="008A3E89" w:rsidRPr="00AA250A">
        <w:rPr>
          <w:lang w:val="en-GB" w:eastAsia="en-GB"/>
        </w:rPr>
        <w:t xml:space="preserve"> (Maurer, 2022)</w:t>
      </w:r>
      <w:r w:rsidRPr="00AA250A">
        <w:rPr>
          <w:lang w:val="en-GB" w:eastAsia="en-GB"/>
        </w:rPr>
        <w:t xml:space="preserve">. </w:t>
      </w:r>
    </w:p>
    <w:p w:rsidR="008078AA" w:rsidRPr="00AA250A" w:rsidRDefault="008078AA" w:rsidP="00AA250A">
      <w:pPr>
        <w:spacing w:after="0"/>
        <w:jc w:val="left"/>
        <w:rPr>
          <w:lang w:val="en-GB" w:eastAsia="en-GB"/>
        </w:rPr>
      </w:pPr>
      <w:r w:rsidRPr="00AA250A">
        <w:rPr>
          <w:lang w:val="en-GB" w:eastAsia="en-GB"/>
        </w:rPr>
        <w:br w:type="page"/>
      </w:r>
    </w:p>
    <w:p w:rsidR="00343214" w:rsidRPr="00AA250A" w:rsidRDefault="00343214" w:rsidP="00AA250A">
      <w:pPr>
        <w:pStyle w:val="1"/>
        <w:rPr>
          <w:rFonts w:ascii="Times New Roman" w:hAnsi="Times New Roman"/>
          <w:b/>
          <w:color w:val="auto"/>
        </w:rPr>
      </w:pPr>
      <w:bookmarkStart w:id="6" w:name="_Toc119357129"/>
      <w:r w:rsidRPr="00AA250A">
        <w:rPr>
          <w:rFonts w:ascii="Times New Roman" w:hAnsi="Times New Roman"/>
          <w:b/>
          <w:color w:val="auto"/>
        </w:rPr>
        <w:lastRenderedPageBreak/>
        <w:t>Methods of Appraising Projects of Unilever</w:t>
      </w:r>
      <w:bookmarkEnd w:id="6"/>
    </w:p>
    <w:p w:rsidR="00343214" w:rsidRPr="00AA250A" w:rsidRDefault="00343214" w:rsidP="00AA250A">
      <w:pPr>
        <w:rPr>
          <w:lang w:val="en-GB" w:eastAsia="en-GB"/>
        </w:rPr>
      </w:pPr>
      <w:r w:rsidRPr="00AA250A">
        <w:rPr>
          <w:lang w:val="en-GB" w:eastAsia="en-GB"/>
        </w:rPr>
        <w:t xml:space="preserve">Whenever it is about the most prominent global consumer goods company, the name that appears in mind is Unilever. In </w:t>
      </w:r>
      <w:r w:rsidR="00F35C28" w:rsidRPr="00AA250A">
        <w:rPr>
          <w:lang w:val="en-GB" w:eastAsia="en-GB"/>
        </w:rPr>
        <w:t xml:space="preserve">the </w:t>
      </w:r>
      <w:r w:rsidRPr="00AA250A">
        <w:rPr>
          <w:lang w:val="en-GB" w:eastAsia="en-GB"/>
        </w:rPr>
        <w:t xml:space="preserve">current competitive business world, every organization needs to make </w:t>
      </w:r>
      <w:r w:rsidR="00F35C28" w:rsidRPr="00AA250A">
        <w:rPr>
          <w:lang w:val="en-GB" w:eastAsia="en-GB"/>
        </w:rPr>
        <w:t xml:space="preserve">a </w:t>
      </w:r>
      <w:r w:rsidRPr="00AA250A">
        <w:rPr>
          <w:lang w:val="en-GB" w:eastAsia="en-GB"/>
        </w:rPr>
        <w:t>plan for performance enhancement for which it is required to make project investment</w:t>
      </w:r>
      <w:r w:rsidR="00F35C28" w:rsidRPr="00AA250A">
        <w:rPr>
          <w:lang w:val="en-GB" w:eastAsia="en-GB"/>
        </w:rPr>
        <w:t>s</w:t>
      </w:r>
      <w:r w:rsidR="008A3E89" w:rsidRPr="00AA250A">
        <w:rPr>
          <w:lang w:val="en-GB" w:eastAsia="en-GB"/>
        </w:rPr>
        <w:t xml:space="preserve"> (Maurer, 2022)</w:t>
      </w:r>
      <w:r w:rsidR="006569CA">
        <w:rPr>
          <w:lang w:val="en-GB" w:eastAsia="en-GB"/>
        </w:rPr>
        <w:t>.</w:t>
      </w:r>
    </w:p>
    <w:p w:rsidR="00343214" w:rsidRPr="00AA250A" w:rsidRDefault="00343214" w:rsidP="00AA250A">
      <w:pPr>
        <w:rPr>
          <w:lang w:val="en-GB" w:eastAsia="en-GB"/>
        </w:rPr>
      </w:pPr>
      <w:r w:rsidRPr="00AA250A">
        <w:rPr>
          <w:lang w:val="en-GB" w:eastAsia="en-GB"/>
        </w:rPr>
        <w:t>Unilever follows several processes for investment project appraisal for decision</w:t>
      </w:r>
      <w:r w:rsidR="00F35C28" w:rsidRPr="00AA250A">
        <w:rPr>
          <w:lang w:val="en-GB" w:eastAsia="en-GB"/>
        </w:rPr>
        <w:t>-</w:t>
      </w:r>
      <w:r w:rsidRPr="00AA250A">
        <w:rPr>
          <w:lang w:val="en-GB" w:eastAsia="en-GB"/>
        </w:rPr>
        <w:t>making</w:t>
      </w:r>
      <w:r w:rsidR="008A3E89" w:rsidRPr="00AA250A">
        <w:rPr>
          <w:lang w:val="en-GB" w:eastAsia="en-GB"/>
        </w:rPr>
        <w:t xml:space="preserve"> (Maurer, 2022)</w:t>
      </w:r>
      <w:r w:rsidRPr="00AA250A">
        <w:rPr>
          <w:lang w:val="en-GB" w:eastAsia="en-GB"/>
        </w:rPr>
        <w:t>, such as-</w:t>
      </w:r>
    </w:p>
    <w:p w:rsidR="00343214" w:rsidRPr="00AA250A" w:rsidRDefault="00343214" w:rsidP="00AA250A">
      <w:pPr>
        <w:rPr>
          <w:lang w:val="en-GB" w:eastAsia="en-GB"/>
        </w:rPr>
      </w:pPr>
      <w:r w:rsidRPr="00AA250A">
        <w:rPr>
          <w:lang w:val="en-GB" w:eastAsia="en-GB"/>
        </w:rPr>
        <w:tab/>
      </w:r>
      <w:r w:rsidRPr="00AA250A">
        <w:rPr>
          <w:b/>
          <w:lang w:val="en-GB" w:eastAsia="en-GB"/>
        </w:rPr>
        <w:t>Assessment process –</w:t>
      </w:r>
      <w:r w:rsidRPr="00AA250A">
        <w:rPr>
          <w:lang w:val="en-GB" w:eastAsia="en-GB"/>
        </w:rPr>
        <w:t xml:space="preserve"> it can be classified in</w:t>
      </w:r>
      <w:r w:rsidR="00F35C28" w:rsidRPr="00AA250A">
        <w:rPr>
          <w:lang w:val="en-GB" w:eastAsia="en-GB"/>
        </w:rPr>
        <w:t>to</w:t>
      </w:r>
      <w:r w:rsidRPr="00AA250A">
        <w:rPr>
          <w:lang w:val="en-GB" w:eastAsia="en-GB"/>
        </w:rPr>
        <w:t xml:space="preserve"> two categor</w:t>
      </w:r>
      <w:r w:rsidR="00F35C28" w:rsidRPr="00AA250A">
        <w:rPr>
          <w:lang w:val="en-GB" w:eastAsia="en-GB"/>
        </w:rPr>
        <w:t>ies</w:t>
      </w:r>
      <w:r w:rsidRPr="00AA250A">
        <w:rPr>
          <w:lang w:val="en-GB" w:eastAsia="en-GB"/>
        </w:rPr>
        <w:t xml:space="preserve"> of projects such as small projects which use simple discounted cash flow. Capital investment is determined by capital budgeting techniques which commonly used analysis factors such as payback period, accounting rate of return (ARR), net present value (NPV) with </w:t>
      </w:r>
      <w:r w:rsidR="00F35C28" w:rsidRPr="00AA250A">
        <w:rPr>
          <w:lang w:val="en-GB" w:eastAsia="en-GB"/>
        </w:rPr>
        <w:t xml:space="preserve">the </w:t>
      </w:r>
      <w:r w:rsidRPr="00AA250A">
        <w:rPr>
          <w:lang w:val="en-GB" w:eastAsia="en-GB"/>
        </w:rPr>
        <w:t xml:space="preserve">discount rate, </w:t>
      </w:r>
      <w:r w:rsidR="00F35C28" w:rsidRPr="00AA250A">
        <w:rPr>
          <w:lang w:val="en-GB" w:eastAsia="en-GB"/>
        </w:rPr>
        <w:t xml:space="preserve">and </w:t>
      </w:r>
      <w:r w:rsidRPr="00AA250A">
        <w:rPr>
          <w:lang w:val="en-GB" w:eastAsia="en-GB"/>
        </w:rPr>
        <w:t>internal rate of return (IRR).</w:t>
      </w:r>
    </w:p>
    <w:p w:rsidR="00343214" w:rsidRPr="00AA250A" w:rsidRDefault="00343214" w:rsidP="00AA250A">
      <w:pPr>
        <w:rPr>
          <w:lang w:val="en-GB" w:eastAsia="en-GB"/>
        </w:rPr>
      </w:pPr>
      <w:r w:rsidRPr="00AA250A">
        <w:rPr>
          <w:lang w:val="en-GB" w:eastAsia="en-GB"/>
        </w:rPr>
        <w:tab/>
      </w:r>
      <w:r w:rsidRPr="00AA250A">
        <w:rPr>
          <w:b/>
          <w:lang w:val="en-GB" w:eastAsia="en-GB"/>
        </w:rPr>
        <w:t>Decision</w:t>
      </w:r>
      <w:r w:rsidR="00F35C28" w:rsidRPr="00AA250A">
        <w:rPr>
          <w:b/>
          <w:lang w:val="en-GB" w:eastAsia="en-GB"/>
        </w:rPr>
        <w:t>-</w:t>
      </w:r>
      <w:r w:rsidRPr="00AA250A">
        <w:rPr>
          <w:b/>
          <w:lang w:val="en-GB" w:eastAsia="en-GB"/>
        </w:rPr>
        <w:t xml:space="preserve">Making Process – </w:t>
      </w:r>
      <w:r w:rsidRPr="00AA250A">
        <w:rPr>
          <w:lang w:val="en-GB" w:eastAsia="en-GB"/>
        </w:rPr>
        <w:t xml:space="preserve">the feasibility analysis on various projects is evaluated by top management </w:t>
      </w:r>
      <w:r w:rsidR="006B1234">
        <w:rPr>
          <w:lang w:val="en-GB" w:eastAsia="en-GB"/>
        </w:rPr>
        <w:t xml:space="preserve">and </w:t>
      </w:r>
      <w:r w:rsidRPr="00AA250A">
        <w:rPr>
          <w:lang w:val="en-GB" w:eastAsia="en-GB"/>
        </w:rPr>
        <w:t>finally the projects are selected with provides the highest IRR with lowest discounted payback period</w:t>
      </w:r>
      <w:r w:rsidR="008A3E89" w:rsidRPr="00AA250A">
        <w:rPr>
          <w:lang w:val="en-GB" w:eastAsia="en-GB"/>
        </w:rPr>
        <w:t xml:space="preserve"> (Maurer, 2022)</w:t>
      </w:r>
      <w:r w:rsidRPr="00AA250A">
        <w:rPr>
          <w:lang w:val="en-GB" w:eastAsia="en-GB"/>
        </w:rPr>
        <w:t>.</w:t>
      </w:r>
    </w:p>
    <w:p w:rsidR="00343214" w:rsidRPr="00AA250A" w:rsidRDefault="00343214" w:rsidP="00AA250A">
      <w:pPr>
        <w:rPr>
          <w:lang w:val="en-GB" w:eastAsia="en-GB"/>
        </w:rPr>
      </w:pPr>
      <w:r w:rsidRPr="00AA250A">
        <w:rPr>
          <w:lang w:val="en-GB" w:eastAsia="en-GB"/>
        </w:rPr>
        <w:tab/>
      </w:r>
      <w:r w:rsidRPr="00AA250A">
        <w:rPr>
          <w:b/>
          <w:lang w:val="en-GB" w:eastAsia="en-GB"/>
        </w:rPr>
        <w:t xml:space="preserve">Implementation Process – </w:t>
      </w:r>
      <w:r w:rsidRPr="00AA250A">
        <w:rPr>
          <w:lang w:val="en-GB" w:eastAsia="en-GB"/>
        </w:rPr>
        <w:t>After the decision</w:t>
      </w:r>
      <w:r w:rsidR="00F35C28" w:rsidRPr="00AA250A">
        <w:rPr>
          <w:lang w:val="en-GB" w:eastAsia="en-GB"/>
        </w:rPr>
        <w:t>-</w:t>
      </w:r>
      <w:r w:rsidRPr="00AA250A">
        <w:rPr>
          <w:lang w:val="en-GB" w:eastAsia="en-GB"/>
        </w:rPr>
        <w:t>making process, the finance department now takes the charge o</w:t>
      </w:r>
      <w:r w:rsidR="00F35C28" w:rsidRPr="00AA250A">
        <w:rPr>
          <w:lang w:val="en-GB" w:eastAsia="en-GB"/>
        </w:rPr>
        <w:t>f</w:t>
      </w:r>
      <w:r w:rsidRPr="00AA250A">
        <w:rPr>
          <w:lang w:val="en-GB" w:eastAsia="en-GB"/>
        </w:rPr>
        <w:t xml:space="preserve"> investment </w:t>
      </w:r>
      <w:r w:rsidR="00F35C28" w:rsidRPr="00AA250A">
        <w:rPr>
          <w:lang w:val="en-GB" w:eastAsia="en-GB"/>
        </w:rPr>
        <w:t>in</w:t>
      </w:r>
      <w:r w:rsidRPr="00AA250A">
        <w:rPr>
          <w:lang w:val="en-GB" w:eastAsia="en-GB"/>
        </w:rPr>
        <w:t xml:space="preserve"> projects and for implementation, sends a list to </w:t>
      </w:r>
      <w:r w:rsidR="00F35C28" w:rsidRPr="00AA250A">
        <w:rPr>
          <w:lang w:val="en-GB" w:eastAsia="en-GB"/>
        </w:rPr>
        <w:t xml:space="preserve">the </w:t>
      </w:r>
      <w:r w:rsidR="00644A35">
        <w:rPr>
          <w:lang w:val="en-GB" w:eastAsia="en-GB"/>
        </w:rPr>
        <w:t>treasury department.</w:t>
      </w:r>
    </w:p>
    <w:p w:rsidR="00343214" w:rsidRPr="00AA250A" w:rsidRDefault="00343214" w:rsidP="00AA250A">
      <w:pPr>
        <w:rPr>
          <w:lang w:val="en-GB" w:eastAsia="en-GB"/>
        </w:rPr>
      </w:pPr>
      <w:r w:rsidRPr="00AA250A">
        <w:rPr>
          <w:lang w:val="en-GB" w:eastAsia="en-GB"/>
        </w:rPr>
        <w:tab/>
      </w:r>
      <w:r w:rsidRPr="00AA250A">
        <w:rPr>
          <w:b/>
          <w:lang w:val="en-GB" w:eastAsia="en-GB"/>
        </w:rPr>
        <w:t>Evaluation Process –</w:t>
      </w:r>
      <w:r w:rsidRPr="00AA250A">
        <w:rPr>
          <w:lang w:val="en-GB" w:eastAsia="en-GB"/>
        </w:rPr>
        <w:t xml:space="preserve"> assessment appraisal takes place after 1 year of the project implementation. The appraisal process looks at the actual return with the forecasted one. The actual figures need to be justified enough with the scenarios estimated by the sensitivity analysis.</w:t>
      </w:r>
    </w:p>
    <w:p w:rsidR="00BB69B5" w:rsidRDefault="00BB69B5">
      <w:pPr>
        <w:spacing w:after="0" w:line="240" w:lineRule="auto"/>
        <w:jc w:val="left"/>
        <w:rPr>
          <w:rFonts w:eastAsia="MS Gothic"/>
          <w:b/>
          <w:sz w:val="32"/>
          <w:szCs w:val="32"/>
          <w:lang w:val="en-GB" w:eastAsia="en-GB"/>
        </w:rPr>
      </w:pPr>
      <w:bookmarkStart w:id="7" w:name="_Toc119357130"/>
      <w:r>
        <w:rPr>
          <w:b/>
        </w:rPr>
        <w:br w:type="page"/>
      </w:r>
    </w:p>
    <w:p w:rsidR="00343214" w:rsidRPr="00AA250A" w:rsidRDefault="00343214" w:rsidP="00AA250A">
      <w:pPr>
        <w:pStyle w:val="1"/>
        <w:rPr>
          <w:rFonts w:ascii="Times New Roman" w:hAnsi="Times New Roman"/>
          <w:b/>
          <w:color w:val="auto"/>
        </w:rPr>
      </w:pPr>
      <w:r w:rsidRPr="00AA250A">
        <w:rPr>
          <w:rFonts w:ascii="Times New Roman" w:hAnsi="Times New Roman"/>
          <w:b/>
          <w:color w:val="auto"/>
        </w:rPr>
        <w:lastRenderedPageBreak/>
        <w:t>Conclusion</w:t>
      </w:r>
      <w:bookmarkEnd w:id="7"/>
    </w:p>
    <w:p w:rsidR="00343214" w:rsidRPr="00AA250A" w:rsidRDefault="00343214" w:rsidP="00AA250A">
      <w:pPr>
        <w:rPr>
          <w:lang w:val="en-GB" w:eastAsia="en-GB"/>
        </w:rPr>
      </w:pPr>
      <w:r w:rsidRPr="00AA250A">
        <w:rPr>
          <w:lang w:val="en-GB" w:eastAsia="en-GB"/>
        </w:rPr>
        <w:t>This assignment has discussed the importance of International Financial Management (IFM) in light of Unilever where it has show</w:t>
      </w:r>
      <w:r w:rsidR="00F35C28" w:rsidRPr="00AA250A">
        <w:rPr>
          <w:lang w:val="en-GB" w:eastAsia="en-GB"/>
        </w:rPr>
        <w:t>n</w:t>
      </w:r>
      <w:r w:rsidRPr="00AA250A">
        <w:rPr>
          <w:lang w:val="en-GB" w:eastAsia="en-GB"/>
        </w:rPr>
        <w:t xml:space="preserve"> </w:t>
      </w:r>
      <w:r w:rsidR="00F35C28" w:rsidRPr="00AA250A">
        <w:rPr>
          <w:lang w:val="en-GB" w:eastAsia="en-GB"/>
        </w:rPr>
        <w:t xml:space="preserve">the </w:t>
      </w:r>
      <w:r w:rsidRPr="00AA250A">
        <w:rPr>
          <w:lang w:val="en-GB" w:eastAsia="en-GB"/>
        </w:rPr>
        <w:t xml:space="preserve">relationship of financial management with factors </w:t>
      </w:r>
      <w:r w:rsidR="00F35C28" w:rsidRPr="00AA250A">
        <w:rPr>
          <w:lang w:val="en-GB" w:eastAsia="en-GB"/>
        </w:rPr>
        <w:t xml:space="preserve">such </w:t>
      </w:r>
      <w:r w:rsidRPr="00AA250A">
        <w:rPr>
          <w:lang w:val="en-GB" w:eastAsia="en-GB"/>
        </w:rPr>
        <w:t>as foreign exchange rate risk, working capital management in different global regions, also analy</w:t>
      </w:r>
      <w:r w:rsidR="00F35C28" w:rsidRPr="00AA250A">
        <w:rPr>
          <w:lang w:val="en-GB" w:eastAsia="en-GB"/>
        </w:rPr>
        <w:t>z</w:t>
      </w:r>
      <w:r w:rsidRPr="00AA250A">
        <w:rPr>
          <w:lang w:val="en-GB" w:eastAsia="en-GB"/>
        </w:rPr>
        <w:t>ed the macro and micro economic factors for corporate financial decision making. This assignment has also critically analy</w:t>
      </w:r>
      <w:r w:rsidR="00F35C28" w:rsidRPr="00AA250A">
        <w:rPr>
          <w:lang w:val="en-GB" w:eastAsia="en-GB"/>
        </w:rPr>
        <w:t>z</w:t>
      </w:r>
      <w:r w:rsidRPr="00AA250A">
        <w:rPr>
          <w:lang w:val="en-GB" w:eastAsia="en-GB"/>
        </w:rPr>
        <w:t>ed the international financial management theories which are considered by the corporate for financial decision</w:t>
      </w:r>
      <w:r w:rsidR="00F35C28" w:rsidRPr="00AA250A">
        <w:rPr>
          <w:lang w:val="en-GB" w:eastAsia="en-GB"/>
        </w:rPr>
        <w:t>s</w:t>
      </w:r>
      <w:r w:rsidRPr="00AA250A">
        <w:rPr>
          <w:lang w:val="en-GB" w:eastAsia="en-GB"/>
        </w:rPr>
        <w:t xml:space="preserve"> while operating internationally such as foreign exchange rate, inflation rate, interest rate parity, purchase power parity</w:t>
      </w:r>
      <w:r w:rsidR="00F35C28" w:rsidRPr="00AA250A">
        <w:rPr>
          <w:lang w:val="en-GB" w:eastAsia="en-GB"/>
        </w:rPr>
        <w:t>,</w:t>
      </w:r>
      <w:r w:rsidRPr="00AA250A">
        <w:rPr>
          <w:lang w:val="en-GB" w:eastAsia="en-GB"/>
        </w:rPr>
        <w:t xml:space="preserve"> and others. To conclude, this assignment has </w:t>
      </w:r>
      <w:r w:rsidR="00F35C28" w:rsidRPr="00AA250A">
        <w:rPr>
          <w:lang w:val="en-GB" w:eastAsia="en-GB"/>
        </w:rPr>
        <w:t xml:space="preserve">allowed </w:t>
      </w:r>
      <w:r w:rsidR="00877FBF">
        <w:rPr>
          <w:lang w:val="en-GB" w:eastAsia="en-GB"/>
        </w:rPr>
        <w:t xml:space="preserve">to </w:t>
      </w:r>
      <w:r w:rsidR="00F35C28" w:rsidRPr="00AA250A">
        <w:rPr>
          <w:lang w:val="en-GB" w:eastAsia="en-GB"/>
        </w:rPr>
        <w:t>understand</w:t>
      </w:r>
      <w:r w:rsidRPr="00AA250A">
        <w:rPr>
          <w:lang w:val="en-GB" w:eastAsia="en-GB"/>
        </w:rPr>
        <w:t xml:space="preserve"> the significance of international financial management and corporation</w:t>
      </w:r>
      <w:r w:rsidR="00F35C28" w:rsidRPr="00AA250A">
        <w:rPr>
          <w:lang w:val="en-GB" w:eastAsia="en-GB"/>
        </w:rPr>
        <w:t>s’</w:t>
      </w:r>
      <w:r w:rsidRPr="00AA250A">
        <w:rPr>
          <w:lang w:val="en-GB" w:eastAsia="en-GB"/>
        </w:rPr>
        <w:t xml:space="preserve"> consideration for decision</w:t>
      </w:r>
      <w:r w:rsidR="008A4273">
        <w:rPr>
          <w:lang w:val="en-GB" w:eastAsia="en-GB"/>
        </w:rPr>
        <w:t>-</w:t>
      </w:r>
      <w:r w:rsidRPr="00AA250A">
        <w:rPr>
          <w:lang w:val="en-GB" w:eastAsia="en-GB"/>
        </w:rPr>
        <w:t>making.</w:t>
      </w:r>
    </w:p>
    <w:p w:rsidR="008078AA" w:rsidRPr="00AA250A" w:rsidRDefault="008078AA" w:rsidP="00AA250A">
      <w:pPr>
        <w:spacing w:after="0"/>
        <w:jc w:val="left"/>
        <w:rPr>
          <w:lang w:val="en-GB" w:eastAsia="en-GB"/>
        </w:rPr>
      </w:pPr>
      <w:r w:rsidRPr="00AA250A">
        <w:rPr>
          <w:lang w:val="en-GB" w:eastAsia="en-GB"/>
        </w:rPr>
        <w:br w:type="page"/>
      </w:r>
    </w:p>
    <w:p w:rsidR="00343214" w:rsidRPr="00AA250A" w:rsidRDefault="00343214" w:rsidP="00AA250A">
      <w:pPr>
        <w:pStyle w:val="1"/>
        <w:rPr>
          <w:rFonts w:ascii="Times New Roman" w:hAnsi="Times New Roman"/>
          <w:b/>
          <w:color w:val="auto"/>
        </w:rPr>
      </w:pPr>
      <w:bookmarkStart w:id="8" w:name="_Toc119357131"/>
      <w:r w:rsidRPr="00AA250A">
        <w:rPr>
          <w:rFonts w:ascii="Times New Roman" w:hAnsi="Times New Roman"/>
          <w:b/>
          <w:color w:val="auto"/>
        </w:rPr>
        <w:lastRenderedPageBreak/>
        <w:t>References</w:t>
      </w:r>
      <w:bookmarkEnd w:id="8"/>
    </w:p>
    <w:p w:rsidR="008078AA" w:rsidRPr="00AA250A" w:rsidRDefault="008078AA" w:rsidP="00AA250A">
      <w:pPr>
        <w:ind w:left="432" w:hanging="432"/>
        <w:rPr>
          <w:lang w:val="en-GB" w:eastAsia="en-GB"/>
        </w:rPr>
      </w:pPr>
      <w:r w:rsidRPr="00AA250A">
        <w:rPr>
          <w:lang w:val="en-GB" w:eastAsia="en-GB"/>
        </w:rPr>
        <w:t xml:space="preserve">Bekaert, G. and Hodrick, R.J. (2018). </w:t>
      </w:r>
      <w:r w:rsidRPr="00AA250A">
        <w:rPr>
          <w:i/>
          <w:iCs/>
          <w:lang w:val="en-GB" w:eastAsia="en-GB"/>
        </w:rPr>
        <w:t>International financial management</w:t>
      </w:r>
      <w:r w:rsidRPr="00AA250A">
        <w:rPr>
          <w:lang w:val="en-GB" w:eastAsia="en-GB"/>
        </w:rPr>
        <w:t>. Cambridge, United Kingdom: Cambridge University Press.</w:t>
      </w:r>
    </w:p>
    <w:p w:rsidR="008078AA" w:rsidRPr="00AA250A" w:rsidRDefault="008078AA" w:rsidP="00AA250A">
      <w:pPr>
        <w:ind w:left="432" w:hanging="432"/>
        <w:rPr>
          <w:lang w:val="en-GB" w:eastAsia="en-GB"/>
        </w:rPr>
      </w:pPr>
      <w:r w:rsidRPr="00AA250A">
        <w:rPr>
          <w:lang w:val="en-GB" w:eastAsia="en-GB"/>
        </w:rPr>
        <w:t xml:space="preserve">Bhalla, V.K. (2014). </w:t>
      </w:r>
      <w:r w:rsidRPr="00AA250A">
        <w:rPr>
          <w:i/>
          <w:iCs/>
          <w:lang w:val="en-GB" w:eastAsia="en-GB"/>
        </w:rPr>
        <w:t>International Financial Management</w:t>
      </w:r>
      <w:r w:rsidRPr="00AA250A">
        <w:rPr>
          <w:lang w:val="en-GB" w:eastAsia="en-GB"/>
        </w:rPr>
        <w:t>.</w:t>
      </w:r>
    </w:p>
    <w:p w:rsidR="008078AA" w:rsidRPr="00AA250A" w:rsidRDefault="008078AA" w:rsidP="00AA250A">
      <w:pPr>
        <w:ind w:left="432" w:hanging="432"/>
        <w:rPr>
          <w:lang w:val="en-GB" w:eastAsia="en-GB"/>
        </w:rPr>
      </w:pPr>
      <w:r w:rsidRPr="00AA250A">
        <w:rPr>
          <w:lang w:val="en-GB" w:eastAsia="en-GB"/>
        </w:rPr>
        <w:t xml:space="preserve">cosmeticsdesign-europe.com (2022.). </w:t>
      </w:r>
      <w:r w:rsidRPr="00AA250A">
        <w:rPr>
          <w:i/>
          <w:iCs/>
          <w:lang w:val="en-GB" w:eastAsia="en-GB"/>
        </w:rPr>
        <w:t>Cost inflation and currency challenges: Personal care CEOs brace for ‘significant’ headwinds in H2 2022</w:t>
      </w:r>
      <w:r w:rsidRPr="00AA250A">
        <w:rPr>
          <w:lang w:val="en-GB" w:eastAsia="en-GB"/>
        </w:rPr>
        <w:t xml:space="preserve">. [online] cosmeticsdesign-europe.com. Available at: </w:t>
      </w:r>
      <w:hyperlink r:id="rId6" w:history="1">
        <w:r w:rsidRPr="00AA250A">
          <w:rPr>
            <w:rStyle w:val="a7"/>
            <w:color w:val="auto"/>
            <w:u w:val="none"/>
            <w:lang w:val="en-GB" w:eastAsia="en-GB"/>
          </w:rPr>
          <w:t>https://www.cosmeticsdesign-europe.com/Article/2022/08/08/unilever-procter-gamble-and-colgate-palmolive-talk-inflation-and-currency-woes</w:t>
        </w:r>
      </w:hyperlink>
      <w:r w:rsidRPr="00AA250A">
        <w:rPr>
          <w:lang w:val="en-GB" w:eastAsia="en-GB"/>
        </w:rPr>
        <w:t>.</w:t>
      </w:r>
    </w:p>
    <w:p w:rsidR="008078AA" w:rsidRPr="00AA250A" w:rsidRDefault="008078AA" w:rsidP="00AA250A">
      <w:pPr>
        <w:ind w:left="432" w:hanging="432"/>
        <w:rPr>
          <w:lang w:val="en-GB" w:eastAsia="en-GB"/>
        </w:rPr>
      </w:pPr>
      <w:r w:rsidRPr="00AA250A">
        <w:rPr>
          <w:i/>
          <w:iCs/>
          <w:lang w:val="en-GB" w:eastAsia="en-GB"/>
        </w:rPr>
        <w:t>LECTURE NOTES INTERNATIONAL FINANCIAL MANAGEMENT</w:t>
      </w:r>
      <w:r w:rsidRPr="00AA250A">
        <w:rPr>
          <w:lang w:val="en-GB" w:eastAsia="en-GB"/>
        </w:rPr>
        <w:t>. (2017.). [online] Available at: https://iare.ac.in/sites/default/files/LECTURE%20NOTES-IFM.pdf.</w:t>
      </w:r>
    </w:p>
    <w:p w:rsidR="008078AA" w:rsidRPr="00AA250A" w:rsidRDefault="008078AA" w:rsidP="00AA250A">
      <w:pPr>
        <w:ind w:left="432" w:hanging="432"/>
        <w:rPr>
          <w:lang w:val="en-GB" w:eastAsia="en-GB"/>
        </w:rPr>
      </w:pPr>
      <w:r w:rsidRPr="00AA250A">
        <w:rPr>
          <w:lang w:val="en-GB" w:eastAsia="en-GB"/>
        </w:rPr>
        <w:t xml:space="preserve">Madura, J. and Hoque, A. (2018). </w:t>
      </w:r>
      <w:r w:rsidRPr="00AA250A">
        <w:rPr>
          <w:i/>
          <w:iCs/>
          <w:lang w:val="en-GB" w:eastAsia="en-GB"/>
        </w:rPr>
        <w:t>International financial management</w:t>
      </w:r>
      <w:r w:rsidRPr="00AA250A">
        <w:rPr>
          <w:lang w:val="en-GB" w:eastAsia="en-GB"/>
        </w:rPr>
        <w:t>. South Melbourne, Australia: Cengage Learning Australia.</w:t>
      </w:r>
    </w:p>
    <w:p w:rsidR="008078AA" w:rsidRPr="00AA250A" w:rsidRDefault="008078AA" w:rsidP="00AA250A">
      <w:pPr>
        <w:ind w:left="432" w:hanging="432"/>
        <w:rPr>
          <w:lang w:val="en-GB" w:eastAsia="en-GB"/>
        </w:rPr>
      </w:pPr>
      <w:r w:rsidRPr="00AA250A">
        <w:rPr>
          <w:lang w:val="en-GB" w:eastAsia="en-GB"/>
        </w:rPr>
        <w:t xml:space="preserve">Maurer, M. (2022). Unilever CFO Struggles With Forecasting Accuracy Amid High Inflation. </w:t>
      </w:r>
      <w:r w:rsidRPr="00AA250A">
        <w:rPr>
          <w:i/>
          <w:iCs/>
          <w:lang w:val="en-GB" w:eastAsia="en-GB"/>
        </w:rPr>
        <w:t>Wall Street Journal</w:t>
      </w:r>
      <w:r w:rsidRPr="00AA250A">
        <w:rPr>
          <w:lang w:val="en-GB" w:eastAsia="en-GB"/>
        </w:rPr>
        <w:t>. [online] 27 Oct. Available at: https://www.wsj.com/articles/unilever-cfo-struggles-with-forecasting-accuracy-amid-high-inflation-11666904322#:~:text=Unilever%20PLC [Accessed 13 Nov. 2022].</w:t>
      </w:r>
    </w:p>
    <w:p w:rsidR="008078AA" w:rsidRPr="00AA250A" w:rsidRDefault="008078AA" w:rsidP="00AA250A">
      <w:pPr>
        <w:ind w:left="432" w:hanging="432"/>
        <w:rPr>
          <w:lang w:val="en-GB" w:eastAsia="en-GB"/>
        </w:rPr>
      </w:pPr>
      <w:r w:rsidRPr="00AA250A">
        <w:rPr>
          <w:lang w:val="en-GB" w:eastAsia="en-GB"/>
        </w:rPr>
        <w:t xml:space="preserve">Unilever. (2022.). </w:t>
      </w:r>
      <w:r w:rsidRPr="00AA250A">
        <w:rPr>
          <w:i/>
          <w:iCs/>
          <w:lang w:val="en-GB" w:eastAsia="en-GB"/>
        </w:rPr>
        <w:t>Delivering consistency in challenging conditions</w:t>
      </w:r>
      <w:r w:rsidRPr="00AA250A">
        <w:rPr>
          <w:lang w:val="en-GB" w:eastAsia="en-GB"/>
        </w:rPr>
        <w:t xml:space="preserve">. [online] Available at: </w:t>
      </w:r>
      <w:hyperlink r:id="rId7" w:history="1">
        <w:r w:rsidRPr="00AA250A">
          <w:rPr>
            <w:rStyle w:val="a7"/>
            <w:color w:val="auto"/>
            <w:u w:val="none"/>
            <w:lang w:val="en-GB" w:eastAsia="en-GB"/>
          </w:rPr>
          <w:t>https://www.unilever.com/news/press-and-media/press-releases/2022/delivering-consistency-in-challenging-conditions/</w:t>
        </w:r>
      </w:hyperlink>
      <w:r w:rsidRPr="00AA250A">
        <w:rPr>
          <w:lang w:val="en-GB" w:eastAsia="en-GB"/>
        </w:rPr>
        <w:t>.</w:t>
      </w:r>
    </w:p>
    <w:p w:rsidR="003B5756" w:rsidRPr="00AA250A" w:rsidRDefault="008078AA" w:rsidP="00E60C48">
      <w:pPr>
        <w:ind w:left="432" w:hanging="432"/>
        <w:rPr>
          <w:lang w:val="en-GB" w:eastAsia="en-GB"/>
        </w:rPr>
      </w:pPr>
      <w:r w:rsidRPr="00AA250A">
        <w:rPr>
          <w:lang w:val="en-GB" w:eastAsia="en-GB"/>
        </w:rPr>
        <w:t>Wang, Y.K. (</w:t>
      </w:r>
      <w:r w:rsidR="00866E7E" w:rsidRPr="00AA250A">
        <w:rPr>
          <w:lang w:val="en-GB" w:eastAsia="en-GB"/>
        </w:rPr>
        <w:t>2018</w:t>
      </w:r>
      <w:r w:rsidRPr="00AA250A">
        <w:rPr>
          <w:lang w:val="en-GB" w:eastAsia="en-GB"/>
        </w:rPr>
        <w:t xml:space="preserve">). </w:t>
      </w:r>
      <w:r w:rsidRPr="00AA250A">
        <w:rPr>
          <w:i/>
          <w:iCs/>
          <w:lang w:val="en-GB" w:eastAsia="en-GB"/>
        </w:rPr>
        <w:t>A Reform on the Forward Foreign Exchange Market and Foreign Exchange Rate Determination in Korea with Foreign Exchange Policy Experiences of Taiwan. Pacific Focus</w:t>
      </w:r>
      <w:r w:rsidRPr="00AA250A">
        <w:rPr>
          <w:lang w:val="en-GB" w:eastAsia="en-GB"/>
        </w:rPr>
        <w:t xml:space="preserve">, 5(1), pp.95–110. </w:t>
      </w:r>
    </w:p>
    <w:sectPr w:rsidR="003B5756" w:rsidRPr="00AA250A" w:rsidSect="006B7472">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D08A4" w:rsidRDefault="009D08A4" w:rsidP="00F35C28">
      <w:pPr>
        <w:spacing w:after="0" w:line="240" w:lineRule="auto"/>
      </w:pPr>
      <w:r>
        <w:separator/>
      </w:r>
    </w:p>
  </w:endnote>
  <w:endnote w:type="continuationSeparator" w:id="0">
    <w:p w:rsidR="009D08A4" w:rsidRDefault="009D08A4" w:rsidP="00F35C2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MS Mincho">
    <w:altName w:val="ＭＳ 明朝"/>
    <w:panose1 w:val="02020609040205080304"/>
    <w:charset w:val="80"/>
    <w:family w:val="roman"/>
    <w:notTrueType/>
    <w:pitch w:val="fixed"/>
    <w:sig w:usb0="00000001" w:usb1="08070000" w:usb2="00000010" w:usb3="00000000" w:csb0="00020000"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15902324"/>
      <w:docPartObj>
        <w:docPartGallery w:val="Page Numbers (Bottom of Page)"/>
        <w:docPartUnique/>
      </w:docPartObj>
    </w:sdtPr>
    <w:sdtEndPr>
      <w:rPr>
        <w:noProof/>
      </w:rPr>
    </w:sdtEndPr>
    <w:sdtContent>
      <w:p w:rsidR="00F35C28" w:rsidRDefault="00E16A43">
        <w:pPr>
          <w:pStyle w:val="aa"/>
          <w:jc w:val="right"/>
        </w:pPr>
        <w:r>
          <w:fldChar w:fldCharType="begin"/>
        </w:r>
        <w:r w:rsidR="00F35C28">
          <w:instrText xml:space="preserve"> PAGE   \* MERGEFORMAT </w:instrText>
        </w:r>
        <w:r>
          <w:fldChar w:fldCharType="separate"/>
        </w:r>
        <w:r w:rsidR="008E27AF">
          <w:rPr>
            <w:noProof/>
          </w:rPr>
          <w:t>8</w:t>
        </w:r>
        <w:r>
          <w:rPr>
            <w:noProof/>
          </w:rPr>
          <w:fldChar w:fldCharType="end"/>
        </w:r>
      </w:p>
    </w:sdtContent>
  </w:sdt>
  <w:p w:rsidR="00F35C28" w:rsidRDefault="00F35C28">
    <w:pPr>
      <w:pStyle w:val="aa"/>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D08A4" w:rsidRDefault="009D08A4" w:rsidP="00F35C28">
      <w:pPr>
        <w:spacing w:after="0" w:line="240" w:lineRule="auto"/>
      </w:pPr>
      <w:r>
        <w:separator/>
      </w:r>
    </w:p>
  </w:footnote>
  <w:footnote w:type="continuationSeparator" w:id="0">
    <w:p w:rsidR="009D08A4" w:rsidRDefault="009D08A4" w:rsidP="00F35C2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4098"/>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NDI3NjY1NjE0sjQ2s7RQ0lEKTi0uzszPAykwqQUAWmXrwCwAAAA="/>
  </w:docVars>
  <w:rsids>
    <w:rsidRoot w:val="00C97D23"/>
    <w:rsid w:val="001C4417"/>
    <w:rsid w:val="00210EEA"/>
    <w:rsid w:val="00250E2B"/>
    <w:rsid w:val="0032455C"/>
    <w:rsid w:val="00334835"/>
    <w:rsid w:val="00343214"/>
    <w:rsid w:val="00350BBB"/>
    <w:rsid w:val="003B5756"/>
    <w:rsid w:val="003F6A02"/>
    <w:rsid w:val="004553C2"/>
    <w:rsid w:val="00644A35"/>
    <w:rsid w:val="006569CA"/>
    <w:rsid w:val="006A2386"/>
    <w:rsid w:val="006B1234"/>
    <w:rsid w:val="006B7472"/>
    <w:rsid w:val="007936E1"/>
    <w:rsid w:val="007F4C2E"/>
    <w:rsid w:val="008078AA"/>
    <w:rsid w:val="00825801"/>
    <w:rsid w:val="00827991"/>
    <w:rsid w:val="00866E7E"/>
    <w:rsid w:val="00877FBF"/>
    <w:rsid w:val="008A3E89"/>
    <w:rsid w:val="008A4273"/>
    <w:rsid w:val="008E27AF"/>
    <w:rsid w:val="0097223E"/>
    <w:rsid w:val="009738DD"/>
    <w:rsid w:val="009B265C"/>
    <w:rsid w:val="009C5024"/>
    <w:rsid w:val="009D08A4"/>
    <w:rsid w:val="00A10043"/>
    <w:rsid w:val="00A15914"/>
    <w:rsid w:val="00A97D4C"/>
    <w:rsid w:val="00AA250A"/>
    <w:rsid w:val="00AA6F1F"/>
    <w:rsid w:val="00AE4DFC"/>
    <w:rsid w:val="00B35E99"/>
    <w:rsid w:val="00B4280F"/>
    <w:rsid w:val="00B67C19"/>
    <w:rsid w:val="00BA7202"/>
    <w:rsid w:val="00BB69B5"/>
    <w:rsid w:val="00C1788F"/>
    <w:rsid w:val="00C34125"/>
    <w:rsid w:val="00C50CBE"/>
    <w:rsid w:val="00C7598E"/>
    <w:rsid w:val="00C97D23"/>
    <w:rsid w:val="00CA0638"/>
    <w:rsid w:val="00CB487A"/>
    <w:rsid w:val="00CD738F"/>
    <w:rsid w:val="00CF59F9"/>
    <w:rsid w:val="00E16A43"/>
    <w:rsid w:val="00E33D84"/>
    <w:rsid w:val="00E37913"/>
    <w:rsid w:val="00E60C48"/>
    <w:rsid w:val="00F35C28"/>
    <w:rsid w:val="00F457F3"/>
    <w:rsid w:val="00F509E4"/>
  </w:rsids>
  <m:mathPr>
    <m:mathFont m:val="Cambria Math"/>
    <m:brkBin m:val="before"/>
    <m:brkBinSub m:val="--"/>
    <m:smallFrac/>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078AA"/>
    <w:pPr>
      <w:spacing w:after="160" w:line="360" w:lineRule="auto"/>
      <w:jc w:val="both"/>
    </w:pPr>
    <w:rPr>
      <w:rFonts w:ascii="Times New Roman" w:hAnsi="Times New Roman"/>
      <w:sz w:val="24"/>
      <w:szCs w:val="22"/>
      <w:lang w:val="en-US" w:eastAsia="en-US"/>
    </w:rPr>
  </w:style>
  <w:style w:type="paragraph" w:styleId="1">
    <w:name w:val="heading 1"/>
    <w:basedOn w:val="a"/>
    <w:next w:val="a"/>
    <w:link w:val="10"/>
    <w:uiPriority w:val="9"/>
    <w:qFormat/>
    <w:rsid w:val="00C1788F"/>
    <w:pPr>
      <w:keepNext/>
      <w:keepLines/>
      <w:spacing w:before="240" w:after="0"/>
      <w:outlineLvl w:val="0"/>
    </w:pPr>
    <w:rPr>
      <w:rFonts w:ascii="Calibri Light" w:eastAsia="MS Gothic" w:hAnsi="Calibri Light"/>
      <w:color w:val="2E74B5"/>
      <w:sz w:val="32"/>
      <w:szCs w:val="32"/>
      <w:lang w:val="en-GB" w:eastAsia="en-GB"/>
    </w:rPr>
  </w:style>
  <w:style w:type="paragraph" w:styleId="2">
    <w:name w:val="heading 2"/>
    <w:basedOn w:val="a"/>
    <w:next w:val="a"/>
    <w:link w:val="20"/>
    <w:uiPriority w:val="9"/>
    <w:unhideWhenUsed/>
    <w:qFormat/>
    <w:rsid w:val="00C1788F"/>
    <w:pPr>
      <w:keepNext/>
      <w:keepLines/>
      <w:spacing w:before="40" w:after="0"/>
      <w:outlineLvl w:val="1"/>
    </w:pPr>
    <w:rPr>
      <w:rFonts w:ascii="Calibri Light" w:eastAsia="MS Gothic" w:hAnsi="Calibri Light"/>
      <w:color w:val="2E74B5"/>
      <w:sz w:val="26"/>
      <w:szCs w:val="26"/>
      <w:lang w:val="en-GB" w:eastAsia="en-GB"/>
    </w:rPr>
  </w:style>
  <w:style w:type="paragraph" w:styleId="3">
    <w:name w:val="heading 3"/>
    <w:basedOn w:val="a"/>
    <w:next w:val="a"/>
    <w:link w:val="30"/>
    <w:uiPriority w:val="9"/>
    <w:unhideWhenUsed/>
    <w:qFormat/>
    <w:rsid w:val="00C1788F"/>
    <w:pPr>
      <w:keepNext/>
      <w:keepLines/>
      <w:spacing w:before="40" w:after="0"/>
      <w:outlineLvl w:val="2"/>
    </w:pPr>
    <w:rPr>
      <w:rFonts w:ascii="Calibri Light" w:eastAsia="MS Gothic" w:hAnsi="Calibri Light"/>
      <w:color w:val="1F4D78"/>
      <w:szCs w:val="24"/>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link w:val="1"/>
    <w:uiPriority w:val="9"/>
    <w:rsid w:val="00C1788F"/>
    <w:rPr>
      <w:rFonts w:ascii="Calibri Light" w:eastAsia="MS Gothic" w:hAnsi="Calibri Light" w:cs="Times New Roman"/>
      <w:color w:val="2E74B5"/>
      <w:sz w:val="32"/>
      <w:szCs w:val="32"/>
    </w:rPr>
  </w:style>
  <w:style w:type="character" w:customStyle="1" w:styleId="20">
    <w:name w:val="Заголовок 2 Знак"/>
    <w:link w:val="2"/>
    <w:uiPriority w:val="9"/>
    <w:rsid w:val="00C1788F"/>
    <w:rPr>
      <w:rFonts w:ascii="Calibri Light" w:eastAsia="MS Gothic" w:hAnsi="Calibri Light" w:cs="Times New Roman"/>
      <w:color w:val="2E74B5"/>
      <w:sz w:val="26"/>
      <w:szCs w:val="26"/>
    </w:rPr>
  </w:style>
  <w:style w:type="character" w:customStyle="1" w:styleId="30">
    <w:name w:val="Заголовок 3 Знак"/>
    <w:link w:val="3"/>
    <w:uiPriority w:val="9"/>
    <w:rsid w:val="00C1788F"/>
    <w:rPr>
      <w:rFonts w:ascii="Calibri Light" w:eastAsia="MS Gothic" w:hAnsi="Calibri Light" w:cs="Times New Roman"/>
      <w:color w:val="1F4D78"/>
      <w:sz w:val="24"/>
      <w:szCs w:val="24"/>
    </w:rPr>
  </w:style>
  <w:style w:type="paragraph" w:styleId="a3">
    <w:name w:val="No Spacing"/>
    <w:link w:val="a4"/>
    <w:uiPriority w:val="1"/>
    <w:qFormat/>
    <w:rsid w:val="00C1788F"/>
    <w:rPr>
      <w:rFonts w:eastAsia="MS Mincho"/>
      <w:sz w:val="22"/>
      <w:szCs w:val="22"/>
      <w:lang w:val="en-US" w:eastAsia="en-US"/>
    </w:rPr>
  </w:style>
  <w:style w:type="character" w:customStyle="1" w:styleId="a4">
    <w:name w:val="Без интервала Знак"/>
    <w:link w:val="a3"/>
    <w:uiPriority w:val="1"/>
    <w:rsid w:val="00C1788F"/>
    <w:rPr>
      <w:rFonts w:eastAsia="MS Mincho"/>
      <w:sz w:val="22"/>
      <w:szCs w:val="22"/>
      <w:lang w:val="en-US" w:eastAsia="en-US"/>
    </w:rPr>
  </w:style>
  <w:style w:type="paragraph" w:styleId="a5">
    <w:name w:val="List Paragraph"/>
    <w:basedOn w:val="a"/>
    <w:uiPriority w:val="34"/>
    <w:qFormat/>
    <w:rsid w:val="00C1788F"/>
    <w:pPr>
      <w:ind w:left="720"/>
      <w:contextualSpacing/>
    </w:pPr>
  </w:style>
  <w:style w:type="paragraph" w:styleId="a6">
    <w:name w:val="TOC Heading"/>
    <w:basedOn w:val="1"/>
    <w:next w:val="a"/>
    <w:uiPriority w:val="39"/>
    <w:unhideWhenUsed/>
    <w:qFormat/>
    <w:rsid w:val="00C1788F"/>
    <w:pPr>
      <w:outlineLvl w:val="9"/>
    </w:pPr>
    <w:rPr>
      <w:lang w:val="en-US" w:eastAsia="en-US"/>
    </w:rPr>
  </w:style>
  <w:style w:type="paragraph" w:styleId="11">
    <w:name w:val="toc 1"/>
    <w:basedOn w:val="a"/>
    <w:next w:val="a"/>
    <w:autoRedefine/>
    <w:uiPriority w:val="39"/>
    <w:unhideWhenUsed/>
    <w:rsid w:val="003B5756"/>
    <w:pPr>
      <w:spacing w:after="100"/>
    </w:pPr>
    <w:rPr>
      <w:rFonts w:eastAsiaTheme="minorHAnsi" w:cstheme="minorBidi"/>
    </w:rPr>
  </w:style>
  <w:style w:type="paragraph" w:styleId="21">
    <w:name w:val="toc 2"/>
    <w:basedOn w:val="a"/>
    <w:next w:val="a"/>
    <w:autoRedefine/>
    <w:uiPriority w:val="39"/>
    <w:unhideWhenUsed/>
    <w:rsid w:val="003B5756"/>
    <w:pPr>
      <w:spacing w:after="100"/>
      <w:ind w:left="220"/>
    </w:pPr>
    <w:rPr>
      <w:rFonts w:eastAsiaTheme="minorHAnsi" w:cstheme="minorBidi"/>
    </w:rPr>
  </w:style>
  <w:style w:type="character" w:styleId="a7">
    <w:name w:val="Hyperlink"/>
    <w:basedOn w:val="a0"/>
    <w:uiPriority w:val="99"/>
    <w:unhideWhenUsed/>
    <w:rsid w:val="003B5756"/>
    <w:rPr>
      <w:color w:val="0000FF" w:themeColor="hyperlink"/>
      <w:u w:val="single"/>
    </w:rPr>
  </w:style>
  <w:style w:type="paragraph" w:styleId="a8">
    <w:name w:val="header"/>
    <w:basedOn w:val="a"/>
    <w:link w:val="a9"/>
    <w:uiPriority w:val="99"/>
    <w:unhideWhenUsed/>
    <w:rsid w:val="00F35C28"/>
    <w:pPr>
      <w:tabs>
        <w:tab w:val="center" w:pos="4513"/>
        <w:tab w:val="right" w:pos="9026"/>
      </w:tabs>
      <w:spacing w:after="0" w:line="240" w:lineRule="auto"/>
    </w:pPr>
  </w:style>
  <w:style w:type="character" w:customStyle="1" w:styleId="a9">
    <w:name w:val="Верхний колонтитул Знак"/>
    <w:basedOn w:val="a0"/>
    <w:link w:val="a8"/>
    <w:uiPriority w:val="99"/>
    <w:rsid w:val="00F35C28"/>
    <w:rPr>
      <w:sz w:val="22"/>
      <w:szCs w:val="22"/>
      <w:lang w:val="en-US" w:eastAsia="en-US"/>
    </w:rPr>
  </w:style>
  <w:style w:type="paragraph" w:styleId="aa">
    <w:name w:val="footer"/>
    <w:basedOn w:val="a"/>
    <w:link w:val="ab"/>
    <w:uiPriority w:val="99"/>
    <w:unhideWhenUsed/>
    <w:rsid w:val="00F35C28"/>
    <w:pPr>
      <w:tabs>
        <w:tab w:val="center" w:pos="4513"/>
        <w:tab w:val="right" w:pos="9026"/>
      </w:tabs>
      <w:spacing w:after="0" w:line="240" w:lineRule="auto"/>
    </w:pPr>
  </w:style>
  <w:style w:type="character" w:customStyle="1" w:styleId="ab">
    <w:name w:val="Нижний колонтитул Знак"/>
    <w:basedOn w:val="a0"/>
    <w:link w:val="aa"/>
    <w:uiPriority w:val="99"/>
    <w:rsid w:val="00F35C28"/>
    <w:rPr>
      <w:sz w:val="22"/>
      <w:szCs w:val="22"/>
      <w:lang w:val="en-US" w:eastAsia="en-US"/>
    </w:rPr>
  </w:style>
  <w:style w:type="paragraph" w:styleId="ac">
    <w:name w:val="Balloon Text"/>
    <w:basedOn w:val="a"/>
    <w:link w:val="ad"/>
    <w:uiPriority w:val="99"/>
    <w:semiHidden/>
    <w:unhideWhenUsed/>
    <w:rsid w:val="008E27AF"/>
    <w:pPr>
      <w:spacing w:after="0" w:line="240" w:lineRule="auto"/>
    </w:pPr>
    <w:rPr>
      <w:rFonts w:ascii="Tahoma" w:hAnsi="Tahoma" w:cs="Tahoma"/>
      <w:sz w:val="16"/>
      <w:szCs w:val="16"/>
    </w:rPr>
  </w:style>
  <w:style w:type="character" w:customStyle="1" w:styleId="ad">
    <w:name w:val="Текст выноски Знак"/>
    <w:basedOn w:val="a0"/>
    <w:link w:val="ac"/>
    <w:uiPriority w:val="99"/>
    <w:semiHidden/>
    <w:rsid w:val="008E27AF"/>
    <w:rPr>
      <w:rFonts w:ascii="Tahoma" w:hAnsi="Tahoma" w:cs="Tahoma"/>
      <w:sz w:val="16"/>
      <w:szCs w:val="16"/>
      <w:lang w:val="en-US" w:eastAsia="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unilever.com/news/press-and-media/press-releases/2022/delivering-consistency-in-challenging-conditi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smeticsdesign-europe.com/Article/2022/08/08/unilever-procter-gamble-and-colgate-palmolive-talk-inflation-and-currency-wo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2257</Words>
  <Characters>12869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2022-11-14T16:56:00Z</dcterms:created>
  <dcterms:modified xsi:type="dcterms:W3CDTF">2023-01-05T14:13:00Z</dcterms:modified>
</cp:coreProperties>
</file>