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F278A" w14:textId="18881ED5" w:rsidR="00E75AB3" w:rsidRPr="005F5DB4" w:rsidRDefault="00E75AB3" w:rsidP="006C7AEB">
      <w:pPr>
        <w:pStyle w:val="Title"/>
        <w:rPr>
          <w:rFonts w:ascii="Times New Roman" w:hAnsi="Times New Roman" w:cs="Times New Roman"/>
          <w:b/>
          <w:bCs/>
          <w:color w:val="000000" w:themeColor="text1"/>
        </w:rPr>
      </w:pPr>
    </w:p>
    <w:p w14:paraId="00000007" w14:textId="1FB94C41" w:rsidR="00914DDA" w:rsidRPr="005F5DB4" w:rsidRDefault="005D3DBE" w:rsidP="005F5DB4">
      <w:pPr>
        <w:pStyle w:val="Title"/>
        <w:jc w:val="center"/>
        <w:rPr>
          <w:rFonts w:ascii="Times New Roman" w:hAnsi="Times New Roman" w:cs="Times New Roman"/>
          <w:b/>
          <w:bCs/>
          <w:color w:val="000000" w:themeColor="text1"/>
        </w:rPr>
      </w:pPr>
      <w:r w:rsidRPr="005F5DB4">
        <w:rPr>
          <w:rFonts w:ascii="Times New Roman" w:hAnsi="Times New Roman" w:cs="Times New Roman"/>
          <w:b/>
          <w:bCs/>
          <w:color w:val="000000" w:themeColor="text1"/>
        </w:rPr>
        <w:t>ACCOUNTING FUNDAMENTALS</w:t>
      </w:r>
    </w:p>
    <w:p w14:paraId="10492EAB" w14:textId="77777777" w:rsidR="007F59B5" w:rsidRDefault="007F59B5" w:rsidP="007F59B5">
      <w:pPr>
        <w:spacing w:before="240" w:after="240" w:line="360" w:lineRule="auto"/>
        <w:jc w:val="both"/>
        <w:rPr>
          <w:rFonts w:ascii="Times New Roman" w:hAnsi="Times New Roman" w:cs="Times New Roman"/>
          <w:b/>
          <w:bCs/>
          <w:color w:val="000000" w:themeColor="text1"/>
          <w:sz w:val="40"/>
          <w:szCs w:val="40"/>
          <w:shd w:val="clear" w:color="auto" w:fill="FFFFFF"/>
          <w:lang w:val="en-US"/>
        </w:rPr>
      </w:pPr>
    </w:p>
    <w:p w14:paraId="4E7EB9B5" w14:textId="77777777" w:rsidR="007F59B5" w:rsidRDefault="007F59B5" w:rsidP="007F59B5">
      <w:pPr>
        <w:spacing w:before="240" w:after="240" w:line="360" w:lineRule="auto"/>
        <w:jc w:val="both"/>
        <w:rPr>
          <w:rFonts w:ascii="Times New Roman" w:hAnsi="Times New Roman" w:cs="Times New Roman"/>
          <w:b/>
          <w:bCs/>
          <w:color w:val="000000" w:themeColor="text1"/>
          <w:sz w:val="40"/>
          <w:szCs w:val="40"/>
          <w:shd w:val="clear" w:color="auto" w:fill="FFFFFF"/>
          <w:lang w:val="en-US"/>
        </w:rPr>
      </w:pPr>
    </w:p>
    <w:p w14:paraId="1CAB064D" w14:textId="77777777" w:rsidR="007F59B5" w:rsidRDefault="007F59B5" w:rsidP="007F59B5">
      <w:pPr>
        <w:spacing w:before="240" w:after="240" w:line="360" w:lineRule="auto"/>
        <w:jc w:val="both"/>
        <w:rPr>
          <w:rFonts w:ascii="Times New Roman" w:hAnsi="Times New Roman" w:cs="Times New Roman"/>
          <w:b/>
          <w:bCs/>
          <w:color w:val="000000" w:themeColor="text1"/>
          <w:sz w:val="40"/>
          <w:szCs w:val="40"/>
          <w:shd w:val="clear" w:color="auto" w:fill="FFFFFF"/>
          <w:lang w:val="en-US"/>
        </w:rPr>
      </w:pPr>
    </w:p>
    <w:p w14:paraId="4E2E0FBD" w14:textId="77777777" w:rsidR="007F59B5" w:rsidRDefault="007F59B5" w:rsidP="007F59B5">
      <w:pPr>
        <w:spacing w:before="240" w:after="240" w:line="360" w:lineRule="auto"/>
        <w:jc w:val="both"/>
        <w:rPr>
          <w:rFonts w:ascii="Times New Roman" w:hAnsi="Times New Roman" w:cs="Times New Roman"/>
          <w:b/>
          <w:bCs/>
          <w:color w:val="000000" w:themeColor="text1"/>
          <w:sz w:val="40"/>
          <w:szCs w:val="40"/>
          <w:shd w:val="clear" w:color="auto" w:fill="FFFFFF"/>
          <w:lang w:val="en-US"/>
        </w:rPr>
      </w:pPr>
    </w:p>
    <w:p w14:paraId="455FEA72" w14:textId="681D7C15" w:rsidR="007F59B5" w:rsidRPr="00D6416E" w:rsidRDefault="007F59B5" w:rsidP="007F59B5">
      <w:pPr>
        <w:spacing w:before="240" w:after="240" w:line="360" w:lineRule="auto"/>
        <w:jc w:val="both"/>
        <w:rPr>
          <w:rFonts w:ascii="Aptos" w:hAnsi="Aptos" w:cs="Times New Roman"/>
          <w:b/>
          <w:bCs/>
          <w:color w:val="000000" w:themeColor="text1"/>
          <w:sz w:val="44"/>
          <w:szCs w:val="44"/>
          <w:shd w:val="clear" w:color="auto" w:fill="FFFFFF"/>
          <w:lang w:val="en-US"/>
        </w:rPr>
      </w:pPr>
      <w:r w:rsidRPr="00D6416E">
        <w:rPr>
          <w:rFonts w:ascii="Aptos" w:hAnsi="Aptos" w:cs="Times New Roman"/>
          <w:b/>
          <w:bCs/>
          <w:color w:val="000000" w:themeColor="text1"/>
          <w:sz w:val="44"/>
          <w:szCs w:val="44"/>
          <w:shd w:val="clear" w:color="auto" w:fill="FFFFFF"/>
          <w:lang w:val="en-US"/>
        </w:rPr>
        <w:t>Name- Amaan Malik</w:t>
      </w:r>
    </w:p>
    <w:p w14:paraId="0BB1F826" w14:textId="77777777" w:rsidR="007F59B5" w:rsidRPr="00D6416E" w:rsidRDefault="007F59B5" w:rsidP="007F59B5">
      <w:pPr>
        <w:spacing w:before="240" w:after="240" w:line="360" w:lineRule="auto"/>
        <w:jc w:val="both"/>
        <w:rPr>
          <w:rFonts w:ascii="Aptos" w:hAnsi="Aptos" w:cs="Times New Roman"/>
          <w:b/>
          <w:bCs/>
          <w:color w:val="000000" w:themeColor="text1"/>
          <w:sz w:val="44"/>
          <w:szCs w:val="44"/>
          <w:shd w:val="clear" w:color="auto" w:fill="FFFFFF"/>
          <w:lang w:val="en-US"/>
        </w:rPr>
      </w:pPr>
      <w:r w:rsidRPr="00D6416E">
        <w:rPr>
          <w:rFonts w:ascii="Aptos" w:hAnsi="Aptos" w:cs="Times New Roman"/>
          <w:b/>
          <w:bCs/>
          <w:color w:val="000000" w:themeColor="text1"/>
          <w:sz w:val="44"/>
          <w:szCs w:val="44"/>
          <w:shd w:val="clear" w:color="auto" w:fill="FFFFFF"/>
          <w:lang w:val="en-US"/>
        </w:rPr>
        <w:t>Student ID- 2246841</w:t>
      </w:r>
    </w:p>
    <w:p w14:paraId="45899063" w14:textId="2AA8B9DD" w:rsidR="007F59B5" w:rsidRPr="00D6416E" w:rsidRDefault="007F59B5" w:rsidP="007F59B5">
      <w:pPr>
        <w:spacing w:before="240" w:after="240" w:line="360" w:lineRule="auto"/>
        <w:jc w:val="both"/>
        <w:rPr>
          <w:rFonts w:ascii="Aptos" w:hAnsi="Aptos" w:cs="Times New Roman"/>
          <w:b/>
          <w:bCs/>
          <w:color w:val="000000" w:themeColor="text1"/>
          <w:sz w:val="44"/>
          <w:szCs w:val="44"/>
          <w:shd w:val="clear" w:color="auto" w:fill="FFFFFF"/>
          <w:lang w:val="en-US"/>
        </w:rPr>
      </w:pPr>
      <w:r w:rsidRPr="00D6416E">
        <w:rPr>
          <w:rFonts w:ascii="Aptos" w:hAnsi="Aptos" w:cs="Times New Roman"/>
          <w:b/>
          <w:bCs/>
          <w:color w:val="000000" w:themeColor="text1"/>
          <w:sz w:val="44"/>
          <w:szCs w:val="44"/>
          <w:shd w:val="clear" w:color="auto" w:fill="FFFFFF"/>
          <w:lang w:val="en-US"/>
        </w:rPr>
        <w:t>Module code- LCBB400</w:t>
      </w:r>
      <w:r w:rsidRPr="00D6416E">
        <w:rPr>
          <w:rFonts w:ascii="Aptos" w:hAnsi="Aptos" w:cs="Times New Roman"/>
          <w:b/>
          <w:bCs/>
          <w:color w:val="000000" w:themeColor="text1"/>
          <w:sz w:val="44"/>
          <w:szCs w:val="44"/>
          <w:shd w:val="clear" w:color="auto" w:fill="FFFFFF"/>
          <w:lang w:val="en-US"/>
        </w:rPr>
        <w:t>1</w:t>
      </w:r>
    </w:p>
    <w:p w14:paraId="497503DA" w14:textId="3EB6C82F" w:rsidR="007F59B5" w:rsidRPr="00D6416E" w:rsidRDefault="007F59B5" w:rsidP="007F59B5">
      <w:pPr>
        <w:spacing w:before="240" w:after="240" w:line="360" w:lineRule="auto"/>
        <w:jc w:val="both"/>
        <w:rPr>
          <w:rFonts w:ascii="Aptos" w:hAnsi="Aptos" w:cs="Times New Roman"/>
          <w:b/>
          <w:bCs/>
          <w:color w:val="000000" w:themeColor="text1"/>
          <w:sz w:val="44"/>
          <w:szCs w:val="44"/>
          <w:shd w:val="clear" w:color="auto" w:fill="FFFFFF"/>
          <w:lang w:val="en-US"/>
        </w:rPr>
      </w:pPr>
      <w:r w:rsidRPr="00D6416E">
        <w:rPr>
          <w:rFonts w:ascii="Aptos" w:hAnsi="Aptos" w:cs="Times New Roman"/>
          <w:b/>
          <w:bCs/>
          <w:color w:val="000000" w:themeColor="text1"/>
          <w:sz w:val="44"/>
          <w:szCs w:val="44"/>
          <w:shd w:val="clear" w:color="auto" w:fill="FFFFFF"/>
          <w:lang w:val="en-US"/>
        </w:rPr>
        <w:t xml:space="preserve">Module Name- </w:t>
      </w:r>
      <w:r w:rsidRPr="00D6416E">
        <w:rPr>
          <w:rFonts w:ascii="Aptos" w:hAnsi="Aptos" w:cs="Times New Roman"/>
          <w:b/>
          <w:bCs/>
          <w:color w:val="000000" w:themeColor="text1"/>
          <w:sz w:val="44"/>
          <w:szCs w:val="44"/>
          <w:shd w:val="clear" w:color="auto" w:fill="FFFFFF"/>
          <w:lang w:val="en-US"/>
        </w:rPr>
        <w:t xml:space="preserve">Accounting Fundamentals </w:t>
      </w:r>
    </w:p>
    <w:p w14:paraId="29218C87" w14:textId="1497AD12" w:rsidR="007F59B5" w:rsidRPr="00D6416E" w:rsidRDefault="007F59B5" w:rsidP="007F59B5">
      <w:pPr>
        <w:spacing w:before="240" w:after="240" w:line="360" w:lineRule="auto"/>
        <w:jc w:val="both"/>
        <w:rPr>
          <w:rFonts w:ascii="Aptos" w:hAnsi="Aptos" w:cs="Times New Roman"/>
          <w:b/>
          <w:bCs/>
          <w:color w:val="000000" w:themeColor="text1"/>
          <w:sz w:val="44"/>
          <w:szCs w:val="44"/>
          <w:shd w:val="clear" w:color="auto" w:fill="FFFFFF"/>
          <w:lang w:val="en-US"/>
        </w:rPr>
      </w:pPr>
      <w:r w:rsidRPr="00D6416E">
        <w:rPr>
          <w:rFonts w:ascii="Aptos" w:hAnsi="Aptos" w:cs="Times New Roman"/>
          <w:b/>
          <w:bCs/>
          <w:color w:val="000000" w:themeColor="text1"/>
          <w:sz w:val="44"/>
          <w:szCs w:val="44"/>
          <w:shd w:val="clear" w:color="auto" w:fill="FFFFFF"/>
          <w:lang w:val="en-US"/>
        </w:rPr>
        <w:t xml:space="preserve">Lecturer- </w:t>
      </w:r>
      <w:r w:rsidRPr="00D6416E">
        <w:rPr>
          <w:rFonts w:ascii="Aptos" w:hAnsi="Aptos" w:cs="Times New Roman"/>
          <w:b/>
          <w:bCs/>
          <w:color w:val="000000" w:themeColor="text1"/>
          <w:sz w:val="44"/>
          <w:szCs w:val="44"/>
          <w:shd w:val="clear" w:color="auto" w:fill="FFFFFF"/>
          <w:lang w:val="en-US"/>
        </w:rPr>
        <w:t>Konstan</w:t>
      </w:r>
      <w:r w:rsidR="00D6416E" w:rsidRPr="00D6416E">
        <w:rPr>
          <w:rFonts w:ascii="Aptos" w:hAnsi="Aptos" w:cs="Times New Roman"/>
          <w:b/>
          <w:bCs/>
          <w:color w:val="000000" w:themeColor="text1"/>
          <w:sz w:val="44"/>
          <w:szCs w:val="44"/>
          <w:shd w:val="clear" w:color="auto" w:fill="FFFFFF"/>
          <w:lang w:val="en-US"/>
        </w:rPr>
        <w:t>tina Mari</w:t>
      </w:r>
    </w:p>
    <w:p w14:paraId="00000008" w14:textId="77777777" w:rsidR="00914DDA" w:rsidRPr="00256D10" w:rsidRDefault="005D3DBE" w:rsidP="00256D10">
      <w:pPr>
        <w:spacing w:before="240" w:after="240" w:line="360" w:lineRule="auto"/>
        <w:jc w:val="both"/>
        <w:rPr>
          <w:rFonts w:ascii="Times New Roman" w:eastAsia="Times New Roman" w:hAnsi="Times New Roman" w:cs="Times New Roman"/>
          <w:b/>
          <w:color w:val="000000" w:themeColor="text1"/>
          <w:sz w:val="24"/>
          <w:szCs w:val="24"/>
        </w:rPr>
      </w:pPr>
      <w:r w:rsidRPr="00256D10">
        <w:rPr>
          <w:rFonts w:ascii="Times New Roman" w:hAnsi="Times New Roman"/>
          <w:color w:val="000000" w:themeColor="text1"/>
          <w:sz w:val="24"/>
        </w:rPr>
        <w:br w:type="page"/>
      </w:r>
    </w:p>
    <w:sdt>
      <w:sdtPr>
        <w:rPr>
          <w:rFonts w:ascii="Times New Roman" w:eastAsia="Arial" w:hAnsi="Times New Roman" w:cs="Arial"/>
          <w:color w:val="000000" w:themeColor="text1"/>
          <w:sz w:val="24"/>
          <w:szCs w:val="22"/>
          <w:lang w:val="en" w:eastAsia="en-IN"/>
        </w:rPr>
        <w:id w:val="-1993779974"/>
        <w:docPartObj>
          <w:docPartGallery w:val="Table of Contents"/>
          <w:docPartUnique/>
        </w:docPartObj>
      </w:sdtPr>
      <w:sdtEndPr>
        <w:rPr>
          <w:b/>
          <w:bCs/>
          <w:noProof/>
        </w:rPr>
      </w:sdtEndPr>
      <w:sdtContent>
        <w:p w14:paraId="0FA18ADF" w14:textId="23DF3230" w:rsidR="00256D10" w:rsidRPr="007459A7" w:rsidRDefault="00256D10" w:rsidP="00256D10">
          <w:pPr>
            <w:pStyle w:val="TOCHeading"/>
            <w:spacing w:after="240" w:line="360" w:lineRule="auto"/>
            <w:jc w:val="both"/>
            <w:rPr>
              <w:rFonts w:ascii="Times New Roman" w:hAnsi="Times New Roman" w:cs="Times New Roman"/>
              <w:b/>
              <w:bCs/>
              <w:color w:val="000000" w:themeColor="text1"/>
              <w:sz w:val="24"/>
              <w:szCs w:val="24"/>
            </w:rPr>
          </w:pPr>
          <w:r w:rsidRPr="007459A7">
            <w:rPr>
              <w:rFonts w:ascii="Times New Roman" w:hAnsi="Times New Roman" w:cs="Times New Roman"/>
              <w:b/>
              <w:bCs/>
              <w:color w:val="000000" w:themeColor="text1"/>
              <w:sz w:val="24"/>
              <w:szCs w:val="24"/>
            </w:rPr>
            <w:t>Table of Contents</w:t>
          </w:r>
        </w:p>
        <w:p w14:paraId="102E2F8C" w14:textId="017227C6" w:rsidR="007459A7" w:rsidRPr="007459A7" w:rsidRDefault="00256D10">
          <w:pPr>
            <w:pStyle w:val="TOC1"/>
            <w:tabs>
              <w:tab w:val="right" w:leader="dot" w:pos="9350"/>
            </w:tabs>
            <w:rPr>
              <w:rFonts w:ascii="Times New Roman" w:eastAsiaTheme="minorEastAsia" w:hAnsi="Times New Roman" w:cs="Times New Roman"/>
              <w:noProof/>
              <w:color w:val="000000" w:themeColor="text1"/>
              <w:sz w:val="24"/>
              <w:szCs w:val="24"/>
              <w:lang w:val="en-IN"/>
            </w:rPr>
          </w:pPr>
          <w:r w:rsidRPr="007459A7">
            <w:rPr>
              <w:rFonts w:ascii="Times New Roman" w:hAnsi="Times New Roman" w:cs="Times New Roman"/>
              <w:color w:val="000000" w:themeColor="text1"/>
              <w:sz w:val="24"/>
              <w:szCs w:val="24"/>
            </w:rPr>
            <w:fldChar w:fldCharType="begin"/>
          </w:r>
          <w:r w:rsidRPr="007459A7">
            <w:rPr>
              <w:rFonts w:ascii="Times New Roman" w:hAnsi="Times New Roman" w:cs="Times New Roman"/>
              <w:color w:val="000000" w:themeColor="text1"/>
              <w:sz w:val="24"/>
              <w:szCs w:val="24"/>
            </w:rPr>
            <w:instrText xml:space="preserve"> TOC \o "1-3" \h \z \u </w:instrText>
          </w:r>
          <w:r w:rsidRPr="007459A7">
            <w:rPr>
              <w:rFonts w:ascii="Times New Roman" w:hAnsi="Times New Roman" w:cs="Times New Roman"/>
              <w:color w:val="000000" w:themeColor="text1"/>
              <w:sz w:val="24"/>
              <w:szCs w:val="24"/>
            </w:rPr>
            <w:fldChar w:fldCharType="separate"/>
          </w:r>
          <w:hyperlink w:anchor="_Toc153956206" w:history="1">
            <w:r w:rsidR="007459A7" w:rsidRPr="007459A7">
              <w:rPr>
                <w:rStyle w:val="Hyperlink"/>
                <w:rFonts w:ascii="Times New Roman" w:hAnsi="Times New Roman" w:cs="Times New Roman"/>
                <w:noProof/>
                <w:color w:val="000000" w:themeColor="text1"/>
                <w:sz w:val="24"/>
                <w:szCs w:val="24"/>
              </w:rPr>
              <w:t>Introduction</w:t>
            </w:r>
            <w:r w:rsidR="007459A7" w:rsidRPr="007459A7">
              <w:rPr>
                <w:rFonts w:ascii="Times New Roman" w:hAnsi="Times New Roman" w:cs="Times New Roman"/>
                <w:noProof/>
                <w:webHidden/>
                <w:color w:val="000000" w:themeColor="text1"/>
                <w:sz w:val="24"/>
                <w:szCs w:val="24"/>
              </w:rPr>
              <w:tab/>
            </w:r>
            <w:r w:rsidR="007459A7" w:rsidRPr="007459A7">
              <w:rPr>
                <w:rFonts w:ascii="Times New Roman" w:hAnsi="Times New Roman" w:cs="Times New Roman"/>
                <w:noProof/>
                <w:webHidden/>
                <w:color w:val="000000" w:themeColor="text1"/>
                <w:sz w:val="24"/>
                <w:szCs w:val="24"/>
              </w:rPr>
              <w:fldChar w:fldCharType="begin"/>
            </w:r>
            <w:r w:rsidR="007459A7" w:rsidRPr="007459A7">
              <w:rPr>
                <w:rFonts w:ascii="Times New Roman" w:hAnsi="Times New Roman" w:cs="Times New Roman"/>
                <w:noProof/>
                <w:webHidden/>
                <w:color w:val="000000" w:themeColor="text1"/>
                <w:sz w:val="24"/>
                <w:szCs w:val="24"/>
              </w:rPr>
              <w:instrText xml:space="preserve"> PAGEREF _Toc153956206 \h </w:instrText>
            </w:r>
            <w:r w:rsidR="007459A7" w:rsidRPr="007459A7">
              <w:rPr>
                <w:rFonts w:ascii="Times New Roman" w:hAnsi="Times New Roman" w:cs="Times New Roman"/>
                <w:noProof/>
                <w:webHidden/>
                <w:color w:val="000000" w:themeColor="text1"/>
                <w:sz w:val="24"/>
                <w:szCs w:val="24"/>
              </w:rPr>
            </w:r>
            <w:r w:rsidR="007459A7" w:rsidRPr="007459A7">
              <w:rPr>
                <w:rFonts w:ascii="Times New Roman" w:hAnsi="Times New Roman" w:cs="Times New Roman"/>
                <w:noProof/>
                <w:webHidden/>
                <w:color w:val="000000" w:themeColor="text1"/>
                <w:sz w:val="24"/>
                <w:szCs w:val="24"/>
              </w:rPr>
              <w:fldChar w:fldCharType="separate"/>
            </w:r>
            <w:r w:rsidR="007459A7" w:rsidRPr="007459A7">
              <w:rPr>
                <w:rFonts w:ascii="Times New Roman" w:hAnsi="Times New Roman" w:cs="Times New Roman"/>
                <w:noProof/>
                <w:webHidden/>
                <w:color w:val="000000" w:themeColor="text1"/>
                <w:sz w:val="24"/>
                <w:szCs w:val="24"/>
              </w:rPr>
              <w:t>3</w:t>
            </w:r>
            <w:r w:rsidR="007459A7" w:rsidRPr="007459A7">
              <w:rPr>
                <w:rFonts w:ascii="Times New Roman" w:hAnsi="Times New Roman" w:cs="Times New Roman"/>
                <w:noProof/>
                <w:webHidden/>
                <w:color w:val="000000" w:themeColor="text1"/>
                <w:sz w:val="24"/>
                <w:szCs w:val="24"/>
              </w:rPr>
              <w:fldChar w:fldCharType="end"/>
            </w:r>
          </w:hyperlink>
        </w:p>
        <w:p w14:paraId="56E2D3B1" w14:textId="288B9D55" w:rsidR="007459A7" w:rsidRPr="007459A7" w:rsidRDefault="00D6416E">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53956207" w:history="1">
            <w:r w:rsidR="007459A7" w:rsidRPr="007459A7">
              <w:rPr>
                <w:rStyle w:val="Hyperlink"/>
                <w:rFonts w:ascii="Times New Roman" w:hAnsi="Times New Roman" w:cs="Times New Roman"/>
                <w:noProof/>
                <w:color w:val="000000" w:themeColor="text1"/>
                <w:sz w:val="24"/>
                <w:szCs w:val="24"/>
              </w:rPr>
              <w:t>Question 1</w:t>
            </w:r>
            <w:r w:rsidR="007459A7" w:rsidRPr="007459A7">
              <w:rPr>
                <w:rFonts w:ascii="Times New Roman" w:hAnsi="Times New Roman" w:cs="Times New Roman"/>
                <w:noProof/>
                <w:webHidden/>
                <w:color w:val="000000" w:themeColor="text1"/>
                <w:sz w:val="24"/>
                <w:szCs w:val="24"/>
              </w:rPr>
              <w:tab/>
            </w:r>
            <w:r w:rsidR="007459A7" w:rsidRPr="007459A7">
              <w:rPr>
                <w:rFonts w:ascii="Times New Roman" w:hAnsi="Times New Roman" w:cs="Times New Roman"/>
                <w:noProof/>
                <w:webHidden/>
                <w:color w:val="000000" w:themeColor="text1"/>
                <w:sz w:val="24"/>
                <w:szCs w:val="24"/>
              </w:rPr>
              <w:fldChar w:fldCharType="begin"/>
            </w:r>
            <w:r w:rsidR="007459A7" w:rsidRPr="007459A7">
              <w:rPr>
                <w:rFonts w:ascii="Times New Roman" w:hAnsi="Times New Roman" w:cs="Times New Roman"/>
                <w:noProof/>
                <w:webHidden/>
                <w:color w:val="000000" w:themeColor="text1"/>
                <w:sz w:val="24"/>
                <w:szCs w:val="24"/>
              </w:rPr>
              <w:instrText xml:space="preserve"> PAGEREF _Toc153956207 \h </w:instrText>
            </w:r>
            <w:r w:rsidR="007459A7" w:rsidRPr="007459A7">
              <w:rPr>
                <w:rFonts w:ascii="Times New Roman" w:hAnsi="Times New Roman" w:cs="Times New Roman"/>
                <w:noProof/>
                <w:webHidden/>
                <w:color w:val="000000" w:themeColor="text1"/>
                <w:sz w:val="24"/>
                <w:szCs w:val="24"/>
              </w:rPr>
            </w:r>
            <w:r w:rsidR="007459A7" w:rsidRPr="007459A7">
              <w:rPr>
                <w:rFonts w:ascii="Times New Roman" w:hAnsi="Times New Roman" w:cs="Times New Roman"/>
                <w:noProof/>
                <w:webHidden/>
                <w:color w:val="000000" w:themeColor="text1"/>
                <w:sz w:val="24"/>
                <w:szCs w:val="24"/>
              </w:rPr>
              <w:fldChar w:fldCharType="separate"/>
            </w:r>
            <w:r w:rsidR="007459A7" w:rsidRPr="007459A7">
              <w:rPr>
                <w:rFonts w:ascii="Times New Roman" w:hAnsi="Times New Roman" w:cs="Times New Roman"/>
                <w:noProof/>
                <w:webHidden/>
                <w:color w:val="000000" w:themeColor="text1"/>
                <w:sz w:val="24"/>
                <w:szCs w:val="24"/>
              </w:rPr>
              <w:t>4</w:t>
            </w:r>
            <w:r w:rsidR="007459A7" w:rsidRPr="007459A7">
              <w:rPr>
                <w:rFonts w:ascii="Times New Roman" w:hAnsi="Times New Roman" w:cs="Times New Roman"/>
                <w:noProof/>
                <w:webHidden/>
                <w:color w:val="000000" w:themeColor="text1"/>
                <w:sz w:val="24"/>
                <w:szCs w:val="24"/>
              </w:rPr>
              <w:fldChar w:fldCharType="end"/>
            </w:r>
          </w:hyperlink>
        </w:p>
        <w:p w14:paraId="56E0123A" w14:textId="1C9E23E2" w:rsidR="007459A7" w:rsidRPr="007459A7" w:rsidRDefault="00D6416E">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53956208" w:history="1">
            <w:r w:rsidR="007459A7" w:rsidRPr="007459A7">
              <w:rPr>
                <w:rStyle w:val="Hyperlink"/>
                <w:rFonts w:ascii="Times New Roman" w:hAnsi="Times New Roman" w:cs="Times New Roman"/>
                <w:noProof/>
                <w:color w:val="000000" w:themeColor="text1"/>
                <w:sz w:val="24"/>
                <w:szCs w:val="24"/>
              </w:rPr>
              <w:t>Question 2</w:t>
            </w:r>
            <w:r w:rsidR="007459A7" w:rsidRPr="007459A7">
              <w:rPr>
                <w:rFonts w:ascii="Times New Roman" w:hAnsi="Times New Roman" w:cs="Times New Roman"/>
                <w:noProof/>
                <w:webHidden/>
                <w:color w:val="000000" w:themeColor="text1"/>
                <w:sz w:val="24"/>
                <w:szCs w:val="24"/>
              </w:rPr>
              <w:tab/>
            </w:r>
            <w:r w:rsidR="007459A7" w:rsidRPr="007459A7">
              <w:rPr>
                <w:rFonts w:ascii="Times New Roman" w:hAnsi="Times New Roman" w:cs="Times New Roman"/>
                <w:noProof/>
                <w:webHidden/>
                <w:color w:val="000000" w:themeColor="text1"/>
                <w:sz w:val="24"/>
                <w:szCs w:val="24"/>
              </w:rPr>
              <w:fldChar w:fldCharType="begin"/>
            </w:r>
            <w:r w:rsidR="007459A7" w:rsidRPr="007459A7">
              <w:rPr>
                <w:rFonts w:ascii="Times New Roman" w:hAnsi="Times New Roman" w:cs="Times New Roman"/>
                <w:noProof/>
                <w:webHidden/>
                <w:color w:val="000000" w:themeColor="text1"/>
                <w:sz w:val="24"/>
                <w:szCs w:val="24"/>
              </w:rPr>
              <w:instrText xml:space="preserve"> PAGEREF _Toc153956208 \h </w:instrText>
            </w:r>
            <w:r w:rsidR="007459A7" w:rsidRPr="007459A7">
              <w:rPr>
                <w:rFonts w:ascii="Times New Roman" w:hAnsi="Times New Roman" w:cs="Times New Roman"/>
                <w:noProof/>
                <w:webHidden/>
                <w:color w:val="000000" w:themeColor="text1"/>
                <w:sz w:val="24"/>
                <w:szCs w:val="24"/>
              </w:rPr>
            </w:r>
            <w:r w:rsidR="007459A7" w:rsidRPr="007459A7">
              <w:rPr>
                <w:rFonts w:ascii="Times New Roman" w:hAnsi="Times New Roman" w:cs="Times New Roman"/>
                <w:noProof/>
                <w:webHidden/>
                <w:color w:val="000000" w:themeColor="text1"/>
                <w:sz w:val="24"/>
                <w:szCs w:val="24"/>
              </w:rPr>
              <w:fldChar w:fldCharType="separate"/>
            </w:r>
            <w:r w:rsidR="007459A7" w:rsidRPr="007459A7">
              <w:rPr>
                <w:rFonts w:ascii="Times New Roman" w:hAnsi="Times New Roman" w:cs="Times New Roman"/>
                <w:noProof/>
                <w:webHidden/>
                <w:color w:val="000000" w:themeColor="text1"/>
                <w:sz w:val="24"/>
                <w:szCs w:val="24"/>
              </w:rPr>
              <w:t>7</w:t>
            </w:r>
            <w:r w:rsidR="007459A7" w:rsidRPr="007459A7">
              <w:rPr>
                <w:rFonts w:ascii="Times New Roman" w:hAnsi="Times New Roman" w:cs="Times New Roman"/>
                <w:noProof/>
                <w:webHidden/>
                <w:color w:val="000000" w:themeColor="text1"/>
                <w:sz w:val="24"/>
                <w:szCs w:val="24"/>
              </w:rPr>
              <w:fldChar w:fldCharType="end"/>
            </w:r>
          </w:hyperlink>
        </w:p>
        <w:p w14:paraId="6D282E9B" w14:textId="73CC2465" w:rsidR="007459A7" w:rsidRPr="007459A7" w:rsidRDefault="00D6416E">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53956209" w:history="1">
            <w:r w:rsidR="007459A7" w:rsidRPr="007459A7">
              <w:rPr>
                <w:rStyle w:val="Hyperlink"/>
                <w:rFonts w:ascii="Times New Roman" w:hAnsi="Times New Roman" w:cs="Times New Roman"/>
                <w:noProof/>
                <w:color w:val="000000" w:themeColor="text1"/>
                <w:sz w:val="24"/>
                <w:szCs w:val="24"/>
              </w:rPr>
              <w:t>Question 3</w:t>
            </w:r>
            <w:r w:rsidR="007459A7" w:rsidRPr="007459A7">
              <w:rPr>
                <w:rFonts w:ascii="Times New Roman" w:hAnsi="Times New Roman" w:cs="Times New Roman"/>
                <w:noProof/>
                <w:webHidden/>
                <w:color w:val="000000" w:themeColor="text1"/>
                <w:sz w:val="24"/>
                <w:szCs w:val="24"/>
              </w:rPr>
              <w:tab/>
            </w:r>
            <w:r w:rsidR="007459A7" w:rsidRPr="007459A7">
              <w:rPr>
                <w:rFonts w:ascii="Times New Roman" w:hAnsi="Times New Roman" w:cs="Times New Roman"/>
                <w:noProof/>
                <w:webHidden/>
                <w:color w:val="000000" w:themeColor="text1"/>
                <w:sz w:val="24"/>
                <w:szCs w:val="24"/>
              </w:rPr>
              <w:fldChar w:fldCharType="begin"/>
            </w:r>
            <w:r w:rsidR="007459A7" w:rsidRPr="007459A7">
              <w:rPr>
                <w:rFonts w:ascii="Times New Roman" w:hAnsi="Times New Roman" w:cs="Times New Roman"/>
                <w:noProof/>
                <w:webHidden/>
                <w:color w:val="000000" w:themeColor="text1"/>
                <w:sz w:val="24"/>
                <w:szCs w:val="24"/>
              </w:rPr>
              <w:instrText xml:space="preserve"> PAGEREF _Toc153956209 \h </w:instrText>
            </w:r>
            <w:r w:rsidR="007459A7" w:rsidRPr="007459A7">
              <w:rPr>
                <w:rFonts w:ascii="Times New Roman" w:hAnsi="Times New Roman" w:cs="Times New Roman"/>
                <w:noProof/>
                <w:webHidden/>
                <w:color w:val="000000" w:themeColor="text1"/>
                <w:sz w:val="24"/>
                <w:szCs w:val="24"/>
              </w:rPr>
            </w:r>
            <w:r w:rsidR="007459A7" w:rsidRPr="007459A7">
              <w:rPr>
                <w:rFonts w:ascii="Times New Roman" w:hAnsi="Times New Roman" w:cs="Times New Roman"/>
                <w:noProof/>
                <w:webHidden/>
                <w:color w:val="000000" w:themeColor="text1"/>
                <w:sz w:val="24"/>
                <w:szCs w:val="24"/>
              </w:rPr>
              <w:fldChar w:fldCharType="separate"/>
            </w:r>
            <w:r w:rsidR="007459A7" w:rsidRPr="007459A7">
              <w:rPr>
                <w:rFonts w:ascii="Times New Roman" w:hAnsi="Times New Roman" w:cs="Times New Roman"/>
                <w:noProof/>
                <w:webHidden/>
                <w:color w:val="000000" w:themeColor="text1"/>
                <w:sz w:val="24"/>
                <w:szCs w:val="24"/>
              </w:rPr>
              <w:t>8</w:t>
            </w:r>
            <w:r w:rsidR="007459A7" w:rsidRPr="007459A7">
              <w:rPr>
                <w:rFonts w:ascii="Times New Roman" w:hAnsi="Times New Roman" w:cs="Times New Roman"/>
                <w:noProof/>
                <w:webHidden/>
                <w:color w:val="000000" w:themeColor="text1"/>
                <w:sz w:val="24"/>
                <w:szCs w:val="24"/>
              </w:rPr>
              <w:fldChar w:fldCharType="end"/>
            </w:r>
          </w:hyperlink>
        </w:p>
        <w:p w14:paraId="3990F3F5" w14:textId="2984B902" w:rsidR="007459A7" w:rsidRPr="007459A7" w:rsidRDefault="00D6416E">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53956210" w:history="1">
            <w:r w:rsidR="007459A7" w:rsidRPr="007459A7">
              <w:rPr>
                <w:rStyle w:val="Hyperlink"/>
                <w:rFonts w:ascii="Times New Roman" w:hAnsi="Times New Roman" w:cs="Times New Roman"/>
                <w:noProof/>
                <w:color w:val="000000" w:themeColor="text1"/>
                <w:sz w:val="24"/>
                <w:szCs w:val="24"/>
              </w:rPr>
              <w:t>Conclusion</w:t>
            </w:r>
            <w:r w:rsidR="007459A7" w:rsidRPr="007459A7">
              <w:rPr>
                <w:rFonts w:ascii="Times New Roman" w:hAnsi="Times New Roman" w:cs="Times New Roman"/>
                <w:noProof/>
                <w:webHidden/>
                <w:color w:val="000000" w:themeColor="text1"/>
                <w:sz w:val="24"/>
                <w:szCs w:val="24"/>
              </w:rPr>
              <w:tab/>
            </w:r>
            <w:r w:rsidR="007459A7" w:rsidRPr="007459A7">
              <w:rPr>
                <w:rFonts w:ascii="Times New Roman" w:hAnsi="Times New Roman" w:cs="Times New Roman"/>
                <w:noProof/>
                <w:webHidden/>
                <w:color w:val="000000" w:themeColor="text1"/>
                <w:sz w:val="24"/>
                <w:szCs w:val="24"/>
              </w:rPr>
              <w:fldChar w:fldCharType="begin"/>
            </w:r>
            <w:r w:rsidR="007459A7" w:rsidRPr="007459A7">
              <w:rPr>
                <w:rFonts w:ascii="Times New Roman" w:hAnsi="Times New Roman" w:cs="Times New Roman"/>
                <w:noProof/>
                <w:webHidden/>
                <w:color w:val="000000" w:themeColor="text1"/>
                <w:sz w:val="24"/>
                <w:szCs w:val="24"/>
              </w:rPr>
              <w:instrText xml:space="preserve"> PAGEREF _Toc153956210 \h </w:instrText>
            </w:r>
            <w:r w:rsidR="007459A7" w:rsidRPr="007459A7">
              <w:rPr>
                <w:rFonts w:ascii="Times New Roman" w:hAnsi="Times New Roman" w:cs="Times New Roman"/>
                <w:noProof/>
                <w:webHidden/>
                <w:color w:val="000000" w:themeColor="text1"/>
                <w:sz w:val="24"/>
                <w:szCs w:val="24"/>
              </w:rPr>
            </w:r>
            <w:r w:rsidR="007459A7" w:rsidRPr="007459A7">
              <w:rPr>
                <w:rFonts w:ascii="Times New Roman" w:hAnsi="Times New Roman" w:cs="Times New Roman"/>
                <w:noProof/>
                <w:webHidden/>
                <w:color w:val="000000" w:themeColor="text1"/>
                <w:sz w:val="24"/>
                <w:szCs w:val="24"/>
              </w:rPr>
              <w:fldChar w:fldCharType="separate"/>
            </w:r>
            <w:r w:rsidR="007459A7" w:rsidRPr="007459A7">
              <w:rPr>
                <w:rFonts w:ascii="Times New Roman" w:hAnsi="Times New Roman" w:cs="Times New Roman"/>
                <w:noProof/>
                <w:webHidden/>
                <w:color w:val="000000" w:themeColor="text1"/>
                <w:sz w:val="24"/>
                <w:szCs w:val="24"/>
              </w:rPr>
              <w:t>11</w:t>
            </w:r>
            <w:r w:rsidR="007459A7" w:rsidRPr="007459A7">
              <w:rPr>
                <w:rFonts w:ascii="Times New Roman" w:hAnsi="Times New Roman" w:cs="Times New Roman"/>
                <w:noProof/>
                <w:webHidden/>
                <w:color w:val="000000" w:themeColor="text1"/>
                <w:sz w:val="24"/>
                <w:szCs w:val="24"/>
              </w:rPr>
              <w:fldChar w:fldCharType="end"/>
            </w:r>
          </w:hyperlink>
        </w:p>
        <w:p w14:paraId="08EBDD64" w14:textId="6264A408" w:rsidR="007459A7" w:rsidRPr="007459A7" w:rsidRDefault="00D6416E">
          <w:pPr>
            <w:pStyle w:val="TOC1"/>
            <w:tabs>
              <w:tab w:val="right" w:leader="dot" w:pos="9350"/>
            </w:tabs>
            <w:rPr>
              <w:rFonts w:ascii="Times New Roman" w:eastAsiaTheme="minorEastAsia" w:hAnsi="Times New Roman" w:cs="Times New Roman"/>
              <w:noProof/>
              <w:color w:val="000000" w:themeColor="text1"/>
              <w:sz w:val="24"/>
              <w:szCs w:val="24"/>
              <w:lang w:val="en-IN"/>
            </w:rPr>
          </w:pPr>
          <w:hyperlink w:anchor="_Toc153956211" w:history="1">
            <w:r w:rsidR="007459A7" w:rsidRPr="007459A7">
              <w:rPr>
                <w:rStyle w:val="Hyperlink"/>
                <w:rFonts w:ascii="Times New Roman" w:hAnsi="Times New Roman" w:cs="Times New Roman"/>
                <w:noProof/>
                <w:color w:val="000000" w:themeColor="text1"/>
                <w:sz w:val="24"/>
                <w:szCs w:val="24"/>
              </w:rPr>
              <w:t>References</w:t>
            </w:r>
            <w:r w:rsidR="007459A7" w:rsidRPr="007459A7">
              <w:rPr>
                <w:rFonts w:ascii="Times New Roman" w:hAnsi="Times New Roman" w:cs="Times New Roman"/>
                <w:noProof/>
                <w:webHidden/>
                <w:color w:val="000000" w:themeColor="text1"/>
                <w:sz w:val="24"/>
                <w:szCs w:val="24"/>
              </w:rPr>
              <w:tab/>
            </w:r>
            <w:r w:rsidR="007459A7" w:rsidRPr="007459A7">
              <w:rPr>
                <w:rFonts w:ascii="Times New Roman" w:hAnsi="Times New Roman" w:cs="Times New Roman"/>
                <w:noProof/>
                <w:webHidden/>
                <w:color w:val="000000" w:themeColor="text1"/>
                <w:sz w:val="24"/>
                <w:szCs w:val="24"/>
              </w:rPr>
              <w:fldChar w:fldCharType="begin"/>
            </w:r>
            <w:r w:rsidR="007459A7" w:rsidRPr="007459A7">
              <w:rPr>
                <w:rFonts w:ascii="Times New Roman" w:hAnsi="Times New Roman" w:cs="Times New Roman"/>
                <w:noProof/>
                <w:webHidden/>
                <w:color w:val="000000" w:themeColor="text1"/>
                <w:sz w:val="24"/>
                <w:szCs w:val="24"/>
              </w:rPr>
              <w:instrText xml:space="preserve"> PAGEREF _Toc153956211 \h </w:instrText>
            </w:r>
            <w:r w:rsidR="007459A7" w:rsidRPr="007459A7">
              <w:rPr>
                <w:rFonts w:ascii="Times New Roman" w:hAnsi="Times New Roman" w:cs="Times New Roman"/>
                <w:noProof/>
                <w:webHidden/>
                <w:color w:val="000000" w:themeColor="text1"/>
                <w:sz w:val="24"/>
                <w:szCs w:val="24"/>
              </w:rPr>
            </w:r>
            <w:r w:rsidR="007459A7" w:rsidRPr="007459A7">
              <w:rPr>
                <w:rFonts w:ascii="Times New Roman" w:hAnsi="Times New Roman" w:cs="Times New Roman"/>
                <w:noProof/>
                <w:webHidden/>
                <w:color w:val="000000" w:themeColor="text1"/>
                <w:sz w:val="24"/>
                <w:szCs w:val="24"/>
              </w:rPr>
              <w:fldChar w:fldCharType="separate"/>
            </w:r>
            <w:r w:rsidR="007459A7" w:rsidRPr="007459A7">
              <w:rPr>
                <w:rFonts w:ascii="Times New Roman" w:hAnsi="Times New Roman" w:cs="Times New Roman"/>
                <w:noProof/>
                <w:webHidden/>
                <w:color w:val="000000" w:themeColor="text1"/>
                <w:sz w:val="24"/>
                <w:szCs w:val="24"/>
              </w:rPr>
              <w:t>12</w:t>
            </w:r>
            <w:r w:rsidR="007459A7" w:rsidRPr="007459A7">
              <w:rPr>
                <w:rFonts w:ascii="Times New Roman" w:hAnsi="Times New Roman" w:cs="Times New Roman"/>
                <w:noProof/>
                <w:webHidden/>
                <w:color w:val="000000" w:themeColor="text1"/>
                <w:sz w:val="24"/>
                <w:szCs w:val="24"/>
              </w:rPr>
              <w:fldChar w:fldCharType="end"/>
            </w:r>
          </w:hyperlink>
        </w:p>
        <w:p w14:paraId="43594249" w14:textId="5B990192" w:rsidR="00256D10" w:rsidRPr="00256D10" w:rsidRDefault="00256D10" w:rsidP="00256D10">
          <w:pPr>
            <w:spacing w:before="240" w:after="240" w:line="360" w:lineRule="auto"/>
            <w:jc w:val="both"/>
            <w:rPr>
              <w:rFonts w:ascii="Times New Roman" w:hAnsi="Times New Roman"/>
              <w:color w:val="000000" w:themeColor="text1"/>
              <w:sz w:val="24"/>
            </w:rPr>
          </w:pPr>
          <w:r w:rsidRPr="007459A7">
            <w:rPr>
              <w:rFonts w:ascii="Times New Roman" w:hAnsi="Times New Roman" w:cs="Times New Roman"/>
              <w:noProof/>
              <w:color w:val="000000" w:themeColor="text1"/>
              <w:sz w:val="24"/>
              <w:szCs w:val="24"/>
            </w:rPr>
            <w:fldChar w:fldCharType="end"/>
          </w:r>
        </w:p>
      </w:sdtContent>
    </w:sdt>
    <w:p w14:paraId="065D3F1F" w14:textId="77777777" w:rsidR="0019390E" w:rsidRPr="00256D10" w:rsidRDefault="0019390E" w:rsidP="00256D10">
      <w:pPr>
        <w:spacing w:before="240" w:after="240" w:line="360" w:lineRule="auto"/>
        <w:jc w:val="both"/>
        <w:rPr>
          <w:rFonts w:ascii="Times New Roman" w:eastAsia="Times New Roman" w:hAnsi="Times New Roman" w:cs="Times New Roman"/>
          <w:b/>
          <w:color w:val="000000" w:themeColor="text1"/>
          <w:sz w:val="24"/>
          <w:szCs w:val="28"/>
        </w:rPr>
      </w:pPr>
      <w:r w:rsidRPr="00256D10">
        <w:rPr>
          <w:rFonts w:ascii="Times New Roman" w:eastAsia="Times New Roman" w:hAnsi="Times New Roman" w:cs="Times New Roman"/>
          <w:b/>
          <w:color w:val="000000" w:themeColor="text1"/>
          <w:sz w:val="24"/>
          <w:szCs w:val="28"/>
        </w:rPr>
        <w:br w:type="page"/>
      </w:r>
    </w:p>
    <w:p w14:paraId="00000009" w14:textId="6E13BD97" w:rsidR="00914DDA" w:rsidRPr="00256D10" w:rsidRDefault="005D3DBE" w:rsidP="00256D10">
      <w:pPr>
        <w:pStyle w:val="Heading1"/>
        <w:spacing w:before="240" w:after="240" w:line="360" w:lineRule="auto"/>
        <w:jc w:val="both"/>
        <w:rPr>
          <w:rFonts w:ascii="Times New Roman" w:hAnsi="Times New Roman"/>
          <w:b/>
          <w:bCs/>
          <w:color w:val="000000" w:themeColor="text1"/>
          <w:sz w:val="24"/>
        </w:rPr>
      </w:pPr>
      <w:bookmarkStart w:id="0" w:name="_Toc153956206"/>
      <w:r w:rsidRPr="00256D10">
        <w:rPr>
          <w:rFonts w:ascii="Times New Roman" w:hAnsi="Times New Roman"/>
          <w:b/>
          <w:bCs/>
          <w:color w:val="000000" w:themeColor="text1"/>
          <w:sz w:val="24"/>
        </w:rPr>
        <w:lastRenderedPageBreak/>
        <w:t>Introduction</w:t>
      </w:r>
      <w:bookmarkEnd w:id="0"/>
      <w:r w:rsidRPr="00256D10">
        <w:rPr>
          <w:rFonts w:ascii="Times New Roman" w:hAnsi="Times New Roman"/>
          <w:b/>
          <w:bCs/>
          <w:color w:val="000000" w:themeColor="text1"/>
          <w:sz w:val="24"/>
        </w:rPr>
        <w:t xml:space="preserve"> </w:t>
      </w:r>
    </w:p>
    <w:p w14:paraId="0000000A" w14:textId="12C6C22C" w:rsidR="00914DDA" w:rsidRPr="00256D10" w:rsidRDefault="005D3DBE" w:rsidP="00256D10">
      <w:pPr>
        <w:spacing w:before="240" w:after="240" w:line="360" w:lineRule="auto"/>
        <w:jc w:val="both"/>
        <w:rPr>
          <w:rFonts w:ascii="Times New Roman" w:eastAsia="Times New Roman" w:hAnsi="Times New Roman" w:cs="Times New Roman"/>
          <w:color w:val="000000" w:themeColor="text1"/>
          <w:sz w:val="24"/>
          <w:szCs w:val="24"/>
        </w:rPr>
      </w:pPr>
      <w:r w:rsidRPr="00256D10">
        <w:rPr>
          <w:rFonts w:ascii="Times New Roman" w:eastAsia="Times New Roman" w:hAnsi="Times New Roman" w:cs="Times New Roman"/>
          <w:color w:val="000000" w:themeColor="text1"/>
          <w:sz w:val="24"/>
          <w:szCs w:val="24"/>
        </w:rPr>
        <w:t xml:space="preserve">Accounting is the procedure of recording financial statements which significantly pertain towards the business. This accounting procedure mainly involves reporting, </w:t>
      </w:r>
      <w:r w:rsidR="00C5129B" w:rsidRPr="00256D10">
        <w:rPr>
          <w:rFonts w:ascii="Times New Roman" w:eastAsia="Times New Roman" w:hAnsi="Times New Roman" w:cs="Times New Roman"/>
          <w:color w:val="000000" w:themeColor="text1"/>
          <w:sz w:val="24"/>
          <w:szCs w:val="24"/>
        </w:rPr>
        <w:t>analyzing</w:t>
      </w:r>
      <w:r w:rsidRPr="00256D10">
        <w:rPr>
          <w:rFonts w:ascii="Times New Roman" w:eastAsia="Times New Roman" w:hAnsi="Times New Roman" w:cs="Times New Roman"/>
          <w:color w:val="000000" w:themeColor="text1"/>
          <w:sz w:val="24"/>
          <w:szCs w:val="24"/>
        </w:rPr>
        <w:t xml:space="preserve"> and </w:t>
      </w:r>
      <w:r w:rsidR="00C5129B" w:rsidRPr="00256D10">
        <w:rPr>
          <w:rFonts w:ascii="Times New Roman" w:eastAsia="Times New Roman" w:hAnsi="Times New Roman" w:cs="Times New Roman"/>
          <w:color w:val="000000" w:themeColor="text1"/>
          <w:sz w:val="24"/>
          <w:szCs w:val="24"/>
        </w:rPr>
        <w:t>summarizing</w:t>
      </w:r>
      <w:r w:rsidRPr="00256D10">
        <w:rPr>
          <w:rFonts w:ascii="Times New Roman" w:eastAsia="Times New Roman" w:hAnsi="Times New Roman" w:cs="Times New Roman"/>
          <w:color w:val="000000" w:themeColor="text1"/>
          <w:sz w:val="24"/>
          <w:szCs w:val="24"/>
        </w:rPr>
        <w:t xml:space="preserve"> that transaction for effectively overseeing the tax collection entities, regulations and agencies. The financial statement </w:t>
      </w:r>
      <w:r w:rsidR="00C5129B" w:rsidRPr="00256D10">
        <w:rPr>
          <w:rFonts w:ascii="Times New Roman" w:eastAsia="Times New Roman" w:hAnsi="Times New Roman" w:cs="Times New Roman"/>
          <w:color w:val="000000" w:themeColor="text1"/>
          <w:sz w:val="24"/>
          <w:szCs w:val="24"/>
        </w:rPr>
        <w:t>utilized</w:t>
      </w:r>
      <w:r w:rsidRPr="00256D10">
        <w:rPr>
          <w:rFonts w:ascii="Times New Roman" w:eastAsia="Times New Roman" w:hAnsi="Times New Roman" w:cs="Times New Roman"/>
          <w:color w:val="000000" w:themeColor="text1"/>
          <w:sz w:val="24"/>
          <w:szCs w:val="24"/>
        </w:rPr>
        <w:t xml:space="preserve"> in this accounting is the brief summary of the financial transaction across the accounting period, significantly briefing the overall operation of the company, cash flows and financial position. Accounting is the key function concerning all kinds of businesses. The reports mainly generated through the different accounting streams such a managerial accounting and cost accounting are invaluable for helping management in order to make better business decisions. Accounting plays a vital role in properly running a business as it assists in tracking expenditure and income, providing government, management and investors quantitative financial information besides ensuring statutory compliance (Weygandt</w:t>
      </w:r>
      <w:r w:rsidR="0019390E" w:rsidRPr="00256D10">
        <w:rPr>
          <w:rFonts w:ascii="Times New Roman" w:eastAsia="Times New Roman" w:hAnsi="Times New Roman" w:cs="Times New Roman"/>
          <w:color w:val="000000" w:themeColor="text1"/>
          <w:sz w:val="24"/>
          <w:szCs w:val="24"/>
        </w:rPr>
        <w:t>,</w:t>
      </w:r>
      <w:r w:rsidRPr="00256D10">
        <w:rPr>
          <w:rFonts w:ascii="Times New Roman" w:eastAsia="Times New Roman" w:hAnsi="Times New Roman" w:cs="Times New Roman"/>
          <w:color w:val="000000" w:themeColor="text1"/>
          <w:sz w:val="24"/>
          <w:szCs w:val="24"/>
        </w:rPr>
        <w:t xml:space="preserve"> et al. 2020). Some of the vital objectives or fundamentals of accounting are analysis, reporting and record-keeping. One of the crucial accounting fundamentals involves record keeping which is the main function of accounting. An organization should properly utilize a standard form of retaining and storing information, hence it could effectively retrieve the demands when it would arise. Financial reporting is further the key accounting fundamentals after the record keeping. It includes putting together all the detailed transactions besides the necessary reports. However, this essay will identify various kinds of standards and concepts for collecting the perception regarding account statements and rules.in this study, an income statement will be prepared concerning Wales Plc. during the financial year of 2022 besides reflecting their overall financial performance. Aside from this, multiple financial ratios will be calculated regarding Sweet Plc. to compare the monetary achievements besides the drawbacks between 2021 and 2022. </w:t>
      </w:r>
    </w:p>
    <w:p w14:paraId="0CF7A021" w14:textId="77777777" w:rsidR="0019390E" w:rsidRPr="00256D10" w:rsidRDefault="0019390E" w:rsidP="00256D10">
      <w:pPr>
        <w:spacing w:before="240" w:after="240" w:line="360" w:lineRule="auto"/>
        <w:jc w:val="both"/>
        <w:rPr>
          <w:rFonts w:ascii="Times New Roman" w:eastAsia="Times New Roman" w:hAnsi="Times New Roman" w:cs="Times New Roman"/>
          <w:b/>
          <w:color w:val="000000" w:themeColor="text1"/>
          <w:sz w:val="24"/>
          <w:szCs w:val="28"/>
        </w:rPr>
      </w:pPr>
      <w:r w:rsidRPr="00256D10">
        <w:rPr>
          <w:rFonts w:ascii="Times New Roman" w:eastAsia="Times New Roman" w:hAnsi="Times New Roman" w:cs="Times New Roman"/>
          <w:b/>
          <w:color w:val="000000" w:themeColor="text1"/>
          <w:sz w:val="24"/>
          <w:szCs w:val="28"/>
        </w:rPr>
        <w:br w:type="page"/>
      </w:r>
    </w:p>
    <w:p w14:paraId="0000000B" w14:textId="11ABF58B" w:rsidR="00914DDA" w:rsidRPr="00256D10" w:rsidRDefault="005D3DBE" w:rsidP="00256D10">
      <w:pPr>
        <w:pStyle w:val="Heading1"/>
        <w:spacing w:before="240" w:after="240" w:line="360" w:lineRule="auto"/>
        <w:jc w:val="both"/>
        <w:rPr>
          <w:rFonts w:ascii="Times New Roman" w:hAnsi="Times New Roman"/>
          <w:b/>
          <w:bCs/>
          <w:color w:val="000000" w:themeColor="text1"/>
          <w:sz w:val="24"/>
        </w:rPr>
      </w:pPr>
      <w:bookmarkStart w:id="1" w:name="_Toc153956207"/>
      <w:r w:rsidRPr="00256D10">
        <w:rPr>
          <w:rFonts w:ascii="Times New Roman" w:hAnsi="Times New Roman"/>
          <w:b/>
          <w:bCs/>
          <w:color w:val="000000" w:themeColor="text1"/>
          <w:sz w:val="24"/>
        </w:rPr>
        <w:lastRenderedPageBreak/>
        <w:t>Question 1</w:t>
      </w:r>
      <w:bookmarkEnd w:id="1"/>
    </w:p>
    <w:p w14:paraId="0000000C" w14:textId="1B772012" w:rsidR="00914DDA" w:rsidRPr="00256D10" w:rsidRDefault="005D3DBE" w:rsidP="00256D10">
      <w:pPr>
        <w:spacing w:before="240" w:after="240" w:line="360" w:lineRule="auto"/>
        <w:jc w:val="both"/>
        <w:rPr>
          <w:rFonts w:ascii="Times New Roman" w:eastAsia="Times New Roman" w:hAnsi="Times New Roman" w:cs="Times New Roman"/>
          <w:color w:val="000000" w:themeColor="text1"/>
          <w:sz w:val="24"/>
          <w:szCs w:val="24"/>
        </w:rPr>
      </w:pPr>
      <w:r w:rsidRPr="00256D10">
        <w:rPr>
          <w:rFonts w:ascii="Times New Roman" w:eastAsia="Times New Roman" w:hAnsi="Times New Roman" w:cs="Times New Roman"/>
          <w:color w:val="000000" w:themeColor="text1"/>
          <w:sz w:val="24"/>
          <w:szCs w:val="24"/>
        </w:rPr>
        <w:t xml:space="preserve">The statement of financial position is another concept of balance sheets. The statement list mainly involves equity, liabilities and assets regarding an organization as a report date. Furthermore, it also provides a short brief regarding the overall financial condition of a business as a partial date. It is one of the financial statements which is initially represented in the statement of cash flow and income statements (Hasanaj </w:t>
      </w:r>
      <w:r w:rsidR="0019390E" w:rsidRPr="00256D10">
        <w:rPr>
          <w:rFonts w:ascii="Times New Roman" w:eastAsia="Times New Roman" w:hAnsi="Times New Roman" w:cs="Times New Roman"/>
          <w:color w:val="000000" w:themeColor="text1"/>
          <w:sz w:val="24"/>
          <w:szCs w:val="24"/>
        </w:rPr>
        <w:t xml:space="preserve">&amp; </w:t>
      </w:r>
      <w:r w:rsidRPr="00256D10">
        <w:rPr>
          <w:rFonts w:ascii="Times New Roman" w:eastAsia="Times New Roman" w:hAnsi="Times New Roman" w:cs="Times New Roman"/>
          <w:color w:val="000000" w:themeColor="text1"/>
          <w:sz w:val="24"/>
          <w:szCs w:val="24"/>
        </w:rPr>
        <w:t xml:space="preserve">Kuqi, 2019). The financial statement which reflects the company's reflectivity is the main income statement. This statement of owner equity is further known as the “Statement of the retained earnings”. On the other hand, the balance sheets indicate the company's solvency bride the financial position. The cash flow statement effectively shows the cash outflows and inflows regarding the organization's specific period of time (Robinson, 2020). In short, financial statements are short reports in which the information gets obtained through the day-to-day bookkeeping activities regarding the bookkeepers and financial accounts. </w:t>
      </w:r>
    </w:p>
    <w:p w14:paraId="0000000D" w14:textId="00ADF192" w:rsidR="00914DDA" w:rsidRPr="00256D10" w:rsidRDefault="005D3DBE" w:rsidP="00256D10">
      <w:pPr>
        <w:spacing w:before="240" w:after="240" w:line="360" w:lineRule="auto"/>
        <w:jc w:val="both"/>
        <w:rPr>
          <w:rFonts w:ascii="Times New Roman" w:eastAsia="Times New Roman" w:hAnsi="Times New Roman" w:cs="Times New Roman"/>
          <w:color w:val="000000" w:themeColor="text1"/>
          <w:sz w:val="24"/>
          <w:szCs w:val="24"/>
        </w:rPr>
      </w:pPr>
      <w:r w:rsidRPr="00256D10">
        <w:rPr>
          <w:rFonts w:ascii="Times New Roman" w:eastAsia="Times New Roman" w:hAnsi="Times New Roman" w:cs="Times New Roman"/>
          <w:color w:val="000000" w:themeColor="text1"/>
          <w:sz w:val="24"/>
          <w:szCs w:val="24"/>
        </w:rPr>
        <w:t xml:space="preserve">An asset is the same kind of resource or items along with monetary values which a business effectively owns. The current assets are those kinds of assets which could be effectively converted within cash in a certain year such as accounts receivable or short-term investment returns. On the other hand, the non-current assets mainly indicate the longer-term assets along with a full value which </w:t>
      </w:r>
      <w:r w:rsidR="00C5129B" w:rsidRPr="00256D10">
        <w:rPr>
          <w:rFonts w:ascii="Times New Roman" w:eastAsia="Times New Roman" w:hAnsi="Times New Roman" w:cs="Times New Roman"/>
          <w:color w:val="000000" w:themeColor="text1"/>
          <w:sz w:val="24"/>
          <w:szCs w:val="24"/>
        </w:rPr>
        <w:t>cannot</w:t>
      </w:r>
      <w:r w:rsidRPr="00256D10">
        <w:rPr>
          <w:rFonts w:ascii="Times New Roman" w:eastAsia="Times New Roman" w:hAnsi="Times New Roman" w:cs="Times New Roman"/>
          <w:color w:val="000000" w:themeColor="text1"/>
          <w:sz w:val="24"/>
          <w:szCs w:val="24"/>
        </w:rPr>
        <w:t xml:space="preserve"> be recognizable unless after one year (</w:t>
      </w:r>
      <w:proofErr w:type="spellStart"/>
      <w:r w:rsidRPr="00256D10">
        <w:rPr>
          <w:rFonts w:ascii="Times New Roman" w:eastAsia="Times New Roman" w:hAnsi="Times New Roman" w:cs="Times New Roman"/>
          <w:color w:val="000000" w:themeColor="text1"/>
          <w:sz w:val="24"/>
          <w:szCs w:val="24"/>
        </w:rPr>
        <w:t>Duțescu</w:t>
      </w:r>
      <w:proofErr w:type="spellEnd"/>
      <w:r w:rsidRPr="00256D10">
        <w:rPr>
          <w:rFonts w:ascii="Times New Roman" w:eastAsia="Times New Roman" w:hAnsi="Times New Roman" w:cs="Times New Roman"/>
          <w:color w:val="000000" w:themeColor="text1"/>
          <w:sz w:val="24"/>
          <w:szCs w:val="24"/>
        </w:rPr>
        <w:t xml:space="preserve"> </w:t>
      </w:r>
      <w:r w:rsidR="0019390E" w:rsidRPr="00256D10">
        <w:rPr>
          <w:rFonts w:ascii="Times New Roman" w:eastAsia="Times New Roman" w:hAnsi="Times New Roman" w:cs="Times New Roman"/>
          <w:color w:val="000000" w:themeColor="text1"/>
          <w:sz w:val="24"/>
          <w:szCs w:val="24"/>
        </w:rPr>
        <w:t>&amp;</w:t>
      </w:r>
      <w:r w:rsidRPr="00256D10">
        <w:rPr>
          <w:rFonts w:ascii="Times New Roman" w:eastAsia="Times New Roman" w:hAnsi="Times New Roman" w:cs="Times New Roman"/>
          <w:color w:val="000000" w:themeColor="text1"/>
          <w:sz w:val="24"/>
          <w:szCs w:val="24"/>
        </w:rPr>
        <w:t xml:space="preserve"> </w:t>
      </w:r>
      <w:proofErr w:type="spellStart"/>
      <w:r w:rsidRPr="00256D10">
        <w:rPr>
          <w:rFonts w:ascii="Times New Roman" w:eastAsia="Times New Roman" w:hAnsi="Times New Roman" w:cs="Times New Roman"/>
          <w:color w:val="000000" w:themeColor="text1"/>
          <w:sz w:val="24"/>
          <w:szCs w:val="24"/>
        </w:rPr>
        <w:t>Duţescu</w:t>
      </w:r>
      <w:proofErr w:type="spellEnd"/>
      <w:r w:rsidRPr="00256D10">
        <w:rPr>
          <w:rFonts w:ascii="Times New Roman" w:eastAsia="Times New Roman" w:hAnsi="Times New Roman" w:cs="Times New Roman"/>
          <w:color w:val="000000" w:themeColor="text1"/>
          <w:sz w:val="24"/>
          <w:szCs w:val="24"/>
        </w:rPr>
        <w:t>, 2019). Non-current assets could be both intangible and tangible which indicate that thighs could physically touch resource which does not have physical forms. Current assets could be categorized as more liquid and liquid aspects depending on how rapidly an individual could convert those into amounts of cash (</w:t>
      </w:r>
      <w:proofErr w:type="spellStart"/>
      <w:r w:rsidRPr="00256D10">
        <w:rPr>
          <w:rFonts w:ascii="Times New Roman" w:eastAsia="Times New Roman" w:hAnsi="Times New Roman" w:cs="Times New Roman"/>
          <w:color w:val="000000" w:themeColor="text1"/>
          <w:sz w:val="24"/>
          <w:szCs w:val="24"/>
        </w:rPr>
        <w:t>Wokeh</w:t>
      </w:r>
      <w:proofErr w:type="spellEnd"/>
      <w:r w:rsidRPr="00256D10">
        <w:rPr>
          <w:rFonts w:ascii="Times New Roman" w:eastAsia="Times New Roman" w:hAnsi="Times New Roman" w:cs="Times New Roman"/>
          <w:color w:val="000000" w:themeColor="text1"/>
          <w:sz w:val="24"/>
          <w:szCs w:val="24"/>
        </w:rPr>
        <w:t xml:space="preserve">, 2023). In short, the non-current assets are significant long-term investments in which the full value would not be realized in an accounting year. They are initially highly illiquid meaning that those assets could be easily converted into cash. Some of the instances of non-current assets mainly involve equipment, real estate, intellectual property and investment. </w:t>
      </w:r>
    </w:p>
    <w:p w14:paraId="0000000E" w14:textId="4AC4A587" w:rsidR="00914DDA" w:rsidRPr="00256D10" w:rsidRDefault="005D3DBE" w:rsidP="00256D10">
      <w:pPr>
        <w:spacing w:before="240" w:after="240" w:line="360" w:lineRule="auto"/>
        <w:jc w:val="both"/>
        <w:rPr>
          <w:rFonts w:ascii="Times New Roman" w:eastAsia="Times New Roman" w:hAnsi="Times New Roman" w:cs="Times New Roman"/>
          <w:color w:val="000000" w:themeColor="text1"/>
          <w:sz w:val="24"/>
          <w:szCs w:val="24"/>
        </w:rPr>
      </w:pPr>
      <w:r w:rsidRPr="00256D10">
        <w:rPr>
          <w:rFonts w:ascii="Times New Roman" w:eastAsia="Times New Roman" w:hAnsi="Times New Roman" w:cs="Times New Roman"/>
          <w:color w:val="000000" w:themeColor="text1"/>
          <w:sz w:val="24"/>
          <w:szCs w:val="24"/>
        </w:rPr>
        <w:t xml:space="preserve">The financial statements give a brief regarding the corporation’s financial health in a specific period of time, providing core insights concerning its performance, overall condition, cash flow and operations. </w:t>
      </w:r>
      <w:r w:rsidR="0019390E" w:rsidRPr="00256D10">
        <w:rPr>
          <w:rFonts w:ascii="Times New Roman" w:eastAsia="Times New Roman" w:hAnsi="Times New Roman" w:cs="Times New Roman"/>
          <w:color w:val="000000" w:themeColor="text1"/>
          <w:sz w:val="24"/>
          <w:szCs w:val="24"/>
        </w:rPr>
        <w:t>Shareholder’s</w:t>
      </w:r>
      <w:r w:rsidRPr="00256D10">
        <w:rPr>
          <w:rFonts w:ascii="Times New Roman" w:eastAsia="Times New Roman" w:hAnsi="Times New Roman" w:cs="Times New Roman"/>
          <w:color w:val="000000" w:themeColor="text1"/>
          <w:sz w:val="24"/>
          <w:szCs w:val="24"/>
        </w:rPr>
        <w:t xml:space="preserve"> demand financial statements for an informed decision regarding equity investments, particularly when it comes for the period of corporate matters. There are different kinds of shareholders' tools which had their disposal for making equity implementations </w:t>
      </w:r>
      <w:r w:rsidRPr="00256D10">
        <w:rPr>
          <w:rFonts w:ascii="Times New Roman" w:eastAsia="Times New Roman" w:hAnsi="Times New Roman" w:cs="Times New Roman"/>
          <w:color w:val="000000" w:themeColor="text1"/>
          <w:sz w:val="24"/>
          <w:szCs w:val="24"/>
        </w:rPr>
        <w:lastRenderedPageBreak/>
        <w:t>(</w:t>
      </w:r>
      <w:proofErr w:type="spellStart"/>
      <w:r w:rsidRPr="00256D10">
        <w:rPr>
          <w:rFonts w:ascii="Times New Roman" w:eastAsia="Times New Roman" w:hAnsi="Times New Roman" w:cs="Times New Roman"/>
          <w:color w:val="000000" w:themeColor="text1"/>
          <w:sz w:val="24"/>
          <w:szCs w:val="24"/>
        </w:rPr>
        <w:t>Fridson</w:t>
      </w:r>
      <w:proofErr w:type="spellEnd"/>
      <w:r w:rsidRPr="00256D10">
        <w:rPr>
          <w:rFonts w:ascii="Times New Roman" w:eastAsia="Times New Roman" w:hAnsi="Times New Roman" w:cs="Times New Roman"/>
          <w:color w:val="000000" w:themeColor="text1"/>
          <w:sz w:val="24"/>
          <w:szCs w:val="24"/>
        </w:rPr>
        <w:t xml:space="preserve"> </w:t>
      </w:r>
      <w:r w:rsidR="0019390E" w:rsidRPr="00256D10">
        <w:rPr>
          <w:rFonts w:ascii="Times New Roman" w:eastAsia="Times New Roman" w:hAnsi="Times New Roman" w:cs="Times New Roman"/>
          <w:color w:val="000000" w:themeColor="text1"/>
          <w:sz w:val="24"/>
          <w:szCs w:val="24"/>
        </w:rPr>
        <w:t xml:space="preserve">&amp; </w:t>
      </w:r>
      <w:r w:rsidRPr="00256D10">
        <w:rPr>
          <w:rFonts w:ascii="Times New Roman" w:eastAsia="Times New Roman" w:hAnsi="Times New Roman" w:cs="Times New Roman"/>
          <w:color w:val="000000" w:themeColor="text1"/>
          <w:sz w:val="24"/>
          <w:szCs w:val="24"/>
        </w:rPr>
        <w:t xml:space="preserve">Alvarez, 2022). In order to make a much better decision, it is vital to properly analyze the overall stock utilizing measurement variety of instead of a few measurements. Some of the other metrics which are available mainly involve price ratios, efficiency ratios, debt ratios, liquidity ratios and profitability ratios.  </w:t>
      </w:r>
    </w:p>
    <w:p w14:paraId="0000000F" w14:textId="36E6AF3F" w:rsidR="00914DDA" w:rsidRPr="00256D10" w:rsidRDefault="005D3DBE" w:rsidP="00256D10">
      <w:pPr>
        <w:spacing w:before="240" w:after="240" w:line="360" w:lineRule="auto"/>
        <w:jc w:val="both"/>
        <w:rPr>
          <w:rFonts w:ascii="Times New Roman" w:eastAsia="Times New Roman" w:hAnsi="Times New Roman" w:cs="Times New Roman"/>
          <w:color w:val="000000" w:themeColor="text1"/>
          <w:sz w:val="24"/>
          <w:szCs w:val="24"/>
        </w:rPr>
      </w:pPr>
      <w:r w:rsidRPr="00256D10">
        <w:rPr>
          <w:rFonts w:ascii="Times New Roman" w:eastAsia="Times New Roman" w:hAnsi="Times New Roman" w:cs="Times New Roman"/>
          <w:color w:val="000000" w:themeColor="text1"/>
          <w:sz w:val="24"/>
          <w:szCs w:val="24"/>
        </w:rPr>
        <w:t>The statements regarding the financial position are mainly called the balance sheets which include both prepayments and accruals for understanding the accurate economic position of a company. An accrued expense further known as the accrued liabilities is an accounting term that refers towards expenses which are effectively recognized within the books even before it has been paid (Martini</w:t>
      </w:r>
      <w:r w:rsidR="0019390E" w:rsidRPr="00256D10">
        <w:rPr>
          <w:rFonts w:ascii="Times New Roman" w:eastAsia="Times New Roman" w:hAnsi="Times New Roman" w:cs="Times New Roman"/>
          <w:color w:val="000000" w:themeColor="text1"/>
          <w:sz w:val="24"/>
          <w:szCs w:val="24"/>
        </w:rPr>
        <w:t>,</w:t>
      </w:r>
      <w:r w:rsidRPr="00256D10">
        <w:rPr>
          <w:rFonts w:ascii="Times New Roman" w:eastAsia="Times New Roman" w:hAnsi="Times New Roman" w:cs="Times New Roman"/>
          <w:i/>
          <w:color w:val="000000" w:themeColor="text1"/>
          <w:sz w:val="24"/>
          <w:szCs w:val="24"/>
        </w:rPr>
        <w:t xml:space="preserve"> et al</w:t>
      </w:r>
      <w:r w:rsidRPr="00256D10">
        <w:rPr>
          <w:rFonts w:ascii="Times New Roman" w:eastAsia="Times New Roman" w:hAnsi="Times New Roman" w:cs="Times New Roman"/>
          <w:color w:val="000000" w:themeColor="text1"/>
          <w:sz w:val="24"/>
          <w:szCs w:val="24"/>
        </w:rPr>
        <w:t>.</w:t>
      </w:r>
      <w:r w:rsidR="0019390E" w:rsidRPr="00256D10">
        <w:rPr>
          <w:rFonts w:ascii="Times New Roman" w:eastAsia="Times New Roman" w:hAnsi="Times New Roman" w:cs="Times New Roman"/>
          <w:color w:val="000000" w:themeColor="text1"/>
          <w:sz w:val="24"/>
          <w:szCs w:val="24"/>
        </w:rPr>
        <w:t xml:space="preserve">, </w:t>
      </w:r>
      <w:r w:rsidRPr="00256D10">
        <w:rPr>
          <w:rFonts w:ascii="Times New Roman" w:eastAsia="Times New Roman" w:hAnsi="Times New Roman" w:cs="Times New Roman"/>
          <w:color w:val="000000" w:themeColor="text1"/>
          <w:sz w:val="24"/>
          <w:szCs w:val="24"/>
        </w:rPr>
        <w:t>2020). Accrued expenses mainly get recognized within the books while it would be incurred, not while it would get paid. Besides, accrual accounting demands many journal entities compared to the initial cash balance accounting. It provides a much more accurate financial picture compared to the cash basis accounting. As the accrued expenses mainly represent the company's obligations for making future cash payments, it could be shown in the company’s balance sheets regarding the current liabilities (</w:t>
      </w:r>
      <w:proofErr w:type="spellStart"/>
      <w:r w:rsidRPr="00256D10">
        <w:rPr>
          <w:rFonts w:ascii="Times New Roman" w:eastAsia="Times New Roman" w:hAnsi="Times New Roman" w:cs="Times New Roman"/>
          <w:color w:val="000000" w:themeColor="text1"/>
          <w:sz w:val="24"/>
          <w:szCs w:val="24"/>
        </w:rPr>
        <w:t>Christofzik</w:t>
      </w:r>
      <w:proofErr w:type="spellEnd"/>
      <w:r w:rsidRPr="00256D10">
        <w:rPr>
          <w:rFonts w:ascii="Times New Roman" w:eastAsia="Times New Roman" w:hAnsi="Times New Roman" w:cs="Times New Roman"/>
          <w:color w:val="000000" w:themeColor="text1"/>
          <w:sz w:val="24"/>
          <w:szCs w:val="24"/>
        </w:rPr>
        <w:t xml:space="preserve">, 2019). Thereby, there is no need to involve the accruals and prepayments within the statements of financial position.  </w:t>
      </w:r>
    </w:p>
    <w:p w14:paraId="00BD42C2" w14:textId="608DD2E6" w:rsidR="002175AF" w:rsidRPr="00256D10" w:rsidRDefault="005D3DBE" w:rsidP="00256D10">
      <w:pPr>
        <w:pStyle w:val="NormalWeb"/>
        <w:spacing w:before="240" w:beforeAutospacing="0" w:after="240" w:afterAutospacing="0" w:line="360" w:lineRule="auto"/>
        <w:jc w:val="both"/>
        <w:rPr>
          <w:color w:val="000000" w:themeColor="text1"/>
        </w:rPr>
      </w:pPr>
      <w:r w:rsidRPr="00256D10">
        <w:rPr>
          <w:color w:val="000000" w:themeColor="text1"/>
        </w:rPr>
        <w:t>Financial regulation mainly indicates the rules beside the law firms which operate within the financial industry such as assets managers, financial brokers, insurance companies, credit unions and banks. The financial industry must follow those financial regulations. However, financial regulation is much more about having rules within a certain place, it's further about the ongoing oversights besides the enforcement of those rules (Kliestik</w:t>
      </w:r>
      <w:r w:rsidR="0019390E" w:rsidRPr="00256D10">
        <w:rPr>
          <w:color w:val="000000" w:themeColor="text1"/>
        </w:rPr>
        <w:t>,</w:t>
      </w:r>
      <w:r w:rsidRPr="00256D10">
        <w:rPr>
          <w:color w:val="000000" w:themeColor="text1"/>
        </w:rPr>
        <w:t xml:space="preserve"> </w:t>
      </w:r>
      <w:r w:rsidRPr="00256D10">
        <w:rPr>
          <w:i/>
          <w:color w:val="000000" w:themeColor="text1"/>
        </w:rPr>
        <w:t>et al.</w:t>
      </w:r>
      <w:r w:rsidR="0019390E" w:rsidRPr="00256D10">
        <w:rPr>
          <w:i/>
          <w:color w:val="000000" w:themeColor="text1"/>
        </w:rPr>
        <w:t>,</w:t>
      </w:r>
      <w:r w:rsidRPr="00256D10">
        <w:rPr>
          <w:color w:val="000000" w:themeColor="text1"/>
        </w:rPr>
        <w:t xml:space="preserve"> 2020). A proper and well-functioning financial system is crucial for the consumers, businesses and the economy. Financial regulation is the portion of ensuring the soundness and safety of the financial system besides protecting the consumers. Poor and badly regulated financial institutions had the potential to undermine the financial system's stability. </w:t>
      </w:r>
      <w:r w:rsidR="002175AF" w:rsidRPr="00256D10">
        <w:rPr>
          <w:color w:val="000000" w:themeColor="text1"/>
        </w:rPr>
        <w:t>Financial regulations confirm the systematic and logical concepts and standards that companies should follow for assuring the relevance of their financial statements. It can be evaluated by accomplishing rules, regulations and protocols suggested through Generally Accepted Accounting Principles (</w:t>
      </w:r>
      <w:proofErr w:type="spellStart"/>
      <w:r w:rsidR="002175AF" w:rsidRPr="00256D10">
        <w:rPr>
          <w:color w:val="000000" w:themeColor="text1"/>
          <w:shd w:val="clear" w:color="auto" w:fill="FFFFFF"/>
        </w:rPr>
        <w:t>Papík</w:t>
      </w:r>
      <w:proofErr w:type="spellEnd"/>
      <w:r w:rsidR="002175AF" w:rsidRPr="00256D10">
        <w:rPr>
          <w:color w:val="000000" w:themeColor="text1"/>
          <w:shd w:val="clear" w:color="auto" w:fill="FFFFFF"/>
        </w:rPr>
        <w:t xml:space="preserve"> </w:t>
      </w:r>
      <w:r w:rsidR="0019390E" w:rsidRPr="00256D10">
        <w:rPr>
          <w:color w:val="000000" w:themeColor="text1"/>
          <w:shd w:val="clear" w:color="auto" w:fill="FFFFFF"/>
        </w:rPr>
        <w:t>&amp;</w:t>
      </w:r>
      <w:r w:rsidR="002175AF" w:rsidRPr="00256D10">
        <w:rPr>
          <w:color w:val="000000" w:themeColor="text1"/>
          <w:shd w:val="clear" w:color="auto" w:fill="FFFFFF"/>
        </w:rPr>
        <w:t xml:space="preserve"> </w:t>
      </w:r>
      <w:proofErr w:type="spellStart"/>
      <w:r w:rsidR="002175AF" w:rsidRPr="00256D10">
        <w:rPr>
          <w:color w:val="000000" w:themeColor="text1"/>
          <w:shd w:val="clear" w:color="auto" w:fill="FFFFFF"/>
        </w:rPr>
        <w:t>Papíková</w:t>
      </w:r>
      <w:proofErr w:type="spellEnd"/>
      <w:r w:rsidR="002175AF" w:rsidRPr="00256D10">
        <w:rPr>
          <w:color w:val="000000" w:themeColor="text1"/>
          <w:shd w:val="clear" w:color="auto" w:fill="FFFFFF"/>
        </w:rPr>
        <w:t>, 2022)</w:t>
      </w:r>
      <w:r w:rsidR="002175AF" w:rsidRPr="00256D10">
        <w:rPr>
          <w:color w:val="000000" w:themeColor="text1"/>
        </w:rPr>
        <w:t xml:space="preserve">. According to GAAP, four core principles are there which are the cost principle, the matching principle, the matching principle and the disclosure principle. Successful implementation of these four principles assists companies to establish the balance between assets, liabilities, expenses and gains which </w:t>
      </w:r>
      <w:r w:rsidR="002175AF" w:rsidRPr="00256D10">
        <w:rPr>
          <w:color w:val="000000" w:themeColor="text1"/>
        </w:rPr>
        <w:lastRenderedPageBreak/>
        <w:t>supports the accounting principles (</w:t>
      </w:r>
      <w:proofErr w:type="spellStart"/>
      <w:r w:rsidR="002175AF" w:rsidRPr="00256D10">
        <w:rPr>
          <w:color w:val="000000" w:themeColor="text1"/>
          <w:shd w:val="clear" w:color="auto" w:fill="FFFFFF"/>
        </w:rPr>
        <w:t>Nothhelfer</w:t>
      </w:r>
      <w:proofErr w:type="spellEnd"/>
      <w:r w:rsidR="002175AF" w:rsidRPr="00256D10">
        <w:rPr>
          <w:color w:val="000000" w:themeColor="text1"/>
          <w:shd w:val="clear" w:color="auto" w:fill="FFFFFF"/>
        </w:rPr>
        <w:t>, 2022)</w:t>
      </w:r>
      <w:r w:rsidR="002175AF" w:rsidRPr="00256D10">
        <w:rPr>
          <w:color w:val="000000" w:themeColor="text1"/>
        </w:rPr>
        <w:t>. The failure of introducing financial regulations harms the core aspect of businesses which is revenue recognition and deteriorates the decision-making process of the companies. Therefore, it is necessary to imply relevant financial regulations to manage the operational activities and conduct financial statement analysis to increase the profit volume. </w:t>
      </w:r>
    </w:p>
    <w:p w14:paraId="77B6B1B6" w14:textId="3BE0A6A2"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rPr>
        <w:t>Ledger accounts are maintained by firms to perform the transaction record process on a daily basis that depends on the traditional accounting golden rules. Similarly, the trial balance shows the accuracy and interpretation of the relevant transactions shown in the ledger accounts (</w:t>
      </w:r>
      <w:r w:rsidRPr="00256D10">
        <w:rPr>
          <w:color w:val="000000" w:themeColor="text1"/>
          <w:shd w:val="clear" w:color="auto" w:fill="FFFFFF"/>
        </w:rPr>
        <w:t>Weigand</w:t>
      </w:r>
      <w:r w:rsidR="0019390E" w:rsidRPr="00256D10">
        <w:rPr>
          <w:color w:val="000000" w:themeColor="text1"/>
          <w:shd w:val="clear" w:color="auto" w:fill="FFFFFF"/>
        </w:rPr>
        <w:t>,</w:t>
      </w:r>
      <w:r w:rsidRPr="00256D10">
        <w:rPr>
          <w:color w:val="000000" w:themeColor="text1"/>
          <w:shd w:val="clear" w:color="auto" w:fill="FFFFFF"/>
        </w:rPr>
        <w:t xml:space="preserve"> </w:t>
      </w:r>
      <w:r w:rsidRPr="00256D10">
        <w:rPr>
          <w:i/>
          <w:iCs/>
          <w:color w:val="000000" w:themeColor="text1"/>
          <w:shd w:val="clear" w:color="auto" w:fill="FFFFFF"/>
        </w:rPr>
        <w:t xml:space="preserve">et al., </w:t>
      </w:r>
      <w:r w:rsidRPr="00256D10">
        <w:rPr>
          <w:color w:val="000000" w:themeColor="text1"/>
          <w:shd w:val="clear" w:color="auto" w:fill="FFFFFF"/>
        </w:rPr>
        <w:t>2020)</w:t>
      </w:r>
      <w:r w:rsidRPr="00256D10">
        <w:rPr>
          <w:color w:val="000000" w:themeColor="text1"/>
        </w:rPr>
        <w:t>. Based on the double-entry system of accounting, the trial balance should be balanced by reflecting the debited and credited amounts that occurred in the ledger accounts. Both accounts are interconnected with the basic concept of dividing the debit and credit transactions which are </w:t>
      </w:r>
    </w:p>
    <w:p w14:paraId="36CC9DE3"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rPr>
        <w:t>1. Debit that comes in and Credit that goes out, </w:t>
      </w:r>
    </w:p>
    <w:p w14:paraId="62D1DBC3"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rPr>
        <w:t>2. Debit the receiver and Credit the giver, and </w:t>
      </w:r>
    </w:p>
    <w:p w14:paraId="27E8C0ED"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rPr>
        <w:t>3. All revenue or gains will be Credit and all expenses or losses will be Debit. </w:t>
      </w:r>
    </w:p>
    <w:p w14:paraId="273E0BF5"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rPr>
        <w:t>A ledger account is necessary for the companies that help in measuring the expenses or losses and revenues or earnings that occur on a daily basis. Simultaneously, the trial balance is generally used to reflect the gathering or loss within a particular month which can help in making balance sheets and income statements quarterly, half-yearly or annually. It can be confirmed that ledger accounts and trial balances are compulsory for the operating firms to generate the source of information for the annual financial statements. </w:t>
      </w:r>
    </w:p>
    <w:p w14:paraId="32852BC6" w14:textId="77777777" w:rsidR="0019390E" w:rsidRPr="00256D10" w:rsidRDefault="0019390E" w:rsidP="00256D10">
      <w:pPr>
        <w:spacing w:before="240" w:after="240" w:line="360" w:lineRule="auto"/>
        <w:jc w:val="both"/>
        <w:rPr>
          <w:rFonts w:ascii="Times New Roman" w:eastAsia="Times New Roman" w:hAnsi="Times New Roman" w:cs="Times New Roman"/>
          <w:b/>
          <w:bCs/>
          <w:color w:val="000000" w:themeColor="text1"/>
          <w:sz w:val="24"/>
          <w:szCs w:val="28"/>
          <w:lang w:val="en-IN"/>
        </w:rPr>
      </w:pPr>
      <w:r w:rsidRPr="00256D10">
        <w:rPr>
          <w:rFonts w:ascii="Times New Roman" w:hAnsi="Times New Roman"/>
          <w:b/>
          <w:bCs/>
          <w:color w:val="000000" w:themeColor="text1"/>
          <w:sz w:val="24"/>
          <w:szCs w:val="28"/>
        </w:rPr>
        <w:br w:type="page"/>
      </w:r>
    </w:p>
    <w:p w14:paraId="60C838EA" w14:textId="34656FF7" w:rsidR="002175AF" w:rsidRPr="00256D10" w:rsidRDefault="002175AF" w:rsidP="00256D10">
      <w:pPr>
        <w:pStyle w:val="Heading1"/>
        <w:spacing w:before="240" w:after="240" w:line="360" w:lineRule="auto"/>
        <w:jc w:val="both"/>
        <w:rPr>
          <w:rFonts w:ascii="Times New Roman" w:hAnsi="Times New Roman"/>
          <w:b/>
          <w:bCs/>
          <w:color w:val="000000" w:themeColor="text1"/>
          <w:sz w:val="24"/>
        </w:rPr>
      </w:pPr>
      <w:bookmarkStart w:id="2" w:name="_Toc153956208"/>
      <w:r w:rsidRPr="00256D10">
        <w:rPr>
          <w:rFonts w:ascii="Times New Roman" w:hAnsi="Times New Roman"/>
          <w:b/>
          <w:bCs/>
          <w:color w:val="000000" w:themeColor="text1"/>
          <w:sz w:val="24"/>
        </w:rPr>
        <w:lastRenderedPageBreak/>
        <w:t>Question 2</w:t>
      </w:r>
      <w:bookmarkEnd w:id="2"/>
      <w:r w:rsidRPr="00256D10">
        <w:rPr>
          <w:rFonts w:ascii="Times New Roman" w:hAnsi="Times New Roman"/>
          <w:b/>
          <w:bCs/>
          <w:color w:val="000000" w:themeColor="text1"/>
          <w:sz w:val="24"/>
        </w:rPr>
        <w:t> </w:t>
      </w:r>
    </w:p>
    <w:p w14:paraId="7C3C4CA9" w14:textId="39ED2AFD"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rPr>
        <w:t>In this section, a detailed income statement has been calculated to gather knowledge about the utilisation of profit in conducting the expenses by Wales Plc. An income statement shows the difference between the gross profit gained within a particular fiscal period with the operating cost that occurred during the business activities (</w:t>
      </w:r>
      <w:r w:rsidRPr="00256D10">
        <w:rPr>
          <w:color w:val="000000" w:themeColor="text1"/>
          <w:shd w:val="clear" w:color="auto" w:fill="FFFFFF"/>
        </w:rPr>
        <w:t>Barker</w:t>
      </w:r>
      <w:r w:rsidR="0019390E" w:rsidRPr="00256D10">
        <w:rPr>
          <w:color w:val="000000" w:themeColor="text1"/>
          <w:shd w:val="clear" w:color="auto" w:fill="FFFFFF"/>
        </w:rPr>
        <w:t>,</w:t>
      </w:r>
      <w:r w:rsidRPr="00256D10">
        <w:rPr>
          <w:color w:val="000000" w:themeColor="text1"/>
          <w:shd w:val="clear" w:color="auto" w:fill="FFFFFF"/>
        </w:rPr>
        <w:t xml:space="preserve"> </w:t>
      </w:r>
      <w:r w:rsidRPr="00256D10">
        <w:rPr>
          <w:i/>
          <w:iCs/>
          <w:color w:val="000000" w:themeColor="text1"/>
          <w:shd w:val="clear" w:color="auto" w:fill="FFFFFF"/>
        </w:rPr>
        <w:t xml:space="preserve">et al., </w:t>
      </w:r>
      <w:r w:rsidRPr="00256D10">
        <w:rPr>
          <w:color w:val="000000" w:themeColor="text1"/>
          <w:shd w:val="clear" w:color="auto" w:fill="FFFFFF"/>
        </w:rPr>
        <w:t>2020)</w:t>
      </w:r>
      <w:r w:rsidRPr="00256D10">
        <w:rPr>
          <w:color w:val="000000" w:themeColor="text1"/>
        </w:rPr>
        <w:t>. It relies on the amount of net income generated at the end of a particular period where a positive amount shows an income and a negative amount shows an operating loss. </w:t>
      </w:r>
    </w:p>
    <w:p w14:paraId="3055DF90" w14:textId="11595940" w:rsidR="002175AF" w:rsidRPr="00256D10" w:rsidRDefault="002175AF" w:rsidP="00256D10">
      <w:pPr>
        <w:pStyle w:val="NormalWeb"/>
        <w:spacing w:before="240" w:beforeAutospacing="0" w:after="240" w:afterAutospacing="0" w:line="360" w:lineRule="auto"/>
        <w:jc w:val="both"/>
        <w:rPr>
          <w:color w:val="000000" w:themeColor="text1"/>
        </w:rPr>
      </w:pPr>
      <w:r w:rsidRPr="00256D10">
        <w:rPr>
          <w:b/>
          <w:bCs/>
          <w:noProof/>
          <w:color w:val="000000" w:themeColor="text1"/>
          <w:bdr w:val="none" w:sz="0" w:space="0" w:color="auto" w:frame="1"/>
        </w:rPr>
        <w:drawing>
          <wp:inline distT="0" distB="0" distL="0" distR="0" wp14:anchorId="4E0192D1" wp14:editId="5A4B2F10">
            <wp:extent cx="4400550" cy="3486150"/>
            <wp:effectExtent l="0" t="0" r="0" b="0"/>
            <wp:docPr id="13140790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0550" cy="3486150"/>
                    </a:xfrm>
                    <a:prstGeom prst="rect">
                      <a:avLst/>
                    </a:prstGeom>
                    <a:noFill/>
                    <a:ln>
                      <a:noFill/>
                    </a:ln>
                  </pic:spPr>
                </pic:pic>
              </a:graphicData>
            </a:graphic>
          </wp:inline>
        </w:drawing>
      </w:r>
    </w:p>
    <w:p w14:paraId="696E6E01"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b/>
          <w:bCs/>
          <w:color w:val="000000" w:themeColor="text1"/>
        </w:rPr>
        <w:t>Figure 1: Income Statement for the year ended 31st December 2022 for Wales Plc. </w:t>
      </w:r>
    </w:p>
    <w:p w14:paraId="4C7EFC45"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rPr>
        <w:t>(Source: Excel)</w:t>
      </w:r>
    </w:p>
    <w:p w14:paraId="3EA0D016"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rPr>
        <w:t xml:space="preserve">The calculation determines the suitability and efficiency of the cost management team of Wales Plc as they generated a positive amount of income at the end of the financial year of 2022. The gross profit of the company after subtracting the cost of sales is £ 321350 confirming the efficient profit gained. On the other hand, the amount collected as net income or profit is £145850. It proves that Wales Plc is operating its business in an efficient way where they are collecting net income or surplus. As per the accounting standards, the company should utilise the surplus in the following </w:t>
      </w:r>
      <w:r w:rsidRPr="00256D10">
        <w:rPr>
          <w:color w:val="000000" w:themeColor="text1"/>
        </w:rPr>
        <w:lastRenderedPageBreak/>
        <w:t>years as the opening balance. Similarly, the company can also find alternative ways to maximise the cash inflow-related transactions which will generate more income in the future time period. </w:t>
      </w:r>
    </w:p>
    <w:p w14:paraId="3A5BC0D9" w14:textId="77777777" w:rsidR="002175AF" w:rsidRPr="00256D10" w:rsidRDefault="002175AF" w:rsidP="00256D10">
      <w:pPr>
        <w:pStyle w:val="Heading1"/>
        <w:spacing w:before="240" w:after="240" w:line="360" w:lineRule="auto"/>
        <w:jc w:val="both"/>
        <w:rPr>
          <w:rFonts w:ascii="Times New Roman" w:hAnsi="Times New Roman"/>
          <w:b/>
          <w:bCs/>
          <w:color w:val="000000" w:themeColor="text1"/>
          <w:sz w:val="24"/>
        </w:rPr>
      </w:pPr>
      <w:bookmarkStart w:id="3" w:name="_Toc153956209"/>
      <w:r w:rsidRPr="00256D10">
        <w:rPr>
          <w:rFonts w:ascii="Times New Roman" w:hAnsi="Times New Roman"/>
          <w:b/>
          <w:bCs/>
          <w:color w:val="000000" w:themeColor="text1"/>
          <w:sz w:val="24"/>
        </w:rPr>
        <w:t>Question 3</w:t>
      </w:r>
      <w:bookmarkEnd w:id="3"/>
      <w:r w:rsidRPr="00256D10">
        <w:rPr>
          <w:rFonts w:ascii="Times New Roman" w:hAnsi="Times New Roman"/>
          <w:b/>
          <w:bCs/>
          <w:color w:val="000000" w:themeColor="text1"/>
          <w:sz w:val="24"/>
        </w:rPr>
        <w:t> </w:t>
      </w:r>
    </w:p>
    <w:p w14:paraId="6D020B0A" w14:textId="20F83C7E" w:rsidR="002175AF" w:rsidRPr="00256D10" w:rsidRDefault="002175AF" w:rsidP="00256D10">
      <w:pPr>
        <w:pStyle w:val="NormalWeb"/>
        <w:spacing w:before="240" w:beforeAutospacing="0" w:after="240" w:afterAutospacing="0" w:line="360" w:lineRule="auto"/>
        <w:jc w:val="both"/>
        <w:rPr>
          <w:color w:val="000000" w:themeColor="text1"/>
        </w:rPr>
      </w:pPr>
      <w:r w:rsidRPr="00256D10">
        <w:rPr>
          <w:b/>
          <w:bCs/>
          <w:color w:val="000000" w:themeColor="text1"/>
        </w:rPr>
        <w:t xml:space="preserve">a) </w:t>
      </w:r>
      <w:r w:rsidRPr="00256D10">
        <w:rPr>
          <w:color w:val="000000" w:themeColor="text1"/>
        </w:rPr>
        <w:t xml:space="preserve">In this part of the essay, the ratio analysis statement has been computed by using ten different ratios related to the profit, sales, inventory and equity balance of Sweet Plc. The ratio analysis determines in-depth knowledge regarding the external and internal business activities of the firm </w:t>
      </w:r>
      <w:r w:rsidRPr="00256D10">
        <w:rPr>
          <w:b/>
          <w:bCs/>
          <w:color w:val="000000" w:themeColor="text1"/>
        </w:rPr>
        <w:t>(</w:t>
      </w:r>
      <w:proofErr w:type="spellStart"/>
      <w:r w:rsidRPr="00256D10">
        <w:rPr>
          <w:color w:val="000000" w:themeColor="text1"/>
          <w:shd w:val="clear" w:color="auto" w:fill="FFFFFF"/>
        </w:rPr>
        <w:t>Sukandani</w:t>
      </w:r>
      <w:proofErr w:type="spellEnd"/>
      <w:r w:rsidR="0019390E" w:rsidRPr="00256D10">
        <w:rPr>
          <w:color w:val="000000" w:themeColor="text1"/>
          <w:shd w:val="clear" w:color="auto" w:fill="FFFFFF"/>
        </w:rPr>
        <w:t>,</w:t>
      </w:r>
      <w:r w:rsidRPr="00256D10">
        <w:rPr>
          <w:color w:val="000000" w:themeColor="text1"/>
          <w:shd w:val="clear" w:color="auto" w:fill="FFFFFF"/>
        </w:rPr>
        <w:t xml:space="preserve"> </w:t>
      </w:r>
      <w:r w:rsidRPr="00256D10">
        <w:rPr>
          <w:i/>
          <w:iCs/>
          <w:color w:val="000000" w:themeColor="text1"/>
          <w:shd w:val="clear" w:color="auto" w:fill="FFFFFF"/>
        </w:rPr>
        <w:t xml:space="preserve">et al., </w:t>
      </w:r>
      <w:r w:rsidRPr="00256D10">
        <w:rPr>
          <w:color w:val="000000" w:themeColor="text1"/>
          <w:shd w:val="clear" w:color="auto" w:fill="FFFFFF"/>
        </w:rPr>
        <w:t xml:space="preserve">2021). It relies on a quantitative perspective of the companies based on the numerical amount gathered by the financial statements showing gains, expenses, equity and share market. The purpose of conducting the ratio analysis is to get an overview of the internal and competitive performance to measure the current position of the company in the market (Wild </w:t>
      </w:r>
      <w:r w:rsidR="0019390E" w:rsidRPr="00256D10">
        <w:rPr>
          <w:color w:val="000000" w:themeColor="text1"/>
          <w:shd w:val="clear" w:color="auto" w:fill="FFFFFF"/>
        </w:rPr>
        <w:t>&amp;</w:t>
      </w:r>
      <w:r w:rsidRPr="00256D10">
        <w:rPr>
          <w:color w:val="000000" w:themeColor="text1"/>
          <w:shd w:val="clear" w:color="auto" w:fill="FFFFFF"/>
        </w:rPr>
        <w:t xml:space="preserve"> Shaw, 2019). </w:t>
      </w:r>
      <w:r w:rsidRPr="00256D10">
        <w:rPr>
          <w:color w:val="000000" w:themeColor="text1"/>
        </w:rPr>
        <w:t>Here in this task, information collected on Sweet Plc for the fiscal year 2022 is compared with the outcomes of 2021. </w:t>
      </w:r>
    </w:p>
    <w:p w14:paraId="026E600B" w14:textId="685FA397" w:rsidR="002175AF" w:rsidRPr="00256D10" w:rsidRDefault="002175AF" w:rsidP="00256D10">
      <w:pPr>
        <w:pStyle w:val="NormalWeb"/>
        <w:spacing w:before="240" w:beforeAutospacing="0" w:after="240" w:afterAutospacing="0" w:line="360" w:lineRule="auto"/>
        <w:jc w:val="both"/>
        <w:rPr>
          <w:color w:val="000000" w:themeColor="text1"/>
        </w:rPr>
      </w:pPr>
      <w:r w:rsidRPr="00256D10">
        <w:rPr>
          <w:b/>
          <w:bCs/>
          <w:noProof/>
          <w:color w:val="000000" w:themeColor="text1"/>
          <w:bdr w:val="none" w:sz="0" w:space="0" w:color="auto" w:frame="1"/>
        </w:rPr>
        <w:drawing>
          <wp:inline distT="0" distB="0" distL="0" distR="0" wp14:anchorId="2D6A443A" wp14:editId="7E92FF78">
            <wp:extent cx="5734050" cy="2971800"/>
            <wp:effectExtent l="0" t="0" r="0" b="0"/>
            <wp:docPr id="27338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2971800"/>
                    </a:xfrm>
                    <a:prstGeom prst="rect">
                      <a:avLst/>
                    </a:prstGeom>
                    <a:noFill/>
                    <a:ln>
                      <a:noFill/>
                    </a:ln>
                  </pic:spPr>
                </pic:pic>
              </a:graphicData>
            </a:graphic>
          </wp:inline>
        </w:drawing>
      </w:r>
    </w:p>
    <w:p w14:paraId="5F673E91"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b/>
          <w:bCs/>
          <w:color w:val="000000" w:themeColor="text1"/>
        </w:rPr>
        <w:t>Figure 2: Calculation of Financial Ratios for Sweet Plc. For 2021 and 2022</w:t>
      </w:r>
    </w:p>
    <w:p w14:paraId="16D81FD7"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rPr>
        <w:t>(Source: Excel)</w:t>
      </w:r>
    </w:p>
    <w:p w14:paraId="7C4A3971"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rPr>
        <w:t xml:space="preserve">Return on Capital Employed directs the performance of a company by optimising capital employed which is the difference between total assets and total current liabilities to generate operating profit. </w:t>
      </w:r>
      <w:r w:rsidRPr="00256D10">
        <w:rPr>
          <w:color w:val="000000" w:themeColor="text1"/>
        </w:rPr>
        <w:lastRenderedPageBreak/>
        <w:t>It is necessary for firms to assure a higher rate of ROCE as it denotes the higher profit gathered by the company within a particular period. The rate of Return on Equity interprets the suitable distribution of the net income generated at the end of the fiscal period among the shareholders as their return. A high rate of ROE is expected by the shareholders and the company which ensures the higher earnings per share. The rate of net profit margin is interrelated with the revenue earned after covering the operational cost. It determines the amount of profit that can be utilised by companies to manage the investment return and other internal works. The asset turnover ratio generates an understanding of the usage of assets in making sales. Stock holding days show the movement of stocks or inventories in the business environment indicating a negative supply chain management. For this reason, companies intend to control the number of stock-holding days within 30 to 60 days. A higher stock holding period implies a poor supply chain and inventory management system of the companies. The debtor's collection period is the number of days that is expected by companies to receive from debtors. The current ratio reflects the utilisation of current assets to reduce the current liabilities of the firm. A higher current ratio is needed to be maintained whereas it reflects the positive movement of assets than current liabilities. The gearing ratio can be proposed to measure the availability of equity in creating a company’s debt. A higher interest coverage ratio indicates the capability of a firm in paying the debt. These ratios are necessary to calculate by the companies to get a proper knowledge of the internal and external business environment. </w:t>
      </w:r>
    </w:p>
    <w:p w14:paraId="468AA90C"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b/>
          <w:bCs/>
          <w:color w:val="000000" w:themeColor="text1"/>
        </w:rPr>
        <w:t xml:space="preserve">b) </w:t>
      </w:r>
      <w:r w:rsidRPr="00256D10">
        <w:rPr>
          <w:color w:val="000000" w:themeColor="text1"/>
        </w:rPr>
        <w:t xml:space="preserve">From the above calculation, it can be confirmed that Sweet Plc. has a suitable economic strength to meet the required amount of income by generating more sales. The higher rate of ROCE shows that the company is collecting more operating profit in 2022 than the previous year. The increased ratio of ROE also provides a positive impact on the return to the shareholders with the higher net income gathered in 2022. The rate of earnings per share has also increased in the current financial year indicating the return received by the shareholders from the distribution of the net income. Hence, the constant rate of net profit margin indicates that the company did not gain enough net profit in 2022 than 2021. The increased rate of the current ratio and the asset turnover ratio implies the effective involvement of assets in collecting funds. The decreased rate of interest coverage ratio reflects the lack of debts to the shareholders. On the other hand, the raised number of </w:t>
      </w:r>
      <w:proofErr w:type="gramStart"/>
      <w:r w:rsidRPr="00256D10">
        <w:rPr>
          <w:color w:val="000000" w:themeColor="text1"/>
        </w:rPr>
        <w:t>stock</w:t>
      </w:r>
      <w:proofErr w:type="gramEnd"/>
      <w:r w:rsidRPr="00256D10">
        <w:rPr>
          <w:color w:val="000000" w:themeColor="text1"/>
        </w:rPr>
        <w:t xml:space="preserve"> holding days and debtors collection period implies the negative supply and inventory management of Sweet Plc in 2022 than the previous year. Therefore, it can be stated that Sweet Plc has to </w:t>
      </w:r>
      <w:r w:rsidRPr="00256D10">
        <w:rPr>
          <w:color w:val="000000" w:themeColor="text1"/>
        </w:rPr>
        <w:lastRenderedPageBreak/>
        <w:t xml:space="preserve">improve its stock management and decrease the period of debtor collection to prevent future financial loss. The company should also improve its net profit margin by </w:t>
      </w:r>
      <w:proofErr w:type="spellStart"/>
      <w:r w:rsidRPr="00256D10">
        <w:rPr>
          <w:color w:val="000000" w:themeColor="text1"/>
        </w:rPr>
        <w:t>reducting</w:t>
      </w:r>
      <w:proofErr w:type="spellEnd"/>
      <w:r w:rsidRPr="00256D10">
        <w:rPr>
          <w:color w:val="000000" w:themeColor="text1"/>
        </w:rPr>
        <w:t xml:space="preserve"> operational costs. </w:t>
      </w:r>
    </w:p>
    <w:p w14:paraId="11A41D21" w14:textId="77777777" w:rsidR="0019390E" w:rsidRPr="00256D10" w:rsidRDefault="0019390E" w:rsidP="00256D10">
      <w:pPr>
        <w:spacing w:before="240" w:after="240" w:line="360" w:lineRule="auto"/>
        <w:jc w:val="both"/>
        <w:rPr>
          <w:rFonts w:ascii="Times New Roman" w:eastAsia="Times New Roman" w:hAnsi="Times New Roman" w:cs="Times New Roman"/>
          <w:b/>
          <w:bCs/>
          <w:color w:val="000000" w:themeColor="text1"/>
          <w:sz w:val="24"/>
          <w:szCs w:val="28"/>
          <w:lang w:val="en-IN"/>
        </w:rPr>
      </w:pPr>
      <w:r w:rsidRPr="00256D10">
        <w:rPr>
          <w:rFonts w:ascii="Times New Roman" w:hAnsi="Times New Roman"/>
          <w:b/>
          <w:bCs/>
          <w:color w:val="000000" w:themeColor="text1"/>
          <w:sz w:val="24"/>
          <w:szCs w:val="28"/>
        </w:rPr>
        <w:br w:type="page"/>
      </w:r>
    </w:p>
    <w:p w14:paraId="50841B15" w14:textId="6E356658" w:rsidR="002175AF" w:rsidRPr="00256D10" w:rsidRDefault="002175AF" w:rsidP="00256D10">
      <w:pPr>
        <w:pStyle w:val="Heading1"/>
        <w:spacing w:before="240" w:after="240" w:line="360" w:lineRule="auto"/>
        <w:jc w:val="both"/>
        <w:rPr>
          <w:rFonts w:ascii="Times New Roman" w:hAnsi="Times New Roman"/>
          <w:b/>
          <w:bCs/>
          <w:color w:val="000000" w:themeColor="text1"/>
          <w:sz w:val="24"/>
        </w:rPr>
      </w:pPr>
      <w:bookmarkStart w:id="4" w:name="_Toc153956210"/>
      <w:r w:rsidRPr="00256D10">
        <w:rPr>
          <w:rFonts w:ascii="Times New Roman" w:hAnsi="Times New Roman"/>
          <w:b/>
          <w:bCs/>
          <w:color w:val="000000" w:themeColor="text1"/>
          <w:sz w:val="24"/>
        </w:rPr>
        <w:lastRenderedPageBreak/>
        <w:t>Conclusion</w:t>
      </w:r>
      <w:bookmarkEnd w:id="4"/>
    </w:p>
    <w:p w14:paraId="770FD9C7"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rPr>
        <w:t>In conclusion, it can be concluded that understanding accounting fundamentals is necessary for an individual to gather knowledge about the economic outcomes of a company. In order to conduct an effective balance sheet or the statement of the financial position of a firm, both cash and non-cash transactions are needed to be recorded. It consists of the changes in assets, liabilities, gains and expenses that occurred in a particular financial year where prepayments and accrued transactions will be executed. Non-current assets can be segmented into three parts such as tangible, non-tangible and natural resources among which only tangible assets can be moved. Individuals are needed to gain knowledge about the correct non-current assets to know the moveability of the assets. Managers are the core component for managing communication with the shareholders and they can provide financial information to the future shareholders for getting their attention towards the company. Proper maintenance of the ledger accounts and trial balance ascertain the deliverance of the accounting statements such as balance sheet, income statement and others. It is necessary for the companies to promote all these accounting statements accordingly with the implementation of accounting rules or standards. In this essay, an income statement has been prepared for indicating the usage of profit in covering the expenses of Wales Plc. The income statement has significantly shown the active usage of cash or liquid funds by the company and generates a positive surplus as the net income. On the other hand, a ratio analysis has been conducted here to compare the economic performance of Sweet Plc from the current year 2022 with the previous year 2021. </w:t>
      </w:r>
    </w:p>
    <w:p w14:paraId="00000011" w14:textId="77777777" w:rsidR="00914DDA" w:rsidRPr="00256D10" w:rsidRDefault="005D3DBE" w:rsidP="00256D10">
      <w:pPr>
        <w:spacing w:before="240" w:after="240" w:line="360" w:lineRule="auto"/>
        <w:jc w:val="both"/>
        <w:rPr>
          <w:rFonts w:ascii="Times New Roman" w:eastAsia="Times New Roman" w:hAnsi="Times New Roman" w:cs="Times New Roman"/>
          <w:color w:val="000000" w:themeColor="text1"/>
          <w:sz w:val="24"/>
          <w:szCs w:val="24"/>
        </w:rPr>
      </w:pPr>
      <w:r w:rsidRPr="00256D10">
        <w:rPr>
          <w:rFonts w:ascii="Times New Roman" w:hAnsi="Times New Roman"/>
          <w:color w:val="000000" w:themeColor="text1"/>
          <w:sz w:val="24"/>
        </w:rPr>
        <w:br w:type="page"/>
      </w:r>
    </w:p>
    <w:p w14:paraId="06E3E035" w14:textId="42B1DF4F" w:rsidR="002175AF" w:rsidRPr="00256D10" w:rsidRDefault="005D3DBE" w:rsidP="00256D10">
      <w:pPr>
        <w:pStyle w:val="Heading1"/>
        <w:spacing w:before="240" w:after="240" w:line="360" w:lineRule="auto"/>
        <w:jc w:val="both"/>
        <w:rPr>
          <w:rFonts w:ascii="Times New Roman" w:hAnsi="Times New Roman"/>
          <w:b/>
          <w:bCs/>
          <w:color w:val="000000" w:themeColor="text1"/>
          <w:sz w:val="24"/>
        </w:rPr>
      </w:pPr>
      <w:bookmarkStart w:id="5" w:name="_Toc153956211"/>
      <w:r w:rsidRPr="00256D10">
        <w:rPr>
          <w:rFonts w:ascii="Times New Roman" w:hAnsi="Times New Roman"/>
          <w:b/>
          <w:bCs/>
          <w:color w:val="000000" w:themeColor="text1"/>
          <w:sz w:val="24"/>
        </w:rPr>
        <w:lastRenderedPageBreak/>
        <w:t>References</w:t>
      </w:r>
      <w:bookmarkEnd w:id="5"/>
    </w:p>
    <w:p w14:paraId="6F1CFC56"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shd w:val="clear" w:color="auto" w:fill="FFFFFF"/>
        </w:rPr>
        <w:t xml:space="preserve">Barker, R., Penman, S., Linsmeier, T.J. and Cooper, S., 2020. Moving the conceptual framework forward: Accounting for uncertainty. </w:t>
      </w:r>
      <w:r w:rsidRPr="00256D10">
        <w:rPr>
          <w:i/>
          <w:iCs/>
          <w:color w:val="000000" w:themeColor="text1"/>
          <w:shd w:val="clear" w:color="auto" w:fill="FFFFFF"/>
        </w:rPr>
        <w:t>Contemporary Accounting Research</w:t>
      </w:r>
      <w:r w:rsidRPr="00256D10">
        <w:rPr>
          <w:color w:val="000000" w:themeColor="text1"/>
          <w:shd w:val="clear" w:color="auto" w:fill="FFFFFF"/>
        </w:rPr>
        <w:t xml:space="preserve">, </w:t>
      </w:r>
      <w:r w:rsidRPr="00256D10">
        <w:rPr>
          <w:i/>
          <w:iCs/>
          <w:color w:val="000000" w:themeColor="text1"/>
          <w:shd w:val="clear" w:color="auto" w:fill="FFFFFF"/>
        </w:rPr>
        <w:t>37</w:t>
      </w:r>
      <w:r w:rsidRPr="00256D10">
        <w:rPr>
          <w:color w:val="000000" w:themeColor="text1"/>
          <w:shd w:val="clear" w:color="auto" w:fill="FFFFFF"/>
        </w:rPr>
        <w:t>(1), pp.322-357.</w:t>
      </w:r>
    </w:p>
    <w:p w14:paraId="46095A17" w14:textId="77777777" w:rsidR="002175AF" w:rsidRPr="00256D10" w:rsidRDefault="002175AF" w:rsidP="00256D10">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256D10">
        <w:rPr>
          <w:rFonts w:ascii="Times New Roman" w:eastAsia="Times New Roman" w:hAnsi="Times New Roman" w:cs="Times New Roman"/>
          <w:color w:val="000000" w:themeColor="text1"/>
          <w:sz w:val="24"/>
          <w:szCs w:val="24"/>
        </w:rPr>
        <w:t>Christofzik</w:t>
      </w:r>
      <w:proofErr w:type="spellEnd"/>
      <w:r w:rsidRPr="00256D10">
        <w:rPr>
          <w:rFonts w:ascii="Times New Roman" w:eastAsia="Times New Roman" w:hAnsi="Times New Roman" w:cs="Times New Roman"/>
          <w:color w:val="000000" w:themeColor="text1"/>
          <w:sz w:val="24"/>
          <w:szCs w:val="24"/>
        </w:rPr>
        <w:t xml:space="preserve">, D.I., 2019. Does accrual accounting alter fiscal policy </w:t>
      </w:r>
      <w:proofErr w:type="gramStart"/>
      <w:r w:rsidRPr="00256D10">
        <w:rPr>
          <w:rFonts w:ascii="Times New Roman" w:eastAsia="Times New Roman" w:hAnsi="Times New Roman" w:cs="Times New Roman"/>
          <w:color w:val="000000" w:themeColor="text1"/>
          <w:sz w:val="24"/>
          <w:szCs w:val="24"/>
        </w:rPr>
        <w:t>decisions?-</w:t>
      </w:r>
      <w:proofErr w:type="gramEnd"/>
      <w:r w:rsidRPr="00256D10">
        <w:rPr>
          <w:rFonts w:ascii="Times New Roman" w:eastAsia="Times New Roman" w:hAnsi="Times New Roman" w:cs="Times New Roman"/>
          <w:color w:val="000000" w:themeColor="text1"/>
          <w:sz w:val="24"/>
          <w:szCs w:val="24"/>
        </w:rPr>
        <w:t>Evidence from Germany. European Journal of Political Economy, 60, p.101805.</w:t>
      </w:r>
    </w:p>
    <w:p w14:paraId="6FD1FF17" w14:textId="77777777" w:rsidR="002175AF" w:rsidRPr="00256D10" w:rsidRDefault="002175AF" w:rsidP="00256D10">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256D10">
        <w:rPr>
          <w:rFonts w:ascii="Times New Roman" w:eastAsia="Times New Roman" w:hAnsi="Times New Roman" w:cs="Times New Roman"/>
          <w:color w:val="000000" w:themeColor="text1"/>
          <w:sz w:val="24"/>
          <w:szCs w:val="24"/>
        </w:rPr>
        <w:t>Duțescu</w:t>
      </w:r>
      <w:proofErr w:type="spellEnd"/>
      <w:r w:rsidRPr="00256D10">
        <w:rPr>
          <w:rFonts w:ascii="Times New Roman" w:eastAsia="Times New Roman" w:hAnsi="Times New Roman" w:cs="Times New Roman"/>
          <w:color w:val="000000" w:themeColor="text1"/>
          <w:sz w:val="24"/>
          <w:szCs w:val="24"/>
        </w:rPr>
        <w:t xml:space="preserve">, A. and </w:t>
      </w:r>
      <w:proofErr w:type="spellStart"/>
      <w:r w:rsidRPr="00256D10">
        <w:rPr>
          <w:rFonts w:ascii="Times New Roman" w:eastAsia="Times New Roman" w:hAnsi="Times New Roman" w:cs="Times New Roman"/>
          <w:color w:val="000000" w:themeColor="text1"/>
          <w:sz w:val="24"/>
          <w:szCs w:val="24"/>
        </w:rPr>
        <w:t>Duţescu</w:t>
      </w:r>
      <w:proofErr w:type="spellEnd"/>
      <w:r w:rsidRPr="00256D10">
        <w:rPr>
          <w:rFonts w:ascii="Times New Roman" w:eastAsia="Times New Roman" w:hAnsi="Times New Roman" w:cs="Times New Roman"/>
          <w:color w:val="000000" w:themeColor="text1"/>
          <w:sz w:val="24"/>
          <w:szCs w:val="24"/>
        </w:rPr>
        <w:t>, A., 2019. Non-current Assets. Financial Accounting: An IFRS Perspective in Romania, pp.131-187.</w:t>
      </w:r>
    </w:p>
    <w:p w14:paraId="66341448" w14:textId="77777777" w:rsidR="002175AF" w:rsidRPr="00256D10" w:rsidRDefault="002175AF" w:rsidP="00256D10">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256D10">
        <w:rPr>
          <w:rFonts w:ascii="Times New Roman" w:eastAsia="Times New Roman" w:hAnsi="Times New Roman" w:cs="Times New Roman"/>
          <w:color w:val="000000" w:themeColor="text1"/>
          <w:sz w:val="24"/>
          <w:szCs w:val="24"/>
        </w:rPr>
        <w:t>Fridson</w:t>
      </w:r>
      <w:proofErr w:type="spellEnd"/>
      <w:r w:rsidRPr="00256D10">
        <w:rPr>
          <w:rFonts w:ascii="Times New Roman" w:eastAsia="Times New Roman" w:hAnsi="Times New Roman" w:cs="Times New Roman"/>
          <w:color w:val="000000" w:themeColor="text1"/>
          <w:sz w:val="24"/>
          <w:szCs w:val="24"/>
        </w:rPr>
        <w:t>, M.S. and Alvarez, F., 2022. Financial statement analysis: a practitioner's guide. John Wiley &amp; Sons.</w:t>
      </w:r>
    </w:p>
    <w:p w14:paraId="76FB02F7" w14:textId="77777777" w:rsidR="002175AF" w:rsidRPr="00256D10" w:rsidRDefault="002175AF" w:rsidP="00256D10">
      <w:pPr>
        <w:spacing w:before="240" w:after="240" w:line="360" w:lineRule="auto"/>
        <w:jc w:val="both"/>
        <w:rPr>
          <w:rFonts w:ascii="Times New Roman" w:eastAsia="Times New Roman" w:hAnsi="Times New Roman" w:cs="Times New Roman"/>
          <w:color w:val="000000" w:themeColor="text1"/>
          <w:sz w:val="24"/>
          <w:szCs w:val="24"/>
        </w:rPr>
      </w:pPr>
      <w:r w:rsidRPr="00256D10">
        <w:rPr>
          <w:rFonts w:ascii="Times New Roman" w:eastAsia="Times New Roman" w:hAnsi="Times New Roman" w:cs="Times New Roman"/>
          <w:color w:val="000000" w:themeColor="text1"/>
          <w:sz w:val="24"/>
          <w:szCs w:val="24"/>
        </w:rPr>
        <w:t xml:space="preserve">Hasanaj, P. and Kuqi, B., 2019. Analysis of financial statements. Humanities and Social Science Research, 2(2), </w:t>
      </w:r>
      <w:proofErr w:type="gramStart"/>
      <w:r w:rsidRPr="00256D10">
        <w:rPr>
          <w:rFonts w:ascii="Times New Roman" w:eastAsia="Times New Roman" w:hAnsi="Times New Roman" w:cs="Times New Roman"/>
          <w:color w:val="000000" w:themeColor="text1"/>
          <w:sz w:val="24"/>
          <w:szCs w:val="24"/>
        </w:rPr>
        <w:t>pp.p</w:t>
      </w:r>
      <w:proofErr w:type="gramEnd"/>
      <w:r w:rsidRPr="00256D10">
        <w:rPr>
          <w:rFonts w:ascii="Times New Roman" w:eastAsia="Times New Roman" w:hAnsi="Times New Roman" w:cs="Times New Roman"/>
          <w:color w:val="000000" w:themeColor="text1"/>
          <w:sz w:val="24"/>
          <w:szCs w:val="24"/>
        </w:rPr>
        <w:t>17-p17.</w:t>
      </w:r>
    </w:p>
    <w:p w14:paraId="16ADC4C1" w14:textId="77777777" w:rsidR="002175AF" w:rsidRPr="00256D10" w:rsidRDefault="002175AF" w:rsidP="00256D10">
      <w:pPr>
        <w:spacing w:before="240" w:after="240" w:line="360" w:lineRule="auto"/>
        <w:jc w:val="both"/>
        <w:rPr>
          <w:rFonts w:ascii="Times New Roman" w:eastAsia="Times New Roman" w:hAnsi="Times New Roman" w:cs="Times New Roman"/>
          <w:color w:val="000000" w:themeColor="text1"/>
          <w:sz w:val="24"/>
          <w:szCs w:val="24"/>
        </w:rPr>
      </w:pPr>
      <w:r w:rsidRPr="00256D10">
        <w:rPr>
          <w:rFonts w:ascii="Times New Roman" w:eastAsia="Times New Roman" w:hAnsi="Times New Roman" w:cs="Times New Roman"/>
          <w:color w:val="000000" w:themeColor="text1"/>
          <w:sz w:val="24"/>
          <w:szCs w:val="24"/>
        </w:rPr>
        <w:t xml:space="preserve">Kliestik, T., </w:t>
      </w:r>
      <w:proofErr w:type="spellStart"/>
      <w:r w:rsidRPr="00256D10">
        <w:rPr>
          <w:rFonts w:ascii="Times New Roman" w:eastAsia="Times New Roman" w:hAnsi="Times New Roman" w:cs="Times New Roman"/>
          <w:color w:val="000000" w:themeColor="text1"/>
          <w:sz w:val="24"/>
          <w:szCs w:val="24"/>
        </w:rPr>
        <w:t>Valaskova</w:t>
      </w:r>
      <w:proofErr w:type="spellEnd"/>
      <w:r w:rsidRPr="00256D10">
        <w:rPr>
          <w:rFonts w:ascii="Times New Roman" w:eastAsia="Times New Roman" w:hAnsi="Times New Roman" w:cs="Times New Roman"/>
          <w:color w:val="000000" w:themeColor="text1"/>
          <w:sz w:val="24"/>
          <w:szCs w:val="24"/>
        </w:rPr>
        <w:t xml:space="preserve">, K., </w:t>
      </w:r>
      <w:proofErr w:type="spellStart"/>
      <w:r w:rsidRPr="00256D10">
        <w:rPr>
          <w:rFonts w:ascii="Times New Roman" w:eastAsia="Times New Roman" w:hAnsi="Times New Roman" w:cs="Times New Roman"/>
          <w:color w:val="000000" w:themeColor="text1"/>
          <w:sz w:val="24"/>
          <w:szCs w:val="24"/>
        </w:rPr>
        <w:t>Lazaroiu</w:t>
      </w:r>
      <w:proofErr w:type="spellEnd"/>
      <w:r w:rsidRPr="00256D10">
        <w:rPr>
          <w:rFonts w:ascii="Times New Roman" w:eastAsia="Times New Roman" w:hAnsi="Times New Roman" w:cs="Times New Roman"/>
          <w:color w:val="000000" w:themeColor="text1"/>
          <w:sz w:val="24"/>
          <w:szCs w:val="24"/>
        </w:rPr>
        <w:t xml:space="preserve">, G., </w:t>
      </w:r>
      <w:proofErr w:type="spellStart"/>
      <w:r w:rsidRPr="00256D10">
        <w:rPr>
          <w:rFonts w:ascii="Times New Roman" w:eastAsia="Times New Roman" w:hAnsi="Times New Roman" w:cs="Times New Roman"/>
          <w:color w:val="000000" w:themeColor="text1"/>
          <w:sz w:val="24"/>
          <w:szCs w:val="24"/>
        </w:rPr>
        <w:t>Kovacova</w:t>
      </w:r>
      <w:proofErr w:type="spellEnd"/>
      <w:r w:rsidRPr="00256D10">
        <w:rPr>
          <w:rFonts w:ascii="Times New Roman" w:eastAsia="Times New Roman" w:hAnsi="Times New Roman" w:cs="Times New Roman"/>
          <w:color w:val="000000" w:themeColor="text1"/>
          <w:sz w:val="24"/>
          <w:szCs w:val="24"/>
        </w:rPr>
        <w:t>, M. and Vrbka, J., 2020. Remaining financially healthy and competitive: The role of financial predictors. Journal of Competitiveness, (1).</w:t>
      </w:r>
    </w:p>
    <w:p w14:paraId="2361DFE1" w14:textId="77777777" w:rsidR="002175AF" w:rsidRPr="00256D10" w:rsidRDefault="002175AF" w:rsidP="00256D10">
      <w:pPr>
        <w:spacing w:before="240" w:after="240" w:line="360" w:lineRule="auto"/>
        <w:jc w:val="both"/>
        <w:rPr>
          <w:rFonts w:ascii="Times New Roman" w:eastAsia="Times New Roman" w:hAnsi="Times New Roman" w:cs="Times New Roman"/>
          <w:color w:val="000000" w:themeColor="text1"/>
          <w:sz w:val="24"/>
          <w:szCs w:val="24"/>
        </w:rPr>
      </w:pPr>
      <w:r w:rsidRPr="00256D10">
        <w:rPr>
          <w:rFonts w:ascii="Times New Roman" w:eastAsia="Times New Roman" w:hAnsi="Times New Roman" w:cs="Times New Roman"/>
          <w:color w:val="000000" w:themeColor="text1"/>
          <w:sz w:val="24"/>
          <w:szCs w:val="24"/>
        </w:rPr>
        <w:t>Martini, R., Agustin, R. and Sari, K.R., 2020. Accrual Discretion Policy on Excess/Less Budget Financing at the Provincial Level. TEST Engineering &amp; Management, 82, pp.9925-9935.</w:t>
      </w:r>
    </w:p>
    <w:p w14:paraId="7CD68451" w14:textId="77777777" w:rsidR="002175AF" w:rsidRPr="00256D10" w:rsidRDefault="002175AF" w:rsidP="00256D10">
      <w:pPr>
        <w:pStyle w:val="NormalWeb"/>
        <w:spacing w:before="240" w:beforeAutospacing="0" w:after="240" w:afterAutospacing="0" w:line="360" w:lineRule="auto"/>
        <w:jc w:val="both"/>
        <w:rPr>
          <w:color w:val="000000" w:themeColor="text1"/>
        </w:rPr>
      </w:pPr>
      <w:proofErr w:type="spellStart"/>
      <w:r w:rsidRPr="00256D10">
        <w:rPr>
          <w:color w:val="000000" w:themeColor="text1"/>
          <w:shd w:val="clear" w:color="auto" w:fill="FFFFFF"/>
        </w:rPr>
        <w:t>Nothhelfer</w:t>
      </w:r>
      <w:proofErr w:type="spellEnd"/>
      <w:r w:rsidRPr="00256D10">
        <w:rPr>
          <w:color w:val="000000" w:themeColor="text1"/>
          <w:shd w:val="clear" w:color="auto" w:fill="FFFFFF"/>
        </w:rPr>
        <w:t xml:space="preserve">, R., 2022. </w:t>
      </w:r>
      <w:r w:rsidRPr="00256D10">
        <w:rPr>
          <w:i/>
          <w:iCs/>
          <w:color w:val="000000" w:themeColor="text1"/>
          <w:shd w:val="clear" w:color="auto" w:fill="FFFFFF"/>
        </w:rPr>
        <w:t>Financial Accounting: Introduction to German GAAP with Exercises</w:t>
      </w:r>
      <w:r w:rsidRPr="00256D10">
        <w:rPr>
          <w:color w:val="000000" w:themeColor="text1"/>
          <w:shd w:val="clear" w:color="auto" w:fill="FFFFFF"/>
        </w:rPr>
        <w:t>. Walter de Gruyter GmbH &amp; Co KG.</w:t>
      </w:r>
    </w:p>
    <w:p w14:paraId="4C9EFF80" w14:textId="77777777" w:rsidR="002175AF" w:rsidRPr="00256D10" w:rsidRDefault="002175AF" w:rsidP="00256D10">
      <w:pPr>
        <w:pStyle w:val="NormalWeb"/>
        <w:spacing w:before="240" w:beforeAutospacing="0" w:after="240" w:afterAutospacing="0" w:line="360" w:lineRule="auto"/>
        <w:jc w:val="both"/>
        <w:rPr>
          <w:color w:val="000000" w:themeColor="text1"/>
        </w:rPr>
      </w:pPr>
      <w:proofErr w:type="spellStart"/>
      <w:r w:rsidRPr="00256D10">
        <w:rPr>
          <w:color w:val="000000" w:themeColor="text1"/>
          <w:shd w:val="clear" w:color="auto" w:fill="FFFFFF"/>
        </w:rPr>
        <w:t>Papík</w:t>
      </w:r>
      <w:proofErr w:type="spellEnd"/>
      <w:r w:rsidRPr="00256D10">
        <w:rPr>
          <w:color w:val="000000" w:themeColor="text1"/>
          <w:shd w:val="clear" w:color="auto" w:fill="FFFFFF"/>
        </w:rPr>
        <w:t xml:space="preserve">, M. and </w:t>
      </w:r>
      <w:proofErr w:type="spellStart"/>
      <w:r w:rsidRPr="00256D10">
        <w:rPr>
          <w:color w:val="000000" w:themeColor="text1"/>
          <w:shd w:val="clear" w:color="auto" w:fill="FFFFFF"/>
        </w:rPr>
        <w:t>Papíková</w:t>
      </w:r>
      <w:proofErr w:type="spellEnd"/>
      <w:r w:rsidRPr="00256D10">
        <w:rPr>
          <w:color w:val="000000" w:themeColor="text1"/>
          <w:shd w:val="clear" w:color="auto" w:fill="FFFFFF"/>
        </w:rPr>
        <w:t xml:space="preserve">, L., 2022. Detecting accounting fraud in companies reporting under US GAAP through data mining. </w:t>
      </w:r>
      <w:r w:rsidRPr="00256D10">
        <w:rPr>
          <w:i/>
          <w:iCs/>
          <w:color w:val="000000" w:themeColor="text1"/>
          <w:shd w:val="clear" w:color="auto" w:fill="FFFFFF"/>
        </w:rPr>
        <w:t>International Journal of Accounting Information Systems</w:t>
      </w:r>
      <w:r w:rsidRPr="00256D10">
        <w:rPr>
          <w:color w:val="000000" w:themeColor="text1"/>
          <w:shd w:val="clear" w:color="auto" w:fill="FFFFFF"/>
        </w:rPr>
        <w:t xml:space="preserve">, </w:t>
      </w:r>
      <w:r w:rsidRPr="00256D10">
        <w:rPr>
          <w:i/>
          <w:iCs/>
          <w:color w:val="000000" w:themeColor="text1"/>
          <w:shd w:val="clear" w:color="auto" w:fill="FFFFFF"/>
        </w:rPr>
        <w:t>45</w:t>
      </w:r>
      <w:r w:rsidRPr="00256D10">
        <w:rPr>
          <w:color w:val="000000" w:themeColor="text1"/>
          <w:shd w:val="clear" w:color="auto" w:fill="FFFFFF"/>
        </w:rPr>
        <w:t>, p.100559.</w:t>
      </w:r>
    </w:p>
    <w:p w14:paraId="0ABCB6E2" w14:textId="77777777" w:rsidR="002175AF" w:rsidRPr="00256D10" w:rsidRDefault="002175AF" w:rsidP="00256D10">
      <w:pPr>
        <w:spacing w:before="240" w:after="240" w:line="360" w:lineRule="auto"/>
        <w:jc w:val="both"/>
        <w:rPr>
          <w:rFonts w:ascii="Times New Roman" w:eastAsia="Times New Roman" w:hAnsi="Times New Roman" w:cs="Times New Roman"/>
          <w:color w:val="000000" w:themeColor="text1"/>
          <w:sz w:val="24"/>
          <w:szCs w:val="24"/>
        </w:rPr>
      </w:pPr>
      <w:r w:rsidRPr="00256D10">
        <w:rPr>
          <w:rFonts w:ascii="Times New Roman" w:eastAsia="Times New Roman" w:hAnsi="Times New Roman" w:cs="Times New Roman"/>
          <w:color w:val="000000" w:themeColor="text1"/>
          <w:sz w:val="24"/>
          <w:szCs w:val="24"/>
        </w:rPr>
        <w:t>Robinson, T.R., 2020. International financial statement analysis. John Wiley &amp; Sons.</w:t>
      </w:r>
    </w:p>
    <w:p w14:paraId="04C0A65D" w14:textId="77777777" w:rsidR="002175AF" w:rsidRPr="00256D10" w:rsidRDefault="002175AF" w:rsidP="00256D10">
      <w:pPr>
        <w:pStyle w:val="NormalWeb"/>
        <w:spacing w:before="240" w:beforeAutospacing="0" w:after="240" w:afterAutospacing="0" w:line="360" w:lineRule="auto"/>
        <w:jc w:val="both"/>
        <w:rPr>
          <w:color w:val="000000" w:themeColor="text1"/>
        </w:rPr>
      </w:pPr>
      <w:proofErr w:type="spellStart"/>
      <w:r w:rsidRPr="00256D10">
        <w:rPr>
          <w:color w:val="000000" w:themeColor="text1"/>
          <w:shd w:val="clear" w:color="auto" w:fill="FFFFFF"/>
        </w:rPr>
        <w:t>Sukandani</w:t>
      </w:r>
      <w:proofErr w:type="spellEnd"/>
      <w:r w:rsidRPr="00256D10">
        <w:rPr>
          <w:color w:val="000000" w:themeColor="text1"/>
          <w:shd w:val="clear" w:color="auto" w:fill="FFFFFF"/>
        </w:rPr>
        <w:t xml:space="preserve">, Y., </w:t>
      </w:r>
      <w:proofErr w:type="spellStart"/>
      <w:r w:rsidRPr="00256D10">
        <w:rPr>
          <w:color w:val="000000" w:themeColor="text1"/>
          <w:shd w:val="clear" w:color="auto" w:fill="FFFFFF"/>
        </w:rPr>
        <w:t>Istikhoroh</w:t>
      </w:r>
      <w:proofErr w:type="spellEnd"/>
      <w:r w:rsidRPr="00256D10">
        <w:rPr>
          <w:color w:val="000000" w:themeColor="text1"/>
          <w:shd w:val="clear" w:color="auto" w:fill="FFFFFF"/>
        </w:rPr>
        <w:t xml:space="preserve">, S. and Widodo, U.P.W., 2021. The role of accounting conservatism as a moderate of debt ratio effect on financial DISTRESS. </w:t>
      </w:r>
      <w:r w:rsidRPr="00256D10">
        <w:rPr>
          <w:i/>
          <w:iCs/>
          <w:color w:val="000000" w:themeColor="text1"/>
          <w:shd w:val="clear" w:color="auto" w:fill="FFFFFF"/>
        </w:rPr>
        <w:t>International Journal of Economics, Business and Accounting Research (IJEBAR)</w:t>
      </w:r>
      <w:r w:rsidRPr="00256D10">
        <w:rPr>
          <w:color w:val="000000" w:themeColor="text1"/>
          <w:shd w:val="clear" w:color="auto" w:fill="FFFFFF"/>
        </w:rPr>
        <w:t xml:space="preserve">, </w:t>
      </w:r>
      <w:r w:rsidRPr="00256D10">
        <w:rPr>
          <w:i/>
          <w:iCs/>
          <w:color w:val="000000" w:themeColor="text1"/>
          <w:shd w:val="clear" w:color="auto" w:fill="FFFFFF"/>
        </w:rPr>
        <w:t>5</w:t>
      </w:r>
      <w:r w:rsidRPr="00256D10">
        <w:rPr>
          <w:color w:val="000000" w:themeColor="text1"/>
          <w:shd w:val="clear" w:color="auto" w:fill="FFFFFF"/>
        </w:rPr>
        <w:t>(2).</w:t>
      </w:r>
    </w:p>
    <w:p w14:paraId="6DBB0258"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shd w:val="clear" w:color="auto" w:fill="FFFFFF"/>
        </w:rPr>
        <w:lastRenderedPageBreak/>
        <w:t xml:space="preserve">Weigand, H., </w:t>
      </w:r>
      <w:proofErr w:type="spellStart"/>
      <w:r w:rsidRPr="00256D10">
        <w:rPr>
          <w:color w:val="000000" w:themeColor="text1"/>
          <w:shd w:val="clear" w:color="auto" w:fill="FFFFFF"/>
        </w:rPr>
        <w:t>Blums</w:t>
      </w:r>
      <w:proofErr w:type="spellEnd"/>
      <w:r w:rsidRPr="00256D10">
        <w:rPr>
          <w:color w:val="000000" w:themeColor="text1"/>
          <w:shd w:val="clear" w:color="auto" w:fill="FFFFFF"/>
        </w:rPr>
        <w:t xml:space="preserve">, I. and de </w:t>
      </w:r>
      <w:proofErr w:type="spellStart"/>
      <w:r w:rsidRPr="00256D10">
        <w:rPr>
          <w:color w:val="000000" w:themeColor="text1"/>
          <w:shd w:val="clear" w:color="auto" w:fill="FFFFFF"/>
        </w:rPr>
        <w:t>Kruijff</w:t>
      </w:r>
      <w:proofErr w:type="spellEnd"/>
      <w:r w:rsidRPr="00256D10">
        <w:rPr>
          <w:color w:val="000000" w:themeColor="text1"/>
          <w:shd w:val="clear" w:color="auto" w:fill="FFFFFF"/>
        </w:rPr>
        <w:t xml:space="preserve">, J., 2020. Shared ledger accounting—implementing the economic exchange pattern. </w:t>
      </w:r>
      <w:r w:rsidRPr="00256D10">
        <w:rPr>
          <w:i/>
          <w:iCs/>
          <w:color w:val="000000" w:themeColor="text1"/>
          <w:shd w:val="clear" w:color="auto" w:fill="FFFFFF"/>
        </w:rPr>
        <w:t>Information Systems</w:t>
      </w:r>
      <w:r w:rsidRPr="00256D10">
        <w:rPr>
          <w:color w:val="000000" w:themeColor="text1"/>
          <w:shd w:val="clear" w:color="auto" w:fill="FFFFFF"/>
        </w:rPr>
        <w:t xml:space="preserve">, </w:t>
      </w:r>
      <w:r w:rsidRPr="00256D10">
        <w:rPr>
          <w:i/>
          <w:iCs/>
          <w:color w:val="000000" w:themeColor="text1"/>
          <w:shd w:val="clear" w:color="auto" w:fill="FFFFFF"/>
        </w:rPr>
        <w:t>90</w:t>
      </w:r>
      <w:r w:rsidRPr="00256D10">
        <w:rPr>
          <w:color w:val="000000" w:themeColor="text1"/>
          <w:shd w:val="clear" w:color="auto" w:fill="FFFFFF"/>
        </w:rPr>
        <w:t>, p.101437.</w:t>
      </w:r>
    </w:p>
    <w:p w14:paraId="3A55CB87" w14:textId="77777777" w:rsidR="002175AF" w:rsidRPr="00256D10" w:rsidRDefault="002175AF" w:rsidP="00256D10">
      <w:pPr>
        <w:spacing w:before="240" w:after="240" w:line="360" w:lineRule="auto"/>
        <w:jc w:val="both"/>
        <w:rPr>
          <w:rFonts w:ascii="Times New Roman" w:eastAsia="Times New Roman" w:hAnsi="Times New Roman" w:cs="Times New Roman"/>
          <w:color w:val="000000" w:themeColor="text1"/>
          <w:sz w:val="24"/>
          <w:szCs w:val="24"/>
        </w:rPr>
      </w:pPr>
      <w:r w:rsidRPr="00256D10">
        <w:rPr>
          <w:rFonts w:ascii="Times New Roman" w:eastAsia="Times New Roman" w:hAnsi="Times New Roman" w:cs="Times New Roman"/>
          <w:color w:val="000000" w:themeColor="text1"/>
          <w:sz w:val="24"/>
          <w:szCs w:val="24"/>
        </w:rPr>
        <w:t>Weygandt, J.J., Kimmel, P.D. and Aly, I.M., 2020. Managerial Accounting: Tools for Business Decision-Making. John Wiley &amp; Sons.</w:t>
      </w:r>
    </w:p>
    <w:p w14:paraId="086DC0B4" w14:textId="77777777" w:rsidR="002175AF" w:rsidRPr="00256D10" w:rsidRDefault="002175AF" w:rsidP="00256D10">
      <w:pPr>
        <w:pStyle w:val="NormalWeb"/>
        <w:spacing w:before="240" w:beforeAutospacing="0" w:after="240" w:afterAutospacing="0" w:line="360" w:lineRule="auto"/>
        <w:jc w:val="both"/>
        <w:rPr>
          <w:color w:val="000000" w:themeColor="text1"/>
        </w:rPr>
      </w:pPr>
      <w:r w:rsidRPr="00256D10">
        <w:rPr>
          <w:color w:val="000000" w:themeColor="text1"/>
          <w:shd w:val="clear" w:color="auto" w:fill="FFFFFF"/>
        </w:rPr>
        <w:t xml:space="preserve">Wild, J.J. and Shaw, K.W., 2019. </w:t>
      </w:r>
      <w:r w:rsidRPr="00256D10">
        <w:rPr>
          <w:i/>
          <w:iCs/>
          <w:color w:val="000000" w:themeColor="text1"/>
          <w:shd w:val="clear" w:color="auto" w:fill="FFFFFF"/>
        </w:rPr>
        <w:t>Fundamental accounting principles</w:t>
      </w:r>
      <w:r w:rsidRPr="00256D10">
        <w:rPr>
          <w:color w:val="000000" w:themeColor="text1"/>
          <w:shd w:val="clear" w:color="auto" w:fill="FFFFFF"/>
        </w:rPr>
        <w:t>. McGraw-Hill. </w:t>
      </w:r>
    </w:p>
    <w:p w14:paraId="758677E1" w14:textId="77777777" w:rsidR="002175AF" w:rsidRPr="00256D10" w:rsidRDefault="002175AF" w:rsidP="00256D10">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256D10">
        <w:rPr>
          <w:rFonts w:ascii="Times New Roman" w:eastAsia="Times New Roman" w:hAnsi="Times New Roman" w:cs="Times New Roman"/>
          <w:color w:val="000000" w:themeColor="text1"/>
          <w:sz w:val="24"/>
          <w:szCs w:val="24"/>
        </w:rPr>
        <w:t>Wokeh</w:t>
      </w:r>
      <w:proofErr w:type="spellEnd"/>
      <w:r w:rsidRPr="00256D10">
        <w:rPr>
          <w:rFonts w:ascii="Times New Roman" w:eastAsia="Times New Roman" w:hAnsi="Times New Roman" w:cs="Times New Roman"/>
          <w:color w:val="000000" w:themeColor="text1"/>
          <w:sz w:val="24"/>
          <w:szCs w:val="24"/>
        </w:rPr>
        <w:t>, P.I., 2023. Depreciation of Non-Current Assets. BW Academic Journal, pp.7-7.</w:t>
      </w:r>
    </w:p>
    <w:sectPr w:rsidR="002175AF" w:rsidRPr="00256D10" w:rsidSect="006C7AEB">
      <w:footerReference w:type="default" r:id="rId10"/>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B9A6E" w14:textId="77777777" w:rsidR="005D3DBE" w:rsidRDefault="005D3DBE" w:rsidP="00A70165">
      <w:pPr>
        <w:spacing w:line="240" w:lineRule="auto"/>
      </w:pPr>
      <w:r>
        <w:separator/>
      </w:r>
    </w:p>
  </w:endnote>
  <w:endnote w:type="continuationSeparator" w:id="0">
    <w:p w14:paraId="284089F8" w14:textId="77777777" w:rsidR="005D3DBE" w:rsidRDefault="005D3DBE" w:rsidP="00A701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425482"/>
      <w:docPartObj>
        <w:docPartGallery w:val="Page Numbers (Bottom of Page)"/>
        <w:docPartUnique/>
      </w:docPartObj>
    </w:sdtPr>
    <w:sdtEndPr>
      <w:rPr>
        <w:noProof/>
      </w:rPr>
    </w:sdtEndPr>
    <w:sdtContent>
      <w:p w14:paraId="37AAB5AE" w14:textId="04D3C243" w:rsidR="00A70165" w:rsidRDefault="00A701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D50ABE" w14:textId="77777777" w:rsidR="00A70165" w:rsidRDefault="00A70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AB0B6" w14:textId="77777777" w:rsidR="005D3DBE" w:rsidRDefault="005D3DBE" w:rsidP="00A70165">
      <w:pPr>
        <w:spacing w:line="240" w:lineRule="auto"/>
      </w:pPr>
      <w:r>
        <w:separator/>
      </w:r>
    </w:p>
  </w:footnote>
  <w:footnote w:type="continuationSeparator" w:id="0">
    <w:p w14:paraId="73410E69" w14:textId="77777777" w:rsidR="005D3DBE" w:rsidRDefault="005D3DBE" w:rsidP="00A701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FA7C7C"/>
    <w:multiLevelType w:val="hybridMultilevel"/>
    <w:tmpl w:val="F8BE17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54938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DDA"/>
    <w:rsid w:val="000A05B5"/>
    <w:rsid w:val="0019390E"/>
    <w:rsid w:val="002175AF"/>
    <w:rsid w:val="00256D10"/>
    <w:rsid w:val="003C6BB5"/>
    <w:rsid w:val="005D3DBE"/>
    <w:rsid w:val="005F5DB4"/>
    <w:rsid w:val="006C7AEB"/>
    <w:rsid w:val="007459A7"/>
    <w:rsid w:val="007F59B5"/>
    <w:rsid w:val="00914DDA"/>
    <w:rsid w:val="00A70165"/>
    <w:rsid w:val="00B34F2F"/>
    <w:rsid w:val="00B92C45"/>
    <w:rsid w:val="00C5129B"/>
    <w:rsid w:val="00D6416E"/>
    <w:rsid w:val="00DF1685"/>
    <w:rsid w:val="00E12581"/>
    <w:rsid w:val="00E25FF0"/>
    <w:rsid w:val="00E75A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61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70165"/>
    <w:pPr>
      <w:tabs>
        <w:tab w:val="center" w:pos="4513"/>
        <w:tab w:val="right" w:pos="9026"/>
      </w:tabs>
      <w:spacing w:line="240" w:lineRule="auto"/>
    </w:pPr>
  </w:style>
  <w:style w:type="character" w:customStyle="1" w:styleId="HeaderChar">
    <w:name w:val="Header Char"/>
    <w:basedOn w:val="DefaultParagraphFont"/>
    <w:link w:val="Header"/>
    <w:uiPriority w:val="99"/>
    <w:rsid w:val="00A70165"/>
  </w:style>
  <w:style w:type="paragraph" w:styleId="Footer">
    <w:name w:val="footer"/>
    <w:basedOn w:val="Normal"/>
    <w:link w:val="FooterChar"/>
    <w:uiPriority w:val="99"/>
    <w:unhideWhenUsed/>
    <w:rsid w:val="00A70165"/>
    <w:pPr>
      <w:tabs>
        <w:tab w:val="center" w:pos="4513"/>
        <w:tab w:val="right" w:pos="9026"/>
      </w:tabs>
      <w:spacing w:line="240" w:lineRule="auto"/>
    </w:pPr>
  </w:style>
  <w:style w:type="character" w:customStyle="1" w:styleId="FooterChar">
    <w:name w:val="Footer Char"/>
    <w:basedOn w:val="DefaultParagraphFont"/>
    <w:link w:val="Footer"/>
    <w:uiPriority w:val="99"/>
    <w:rsid w:val="00A70165"/>
  </w:style>
  <w:style w:type="paragraph" w:styleId="ListParagraph">
    <w:name w:val="List Paragraph"/>
    <w:basedOn w:val="Normal"/>
    <w:uiPriority w:val="34"/>
    <w:qFormat/>
    <w:rsid w:val="00DF1685"/>
    <w:pPr>
      <w:ind w:left="720"/>
      <w:contextualSpacing/>
    </w:pPr>
  </w:style>
  <w:style w:type="paragraph" w:styleId="NormalWeb">
    <w:name w:val="Normal (Web)"/>
    <w:basedOn w:val="Normal"/>
    <w:uiPriority w:val="99"/>
    <w:semiHidden/>
    <w:unhideWhenUsed/>
    <w:rsid w:val="002175AF"/>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256D10"/>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256D10"/>
    <w:pPr>
      <w:spacing w:after="100"/>
    </w:pPr>
  </w:style>
  <w:style w:type="character" w:styleId="Hyperlink">
    <w:name w:val="Hyperlink"/>
    <w:basedOn w:val="DefaultParagraphFont"/>
    <w:uiPriority w:val="99"/>
    <w:unhideWhenUsed/>
    <w:rsid w:val="00256D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4748">
      <w:bodyDiv w:val="1"/>
      <w:marLeft w:val="0"/>
      <w:marRight w:val="0"/>
      <w:marTop w:val="0"/>
      <w:marBottom w:val="0"/>
      <w:divBdr>
        <w:top w:val="none" w:sz="0" w:space="0" w:color="auto"/>
        <w:left w:val="none" w:sz="0" w:space="0" w:color="auto"/>
        <w:bottom w:val="none" w:sz="0" w:space="0" w:color="auto"/>
        <w:right w:val="none" w:sz="0" w:space="0" w:color="auto"/>
      </w:divBdr>
    </w:div>
    <w:div w:id="712001618">
      <w:bodyDiv w:val="1"/>
      <w:marLeft w:val="0"/>
      <w:marRight w:val="0"/>
      <w:marTop w:val="0"/>
      <w:marBottom w:val="0"/>
      <w:divBdr>
        <w:top w:val="none" w:sz="0" w:space="0" w:color="auto"/>
        <w:left w:val="none" w:sz="0" w:space="0" w:color="auto"/>
        <w:bottom w:val="none" w:sz="0" w:space="0" w:color="auto"/>
        <w:right w:val="none" w:sz="0" w:space="0" w:color="auto"/>
      </w:divBdr>
    </w:div>
    <w:div w:id="17225107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D2FC1-050D-43BC-B033-5924CCE90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2916</Words>
  <Characters>16624</Characters>
  <Application>Microsoft Office Word</Application>
  <DocSecurity>0</DocSecurity>
  <Lines>138</Lines>
  <Paragraphs>39</Paragraphs>
  <ScaleCrop>false</ScaleCrop>
  <Company/>
  <LinksUpToDate>false</LinksUpToDate>
  <CharactersWithSpaces>19501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2023-12-20T03:47:00Z</dcterms:created>
  <dcterms:modified xsi:type="dcterms:W3CDTF">2023-12-20T09:48:00Z</dcterms:modified>
</cp:coreProperties>
</file>