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20360" w14:textId="77777777" w:rsidR="004A79F5" w:rsidRPr="003F6864" w:rsidRDefault="004A79F5" w:rsidP="004A79F5">
      <w:pPr>
        <w:pStyle w:val="Nornal"/>
        <w:spacing w:after="0" w:line="240" w:lineRule="auto"/>
        <w:rPr>
          <w:rFonts w:ascii="Trebuchet MS" w:hAnsi="Trebuchet MS"/>
          <w:color w:val="000000"/>
        </w:rPr>
      </w:pPr>
    </w:p>
    <w:p w14:paraId="145119EC" w14:textId="2ECFB130" w:rsidR="003F6864" w:rsidRDefault="003F6864" w:rsidP="00C8263F">
      <w:pPr>
        <w:pStyle w:val="Nornal"/>
        <w:spacing w:after="0"/>
        <w:rPr>
          <w:rFonts w:ascii="Trebuchet MS" w:hAnsi="Trebuchet MS"/>
          <w:b/>
          <w:bCs/>
          <w:color w:val="000000"/>
        </w:rPr>
      </w:pPr>
      <w:r w:rsidRPr="003F6864">
        <w:rPr>
          <w:rFonts w:ascii="Trebuchet MS" w:hAnsi="Trebuchet MS"/>
          <w:b/>
          <w:bCs/>
          <w:color w:val="000000"/>
        </w:rPr>
        <w:t>Principles of Reward (AC 1.1)</w:t>
      </w:r>
    </w:p>
    <w:p w14:paraId="0EB824E0" w14:textId="77777777" w:rsidR="003F6864" w:rsidRPr="003F6864" w:rsidRDefault="003F6864" w:rsidP="00C8263F">
      <w:pPr>
        <w:pStyle w:val="Nornal"/>
        <w:spacing w:after="0"/>
        <w:rPr>
          <w:rFonts w:ascii="Trebuchet MS" w:hAnsi="Trebuchet MS"/>
          <w:b/>
          <w:bCs/>
          <w:color w:val="000000"/>
        </w:rPr>
      </w:pPr>
    </w:p>
    <w:p w14:paraId="20CD146E" w14:textId="12DF1C65"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Reward refers to the total package of financial and non-financial returns that employees receive in exchange for their contribution to an organisation. For </w:t>
      </w:r>
      <w:proofErr w:type="spellStart"/>
      <w:r w:rsidRPr="00C8263F">
        <w:rPr>
          <w:rFonts w:ascii="Trebuchet MS" w:hAnsi="Trebuchet MS"/>
          <w:color w:val="000000"/>
        </w:rPr>
        <w:t>GreenFriendlyEco</w:t>
      </w:r>
      <w:proofErr w:type="spellEnd"/>
      <w:r w:rsidRPr="00C8263F">
        <w:rPr>
          <w:rFonts w:ascii="Trebuchet MS" w:hAnsi="Trebuchet MS"/>
          <w:color w:val="000000"/>
        </w:rPr>
        <w:t>, where reward is currently limited to basic pay, statutory holidays and a non-contributory pension, the absence of a broader reward strategy is likely contributing to negative culture, low motivation and increased employee turnover. Armstrong (2023) describes reward as a key lever for influencing employee behaviour and performance, particularly in organisations experiencing engagement challenges.</w:t>
      </w:r>
    </w:p>
    <w:p w14:paraId="7DFECF68" w14:textId="77777777" w:rsidR="00023EAA" w:rsidRPr="00C8263F" w:rsidRDefault="00023EAA" w:rsidP="00C8263F">
      <w:pPr>
        <w:pStyle w:val="Nornal"/>
        <w:spacing w:after="0"/>
        <w:rPr>
          <w:rFonts w:ascii="Trebuchet MS" w:hAnsi="Trebuchet MS"/>
          <w:color w:val="000000"/>
        </w:rPr>
      </w:pPr>
    </w:p>
    <w:p w14:paraId="76957109" w14:textId="77777777"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A fundamental principle of reward is fairness and transparency. At </w:t>
      </w:r>
      <w:proofErr w:type="spellStart"/>
      <w:r w:rsidRPr="00C8263F">
        <w:rPr>
          <w:rFonts w:ascii="Trebuchet MS" w:hAnsi="Trebuchet MS"/>
          <w:color w:val="000000"/>
        </w:rPr>
        <w:t>GreenFriendlyEco</w:t>
      </w:r>
      <w:proofErr w:type="spellEnd"/>
      <w:r w:rsidRPr="00C8263F">
        <w:rPr>
          <w:rFonts w:ascii="Trebuchet MS" w:hAnsi="Trebuchet MS"/>
          <w:color w:val="000000"/>
        </w:rPr>
        <w:t>, standard times are set and maintained by the Finance and Administration Department, with an expectation of measured day work and no incentive scheme. This may create perceptions that effort beyond the minimum is neither recognised nor valued. Equity theory suggests that when employees believe their contribution is not fairly rewarded compared to others, dissatisfaction and withdrawal behaviours such as absenteeism or turnover are more likely (Adams, 1965). This risk may be heightened by the known existence of special reward schemes for senior staff only, which could reinforce feelings of inequity across the wider workforce.</w:t>
      </w:r>
    </w:p>
    <w:p w14:paraId="39B2B6A4" w14:textId="77777777" w:rsidR="00026EA3" w:rsidRPr="00C8263F" w:rsidRDefault="00026EA3" w:rsidP="00C8263F">
      <w:pPr>
        <w:pStyle w:val="Nornal"/>
        <w:spacing w:after="0"/>
        <w:rPr>
          <w:rFonts w:ascii="Trebuchet MS" w:hAnsi="Trebuchet MS"/>
          <w:color w:val="000000"/>
        </w:rPr>
      </w:pPr>
    </w:p>
    <w:p w14:paraId="5E1E657F" w14:textId="77777777"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Reward is also closely linked to performance management. CIPD (2023) highlights that effective reward systems reinforce desired performance by linking contribution to recognition, whether through pay progression, incentives or non-financial rewards. In the absence of incentives at </w:t>
      </w:r>
      <w:proofErr w:type="spellStart"/>
      <w:r w:rsidRPr="00C8263F">
        <w:rPr>
          <w:rFonts w:ascii="Trebuchet MS" w:hAnsi="Trebuchet MS"/>
          <w:color w:val="000000"/>
        </w:rPr>
        <w:t>GreenFriendlyEco</w:t>
      </w:r>
      <w:proofErr w:type="spellEnd"/>
      <w:r w:rsidRPr="00C8263F">
        <w:rPr>
          <w:rFonts w:ascii="Trebuchet MS" w:hAnsi="Trebuchet MS"/>
          <w:color w:val="000000"/>
        </w:rPr>
        <w:t>, employees may lack motivation to improve productivity, quality or innovation, which is particularly concerning in a competitive manufacturing environment.</w:t>
      </w:r>
    </w:p>
    <w:p w14:paraId="5B230EDA" w14:textId="77777777" w:rsidR="005F2C09" w:rsidRPr="00C8263F" w:rsidRDefault="005F2C09" w:rsidP="00C8263F">
      <w:pPr>
        <w:pStyle w:val="Nornal"/>
        <w:spacing w:after="0"/>
        <w:rPr>
          <w:rFonts w:ascii="Trebuchet MS" w:hAnsi="Trebuchet MS"/>
          <w:color w:val="000000"/>
        </w:rPr>
      </w:pPr>
    </w:p>
    <w:p w14:paraId="4F28A376" w14:textId="0411EE05"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From a cultural perspective, reward signals what an organisation values. A narrow focus on basic pay and standard working practices can contribute to a compliance-based culture, where employees do only what is required. In contrast, a broader total reward approach </w:t>
      </w:r>
      <w:r w:rsidR="007123B4">
        <w:rPr>
          <w:rFonts w:ascii="Trebuchet MS" w:hAnsi="Trebuchet MS"/>
          <w:color w:val="000000"/>
        </w:rPr>
        <w:t>-</w:t>
      </w:r>
      <w:r w:rsidRPr="00C8263F">
        <w:rPr>
          <w:rFonts w:ascii="Trebuchet MS" w:hAnsi="Trebuchet MS"/>
          <w:color w:val="000000"/>
        </w:rPr>
        <w:t xml:space="preserve"> including recognition, development opportunities and work–life balance </w:t>
      </w:r>
      <w:r w:rsidR="007123B4">
        <w:rPr>
          <w:rFonts w:ascii="Trebuchet MS" w:hAnsi="Trebuchet MS"/>
          <w:color w:val="000000"/>
        </w:rPr>
        <w:t>-</w:t>
      </w:r>
      <w:r w:rsidRPr="00C8263F">
        <w:rPr>
          <w:rFonts w:ascii="Trebuchet MS" w:hAnsi="Trebuchet MS"/>
          <w:color w:val="000000"/>
        </w:rPr>
        <w:t xml:space="preserve"> can support a more positive and engaged culture (Armstrong and Taylor, 2020). This is especially relevant for retaining skilled employees, who are often motivated by growth, recognition and meaningful contribution rather than pay alone.</w:t>
      </w:r>
    </w:p>
    <w:p w14:paraId="21C9508F" w14:textId="77777777" w:rsidR="005F2C09" w:rsidRPr="00C8263F" w:rsidRDefault="005F2C09" w:rsidP="00C8263F">
      <w:pPr>
        <w:pStyle w:val="Nornal"/>
        <w:spacing w:after="0"/>
        <w:rPr>
          <w:rFonts w:ascii="Trebuchet MS" w:hAnsi="Trebuchet MS"/>
          <w:color w:val="000000"/>
        </w:rPr>
      </w:pPr>
    </w:p>
    <w:p w14:paraId="6513B60A" w14:textId="77777777"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Psychologically, reward influences motivation by addressing both extrinsic and intrinsic needs. Herzberg’s two-factor theory suggests that while pay and benefits prevent dissatisfaction, true motivation comes from recognition and achievement (Herzberg, 2003). For </w:t>
      </w:r>
      <w:proofErr w:type="spellStart"/>
      <w:r w:rsidRPr="00C8263F">
        <w:rPr>
          <w:rFonts w:ascii="Trebuchet MS" w:hAnsi="Trebuchet MS"/>
          <w:color w:val="000000"/>
        </w:rPr>
        <w:t>GreenFriendlyEco</w:t>
      </w:r>
      <w:proofErr w:type="spellEnd"/>
      <w:r w:rsidRPr="00C8263F">
        <w:rPr>
          <w:rFonts w:ascii="Trebuchet MS" w:hAnsi="Trebuchet MS"/>
          <w:color w:val="000000"/>
        </w:rPr>
        <w:t>, introducing reward mechanisms that acknowledge effort, skill and performance could therefore improve morale, performance and retention.</w:t>
      </w:r>
    </w:p>
    <w:p w14:paraId="62154B67" w14:textId="77777777" w:rsidR="005F2C09" w:rsidRPr="00C8263F" w:rsidRDefault="005F2C09" w:rsidP="00C8263F">
      <w:pPr>
        <w:pStyle w:val="Nornal"/>
        <w:spacing w:after="0"/>
        <w:rPr>
          <w:rFonts w:ascii="Trebuchet MS" w:hAnsi="Trebuchet MS"/>
          <w:color w:val="000000"/>
        </w:rPr>
      </w:pPr>
    </w:p>
    <w:p w14:paraId="403B851C" w14:textId="77777777" w:rsidR="00C8263F" w:rsidRP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In summary, the principles of reward are central to addressing </w:t>
      </w:r>
      <w:proofErr w:type="spellStart"/>
      <w:r w:rsidRPr="00C8263F">
        <w:rPr>
          <w:rFonts w:ascii="Trebuchet MS" w:hAnsi="Trebuchet MS"/>
          <w:color w:val="000000"/>
        </w:rPr>
        <w:t>GreenFriendlyEco’s</w:t>
      </w:r>
      <w:proofErr w:type="spellEnd"/>
      <w:r w:rsidRPr="00C8263F">
        <w:rPr>
          <w:rFonts w:ascii="Trebuchet MS" w:hAnsi="Trebuchet MS"/>
          <w:color w:val="000000"/>
        </w:rPr>
        <w:t xml:space="preserve"> cultural and performance challenges. A fair, transparent and strategically aligned reward approach would support improved performance management, strengthen organisational culture and help reduce employee turnover.</w:t>
      </w:r>
    </w:p>
    <w:p w14:paraId="1AEC7F23" w14:textId="77777777" w:rsidR="00C8263F" w:rsidRPr="00E446B9" w:rsidRDefault="00C8263F" w:rsidP="00C8263F">
      <w:pPr>
        <w:pStyle w:val="Nornal"/>
        <w:spacing w:after="0" w:line="240" w:lineRule="auto"/>
        <w:rPr>
          <w:rFonts w:ascii="Trebuchet MS" w:hAnsi="Trebuchet MS"/>
          <w:color w:val="000000"/>
        </w:rPr>
      </w:pP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2DE87BF4" w:rsidR="004A79F5" w:rsidRDefault="00C31F43" w:rsidP="00C31F43">
      <w:pPr>
        <w:pStyle w:val="Nornal"/>
        <w:spacing w:after="0" w:line="240" w:lineRule="auto"/>
        <w:rPr>
          <w:rFonts w:ascii="Trebuchet MS" w:hAnsi="Trebuchet MS"/>
          <w:b/>
          <w:bCs/>
          <w:color w:val="000000" w:themeColor="text1"/>
        </w:rPr>
      </w:pPr>
      <w:r w:rsidRPr="00C31F43">
        <w:rPr>
          <w:rFonts w:ascii="Trebuchet MS" w:hAnsi="Trebuchet MS"/>
          <w:b/>
          <w:bCs/>
          <w:color w:val="000000"/>
        </w:rPr>
        <w:t>E</w:t>
      </w:r>
      <w:r w:rsidR="004A79F5" w:rsidRPr="00C31F43">
        <w:rPr>
          <w:rFonts w:ascii="Trebuchet MS" w:hAnsi="Trebuchet MS"/>
          <w:b/>
          <w:bCs/>
          <w:color w:val="000000"/>
        </w:rPr>
        <w:t xml:space="preserve">xtrinsic and </w:t>
      </w:r>
      <w:r w:rsidRPr="00C31F43">
        <w:rPr>
          <w:rFonts w:ascii="Trebuchet MS" w:hAnsi="Trebuchet MS"/>
          <w:b/>
          <w:bCs/>
          <w:color w:val="000000"/>
        </w:rPr>
        <w:t>I</w:t>
      </w:r>
      <w:r w:rsidR="004A79F5" w:rsidRPr="00C31F43">
        <w:rPr>
          <w:rFonts w:ascii="Trebuchet MS" w:hAnsi="Trebuchet MS"/>
          <w:b/>
          <w:bCs/>
          <w:color w:val="000000"/>
        </w:rPr>
        <w:t xml:space="preserve">ntrinsic </w:t>
      </w:r>
      <w:r w:rsidRPr="00C31F43">
        <w:rPr>
          <w:rFonts w:ascii="Trebuchet MS" w:hAnsi="Trebuchet MS"/>
          <w:b/>
          <w:bCs/>
          <w:color w:val="000000"/>
        </w:rPr>
        <w:t>R</w:t>
      </w:r>
      <w:r w:rsidR="004A79F5" w:rsidRPr="00C31F43">
        <w:rPr>
          <w:rFonts w:ascii="Trebuchet MS" w:hAnsi="Trebuchet MS"/>
          <w:b/>
          <w:bCs/>
          <w:color w:val="000000"/>
        </w:rPr>
        <w:t xml:space="preserve">ewards </w:t>
      </w:r>
      <w:r w:rsidR="004A79F5" w:rsidRPr="00C31F43">
        <w:rPr>
          <w:rFonts w:ascii="Trebuchet MS" w:hAnsi="Trebuchet MS"/>
          <w:b/>
          <w:bCs/>
          <w:color w:val="000000" w:themeColor="text1"/>
        </w:rPr>
        <w:t>(AC 1.2)</w:t>
      </w:r>
    </w:p>
    <w:p w14:paraId="60ACD403" w14:textId="77777777" w:rsidR="00AE1C2C" w:rsidRPr="00C31F43" w:rsidRDefault="00AE1C2C" w:rsidP="00C31F43">
      <w:pPr>
        <w:pStyle w:val="Nornal"/>
        <w:spacing w:after="0" w:line="240" w:lineRule="auto"/>
        <w:rPr>
          <w:rFonts w:ascii="Trebuchet MS" w:hAnsi="Trebuchet MS"/>
          <w:b/>
          <w:bCs/>
          <w:color w:val="000000"/>
        </w:rPr>
      </w:pPr>
    </w:p>
    <w:p w14:paraId="59E1D0C9"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Extrinsic and intrinsic rewards both play a significant role in improving employee contribution and sustaining organisational performance, but their effectiveness depends on how they are designed and applied. For </w:t>
      </w:r>
      <w:proofErr w:type="spellStart"/>
      <w:r w:rsidRPr="008C51AA">
        <w:rPr>
          <w:rFonts w:ascii="Trebuchet MS" w:hAnsi="Trebuchet MS"/>
          <w:color w:val="000000"/>
        </w:rPr>
        <w:t>GreenFriendlyEco</w:t>
      </w:r>
      <w:proofErr w:type="spellEnd"/>
      <w:r w:rsidRPr="008C51AA">
        <w:rPr>
          <w:rFonts w:ascii="Trebuchet MS" w:hAnsi="Trebuchet MS"/>
          <w:color w:val="000000"/>
        </w:rPr>
        <w:t xml:space="preserve">, where there </w:t>
      </w:r>
      <w:proofErr w:type="gramStart"/>
      <w:r w:rsidRPr="008C51AA">
        <w:rPr>
          <w:rFonts w:ascii="Trebuchet MS" w:hAnsi="Trebuchet MS"/>
          <w:color w:val="000000"/>
        </w:rPr>
        <w:t>is</w:t>
      </w:r>
      <w:proofErr w:type="gramEnd"/>
      <w:r w:rsidRPr="008C51AA">
        <w:rPr>
          <w:rFonts w:ascii="Trebuchet MS" w:hAnsi="Trebuchet MS"/>
          <w:color w:val="000000"/>
        </w:rPr>
        <w:t xml:space="preserve"> currently no incentive scheme and reward is largely limited to basic pay, holidays and a pension, the absence of a balanced reward strategy is likely contributing to low motivation and increased employee turnover. A total reward approach </w:t>
      </w:r>
      <w:r w:rsidRPr="008C51AA">
        <w:rPr>
          <w:rFonts w:ascii="Trebuchet MS" w:hAnsi="Trebuchet MS"/>
          <w:color w:val="000000"/>
        </w:rPr>
        <w:lastRenderedPageBreak/>
        <w:t>that integrates both extrinsic and intrinsic rewards is widely recognised as best practice within people management (CIPD, 2023).</w:t>
      </w:r>
    </w:p>
    <w:p w14:paraId="0EA5F662" w14:textId="77777777" w:rsidR="008C51AA" w:rsidRPr="008C51AA" w:rsidRDefault="008C51AA" w:rsidP="008C51AA">
      <w:pPr>
        <w:pStyle w:val="Nornal"/>
        <w:spacing w:after="0"/>
        <w:rPr>
          <w:rFonts w:ascii="Trebuchet MS" w:hAnsi="Trebuchet MS"/>
          <w:color w:val="000000"/>
        </w:rPr>
      </w:pPr>
    </w:p>
    <w:p w14:paraId="4713A70E"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Extrinsic rewards are tangible and financial in nature, including pay, bonuses, pensions and benefits. At </w:t>
      </w:r>
      <w:proofErr w:type="spellStart"/>
      <w:r w:rsidRPr="008C51AA">
        <w:rPr>
          <w:rFonts w:ascii="Trebuchet MS" w:hAnsi="Trebuchet MS"/>
          <w:color w:val="000000"/>
        </w:rPr>
        <w:t>GreenFriendlyEco</w:t>
      </w:r>
      <w:proofErr w:type="spellEnd"/>
      <w:r w:rsidRPr="008C51AA">
        <w:rPr>
          <w:rFonts w:ascii="Trebuchet MS" w:hAnsi="Trebuchet MS"/>
          <w:color w:val="000000"/>
        </w:rPr>
        <w:t>, pay is linked to measured day work with standard times maintained by the Finance and Administration Department. While this approach provides cost control and predictability, it offers limited opportunity to reward higher levels of effort, skill or performance. Armstrong (2023) argues that fair and competitive pay is a fundamental expectation and acts as a hygiene factor, preventing dissatisfaction rather than creating long-term motivation. Where extrinsic rewards are perceived as uncompetitive or inequitable — particularly given the known existence of enhanced schemes for senior staff — employee contribution may decline, resulting in disengagement and turnover.</w:t>
      </w:r>
    </w:p>
    <w:p w14:paraId="17C0357F" w14:textId="77777777" w:rsidR="008C51AA" w:rsidRPr="008C51AA" w:rsidRDefault="008C51AA" w:rsidP="008C51AA">
      <w:pPr>
        <w:pStyle w:val="Nornal"/>
        <w:spacing w:after="0"/>
        <w:rPr>
          <w:rFonts w:ascii="Trebuchet MS" w:hAnsi="Trebuchet MS"/>
          <w:color w:val="000000"/>
        </w:rPr>
      </w:pPr>
    </w:p>
    <w:p w14:paraId="57FC9D79"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However, reliance on extrinsic rewards alone has clear limitations. Financial incentives can encourage employees to focus narrowly on rewarded outputs rather than broader organisational goals, such as quality, teamwork or innovation. Kerr (1995) highlights the risk of rewarding the wrong behaviours if incentives are poorly aligned. This is particularly relevant in a manufacturing environment like </w:t>
      </w:r>
      <w:proofErr w:type="spellStart"/>
      <w:r w:rsidRPr="008C51AA">
        <w:rPr>
          <w:rFonts w:ascii="Trebuchet MS" w:hAnsi="Trebuchet MS"/>
          <w:color w:val="000000"/>
        </w:rPr>
        <w:t>GreenFriendlyEco</w:t>
      </w:r>
      <w:proofErr w:type="spellEnd"/>
      <w:r w:rsidRPr="008C51AA">
        <w:rPr>
          <w:rFonts w:ascii="Trebuchet MS" w:hAnsi="Trebuchet MS"/>
          <w:color w:val="000000"/>
        </w:rPr>
        <w:t>, where collaboration and consistent quality are critical to performance.</w:t>
      </w:r>
    </w:p>
    <w:p w14:paraId="6FBDCCEB" w14:textId="77777777" w:rsidR="00AE1C2C" w:rsidRPr="008C51AA" w:rsidRDefault="00AE1C2C" w:rsidP="008C51AA">
      <w:pPr>
        <w:pStyle w:val="Nornal"/>
        <w:spacing w:after="0"/>
        <w:rPr>
          <w:rFonts w:ascii="Trebuchet MS" w:hAnsi="Trebuchet MS"/>
          <w:color w:val="000000"/>
        </w:rPr>
      </w:pPr>
    </w:p>
    <w:p w14:paraId="11321F8C"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Intrinsic rewards relate to the psychological benefits employees gain from their work, such as recognition, achievement, autonomy and opportunities for development. Herzberg’s two-factor theory suggests that intrinsic factors are key drivers of motivation and engagement (Herzberg, 2003). Currently, </w:t>
      </w:r>
      <w:proofErr w:type="spellStart"/>
      <w:r w:rsidRPr="008C51AA">
        <w:rPr>
          <w:rFonts w:ascii="Trebuchet MS" w:hAnsi="Trebuchet MS"/>
          <w:color w:val="000000"/>
        </w:rPr>
        <w:t>GreenFriendlyEco’s</w:t>
      </w:r>
      <w:proofErr w:type="spellEnd"/>
      <w:r w:rsidRPr="008C51AA">
        <w:rPr>
          <w:rFonts w:ascii="Trebuchet MS" w:hAnsi="Trebuchet MS"/>
          <w:color w:val="000000"/>
        </w:rPr>
        <w:t xml:space="preserve"> reward framework appears to place limited emphasis on recognition or development, which may contribute to a negative organisational culture and low discretionary effort.</w:t>
      </w:r>
    </w:p>
    <w:p w14:paraId="32A8C934" w14:textId="77777777" w:rsidR="00AE1C2C" w:rsidRPr="008C51AA" w:rsidRDefault="00AE1C2C" w:rsidP="008C51AA">
      <w:pPr>
        <w:pStyle w:val="Nornal"/>
        <w:spacing w:after="0"/>
        <w:rPr>
          <w:rFonts w:ascii="Trebuchet MS" w:hAnsi="Trebuchet MS"/>
          <w:color w:val="000000"/>
        </w:rPr>
      </w:pPr>
    </w:p>
    <w:p w14:paraId="4AF1099D"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CIPD (2022) emphasises that intrinsic rewards are especially effective in supporting long-term contribution by fostering engagement and alignment with organisational values. Introducing practices such as regular recognition, skills development opportunities and greater employee involvement could encourage </w:t>
      </w:r>
      <w:proofErr w:type="spellStart"/>
      <w:r w:rsidRPr="008C51AA">
        <w:rPr>
          <w:rFonts w:ascii="Trebuchet MS" w:hAnsi="Trebuchet MS"/>
          <w:color w:val="000000"/>
        </w:rPr>
        <w:t>GreenFriendlyEco</w:t>
      </w:r>
      <w:proofErr w:type="spellEnd"/>
      <w:r w:rsidRPr="008C51AA">
        <w:rPr>
          <w:rFonts w:ascii="Trebuchet MS" w:hAnsi="Trebuchet MS"/>
          <w:color w:val="000000"/>
        </w:rPr>
        <w:t xml:space="preserve"> employees to feel valued and invested in the organisation’s success.</w:t>
      </w:r>
    </w:p>
    <w:p w14:paraId="5A22312B" w14:textId="77777777" w:rsidR="00AE1C2C" w:rsidRPr="008C51AA" w:rsidRDefault="00AE1C2C" w:rsidP="008C51AA">
      <w:pPr>
        <w:pStyle w:val="Nornal"/>
        <w:spacing w:after="0"/>
        <w:rPr>
          <w:rFonts w:ascii="Trebuchet MS" w:hAnsi="Trebuchet MS"/>
          <w:color w:val="000000"/>
        </w:rPr>
      </w:pPr>
    </w:p>
    <w:p w14:paraId="1C0A9804" w14:textId="77777777" w:rsidR="008C51AA" w:rsidRP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Critically, intrinsic and extrinsic rewards are most effective when combined within a total reward framework. Armstrong and Taylor (2020) argue that employees are motivated by both financial security and meaningful work. For </w:t>
      </w:r>
      <w:proofErr w:type="spellStart"/>
      <w:r w:rsidRPr="008C51AA">
        <w:rPr>
          <w:rFonts w:ascii="Trebuchet MS" w:hAnsi="Trebuchet MS"/>
          <w:color w:val="000000"/>
        </w:rPr>
        <w:t>GreenFriendlyEco</w:t>
      </w:r>
      <w:proofErr w:type="spellEnd"/>
      <w:r w:rsidRPr="008C51AA">
        <w:rPr>
          <w:rFonts w:ascii="Trebuchet MS" w:hAnsi="Trebuchet MS"/>
          <w:color w:val="000000"/>
        </w:rPr>
        <w:t>, adopting a balanced reward strategy would help improve motivation, performance and retention, supporting sustained organisational performance in the long term.</w:t>
      </w:r>
    </w:p>
    <w:p w14:paraId="5FCBC33D" w14:textId="77777777" w:rsidR="001D7886" w:rsidRPr="00E446B9" w:rsidRDefault="001D7886" w:rsidP="001D7886">
      <w:pPr>
        <w:pStyle w:val="Nornal"/>
        <w:spacing w:after="0" w:line="240" w:lineRule="auto"/>
        <w:rPr>
          <w:rFonts w:ascii="Trebuchet MS" w:hAnsi="Trebuchet MS"/>
          <w:color w:val="000000"/>
        </w:rPr>
      </w:pP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520E157" w:rsidR="004A79F5" w:rsidRPr="00845563" w:rsidRDefault="00845563" w:rsidP="00BE417C">
      <w:pPr>
        <w:pStyle w:val="Nornal"/>
        <w:spacing w:after="0" w:line="240" w:lineRule="auto"/>
        <w:rPr>
          <w:rFonts w:ascii="Trebuchet MS" w:hAnsi="Trebuchet MS"/>
          <w:b/>
          <w:bCs/>
        </w:rPr>
      </w:pPr>
      <w:r w:rsidRPr="00845563">
        <w:rPr>
          <w:rFonts w:ascii="Trebuchet MS" w:hAnsi="Trebuchet MS"/>
          <w:b/>
          <w:bCs/>
        </w:rPr>
        <w:t>G</w:t>
      </w:r>
      <w:r w:rsidR="004A79F5" w:rsidRPr="00845563">
        <w:rPr>
          <w:rFonts w:ascii="Trebuchet MS" w:hAnsi="Trebuchet MS"/>
          <w:b/>
          <w:bCs/>
        </w:rPr>
        <w:t>rade</w:t>
      </w:r>
      <w:r w:rsidRPr="00845563">
        <w:rPr>
          <w:rFonts w:ascii="Trebuchet MS" w:hAnsi="Trebuchet MS"/>
          <w:b/>
          <w:bCs/>
        </w:rPr>
        <w:t>s</w:t>
      </w:r>
      <w:r w:rsidR="004A79F5" w:rsidRPr="00845563">
        <w:rPr>
          <w:rFonts w:ascii="Trebuchet MS" w:hAnsi="Trebuchet MS"/>
          <w:b/>
          <w:bCs/>
        </w:rPr>
        <w:t xml:space="preserve"> and </w:t>
      </w:r>
      <w:r w:rsidRPr="00845563">
        <w:rPr>
          <w:rFonts w:ascii="Trebuchet MS" w:hAnsi="Trebuchet MS"/>
          <w:b/>
          <w:bCs/>
        </w:rPr>
        <w:t>P</w:t>
      </w:r>
      <w:r w:rsidR="004A79F5" w:rsidRPr="00845563">
        <w:rPr>
          <w:rFonts w:ascii="Trebuchet MS" w:hAnsi="Trebuchet MS"/>
          <w:b/>
          <w:bCs/>
        </w:rPr>
        <w:t xml:space="preserve">ay </w:t>
      </w:r>
      <w:r w:rsidRPr="00845563">
        <w:rPr>
          <w:rFonts w:ascii="Trebuchet MS" w:hAnsi="Trebuchet MS"/>
          <w:b/>
          <w:bCs/>
        </w:rPr>
        <w:t>S</w:t>
      </w:r>
      <w:r w:rsidR="004A79F5" w:rsidRPr="00845563">
        <w:rPr>
          <w:rFonts w:ascii="Trebuchet MS" w:hAnsi="Trebuchet MS"/>
          <w:b/>
          <w:bCs/>
        </w:rPr>
        <w:t>tructures (AC 2.1)</w:t>
      </w:r>
    </w:p>
    <w:p w14:paraId="12CD4BC8" w14:textId="77777777" w:rsidR="00216BCB" w:rsidRPr="00216BCB" w:rsidRDefault="00216BCB" w:rsidP="00216BCB">
      <w:pPr>
        <w:pStyle w:val="NormalWeb"/>
        <w:rPr>
          <w:rFonts w:ascii="Trebuchet MS" w:hAnsi="Trebuchet MS"/>
          <w:sz w:val="24"/>
        </w:rPr>
      </w:pPr>
      <w:r w:rsidRPr="00216BCB">
        <w:rPr>
          <w:rFonts w:ascii="Trebuchet MS" w:hAnsi="Trebuchet MS"/>
        </w:rPr>
        <w:t xml:space="preserve">Grade and pay structures provide a systematic framework for determining how roles are valued and rewarded within an organisation. They support fairness, consistency and transparency in pay decisions and are commonly informed by job evaluation and market data (Armstrong, 2023). Different types of </w:t>
      </w:r>
      <w:proofErr w:type="gramStart"/>
      <w:r w:rsidRPr="00216BCB">
        <w:rPr>
          <w:rFonts w:ascii="Trebuchet MS" w:hAnsi="Trebuchet MS"/>
        </w:rPr>
        <w:t>grade</w:t>
      </w:r>
      <w:proofErr w:type="gramEnd"/>
      <w:r w:rsidRPr="00216BCB">
        <w:rPr>
          <w:rFonts w:ascii="Trebuchet MS" w:hAnsi="Trebuchet MS"/>
        </w:rPr>
        <w:t xml:space="preserve"> and pay structures exist, each with distinct characteristics, advantages and limitations.</w:t>
      </w:r>
    </w:p>
    <w:p w14:paraId="68E0FDA3" w14:textId="77777777" w:rsidR="00216BCB" w:rsidRPr="00216BCB" w:rsidRDefault="00216BCB" w:rsidP="00216BCB">
      <w:pPr>
        <w:pStyle w:val="NormalWeb"/>
        <w:rPr>
          <w:rFonts w:ascii="Trebuchet MS" w:hAnsi="Trebuchet MS"/>
        </w:rPr>
      </w:pPr>
      <w:r w:rsidRPr="00216BCB">
        <w:rPr>
          <w:rStyle w:val="Strong"/>
          <w:rFonts w:ascii="Trebuchet MS" w:hAnsi="Trebuchet MS"/>
          <w:b w:val="0"/>
          <w:bCs w:val="0"/>
        </w:rPr>
        <w:t>Traditional graded pay structures</w:t>
      </w:r>
      <w:r w:rsidRPr="00216BCB">
        <w:rPr>
          <w:rFonts w:ascii="Trebuchet MS" w:hAnsi="Trebuchet MS"/>
        </w:rPr>
        <w:t xml:space="preserve"> are the most widely used and consist of a hierarchy of job grades, each with a defined pay range. Jobs of similar size or value are grouped into grades, allowing for progression through incremental increases based on performance, competence or length of service. This structure supports internal equity and is easy for employees to understand, </w:t>
      </w:r>
      <w:r w:rsidRPr="00216BCB">
        <w:rPr>
          <w:rFonts w:ascii="Trebuchet MS" w:hAnsi="Trebuchet MS"/>
        </w:rPr>
        <w:lastRenderedPageBreak/>
        <w:t>making it suitable for large or established organisations. However, traditional grades can be inflexible and may encourage promotion-seeking rather than skill development (CIPD, 2023).</w:t>
      </w:r>
    </w:p>
    <w:p w14:paraId="1A6F4915" w14:textId="77777777" w:rsidR="00216BCB" w:rsidRPr="00216BCB" w:rsidRDefault="00216BCB" w:rsidP="00216BCB">
      <w:pPr>
        <w:pStyle w:val="NormalWeb"/>
        <w:rPr>
          <w:rFonts w:ascii="Trebuchet MS" w:hAnsi="Trebuchet MS"/>
        </w:rPr>
      </w:pPr>
      <w:r w:rsidRPr="00216BCB">
        <w:rPr>
          <w:rStyle w:val="Strong"/>
          <w:rFonts w:ascii="Trebuchet MS" w:hAnsi="Trebuchet MS"/>
          <w:b w:val="0"/>
          <w:bCs w:val="0"/>
        </w:rPr>
        <w:t>Broad-banded pay structures</w:t>
      </w:r>
      <w:r w:rsidRPr="00216BCB">
        <w:rPr>
          <w:rFonts w:ascii="Trebuchet MS" w:hAnsi="Trebuchet MS"/>
        </w:rPr>
        <w:t xml:space="preserve"> reduce the number of grades and replace them with wider pay bands. Each band covers a broader range of roles and salaries, providing greater flexibility in reward decisions. </w:t>
      </w:r>
      <w:proofErr w:type="gramStart"/>
      <w:r w:rsidRPr="00216BCB">
        <w:rPr>
          <w:rFonts w:ascii="Trebuchet MS" w:hAnsi="Trebuchet MS"/>
        </w:rPr>
        <w:t>Broad-banding</w:t>
      </w:r>
      <w:proofErr w:type="gramEnd"/>
      <w:r w:rsidRPr="00216BCB">
        <w:rPr>
          <w:rFonts w:ascii="Trebuchet MS" w:hAnsi="Trebuchet MS"/>
        </w:rPr>
        <w:t xml:space="preserve"> supports flatter organisational structures and can encourage lateral development rather than vertical promotion. Armstrong and Taylor (2020) note that while this approach increases managerial discretion and responsiveness to market rates, it can also reduce transparency and increase the risk of perceived unfairness if governance is weak.</w:t>
      </w:r>
    </w:p>
    <w:p w14:paraId="3A536F90" w14:textId="77777777" w:rsidR="00216BCB" w:rsidRPr="00216BCB" w:rsidRDefault="00216BCB" w:rsidP="00216BCB">
      <w:pPr>
        <w:pStyle w:val="NormalWeb"/>
        <w:rPr>
          <w:rFonts w:ascii="Trebuchet MS" w:hAnsi="Trebuchet MS"/>
        </w:rPr>
      </w:pPr>
      <w:r w:rsidRPr="00216BCB">
        <w:rPr>
          <w:rStyle w:val="Strong"/>
          <w:rFonts w:ascii="Trebuchet MS" w:hAnsi="Trebuchet MS"/>
          <w:b w:val="0"/>
          <w:bCs w:val="0"/>
        </w:rPr>
        <w:t>Pay spines</w:t>
      </w:r>
      <w:r w:rsidRPr="00216BCB">
        <w:rPr>
          <w:rFonts w:ascii="Trebuchet MS" w:hAnsi="Trebuchet MS"/>
        </w:rPr>
        <w:t>, commonly used in the public sector, consist of a series of incremental pay points within grades. Progression is typically based on service length rather than performance. Pay spines promote consistency and equal pay compliance but offer limited scope to reward individual contribution or high performance. As a result, they may be less effective in driving productivity or engagement in competitive environments (CIPD, 2022).</w:t>
      </w:r>
    </w:p>
    <w:p w14:paraId="2DEBC559" w14:textId="77777777" w:rsidR="00216BCB" w:rsidRPr="00216BCB" w:rsidRDefault="00216BCB" w:rsidP="00216BCB">
      <w:pPr>
        <w:pStyle w:val="NormalWeb"/>
        <w:rPr>
          <w:rFonts w:ascii="Trebuchet MS" w:hAnsi="Trebuchet MS"/>
        </w:rPr>
      </w:pPr>
      <w:r w:rsidRPr="00216BCB">
        <w:rPr>
          <w:rStyle w:val="Strong"/>
          <w:rFonts w:ascii="Trebuchet MS" w:hAnsi="Trebuchet MS"/>
          <w:b w:val="0"/>
          <w:bCs w:val="0"/>
        </w:rPr>
        <w:t>Career family structures</w:t>
      </w:r>
      <w:r w:rsidRPr="00216BCB">
        <w:rPr>
          <w:rFonts w:ascii="Trebuchet MS" w:hAnsi="Trebuchet MS"/>
        </w:rPr>
        <w:t xml:space="preserve"> group roles by function or profession, such as engineering, finance or operations, with defined levels within each family. This approach supports clarity around career progression and skill development while allowing pay to reflect market variations between different job families. Career families are particularly effective in knowledge-based or technical organisations but require robust job architecture and ongoing maintenance (Armstrong, 2023).</w:t>
      </w:r>
    </w:p>
    <w:p w14:paraId="48FEBF99" w14:textId="77777777" w:rsidR="00216BCB" w:rsidRPr="00216BCB" w:rsidRDefault="00216BCB" w:rsidP="00216BCB">
      <w:pPr>
        <w:pStyle w:val="NormalWeb"/>
        <w:rPr>
          <w:rFonts w:ascii="Trebuchet MS" w:hAnsi="Trebuchet MS"/>
        </w:rPr>
      </w:pPr>
      <w:r w:rsidRPr="00216BCB">
        <w:rPr>
          <w:rStyle w:val="Strong"/>
          <w:rFonts w:ascii="Trebuchet MS" w:hAnsi="Trebuchet MS"/>
          <w:b w:val="0"/>
          <w:bCs w:val="0"/>
        </w:rPr>
        <w:t>Job family and market-based pay structures</w:t>
      </w:r>
      <w:r w:rsidRPr="00216BCB">
        <w:rPr>
          <w:rFonts w:ascii="Trebuchet MS" w:hAnsi="Trebuchet MS"/>
        </w:rPr>
        <w:t xml:space="preserve"> place greater emphasis on external competitiveness, with pay aligned closely to labour market rates rather than internal hierarchy. While this can aid attraction and retention in hard-to-fill roles, it may create internal equity challenges if not carefully managed.</w:t>
      </w:r>
    </w:p>
    <w:p w14:paraId="5394F801" w14:textId="4F579A20" w:rsidR="00216BCB" w:rsidRPr="006310E5" w:rsidRDefault="00216BCB" w:rsidP="006310E5">
      <w:pPr>
        <w:pStyle w:val="NormalWeb"/>
        <w:rPr>
          <w:rFonts w:ascii="Trebuchet MS" w:hAnsi="Trebuchet MS"/>
        </w:rPr>
      </w:pPr>
      <w:r w:rsidRPr="00216BCB">
        <w:rPr>
          <w:rFonts w:ascii="Trebuchet MS" w:hAnsi="Trebuchet MS"/>
        </w:rPr>
        <w:t>In summary, the key differences between grade and pay structures lie in their level of flexibility, transparency and alignment with organisational strategy. Traditional graded structures emphasise consistency and control, while broader and market-focused structures offer adaptability but require strong governance. Selecting the appropriate structure depends on organisational size, culture, labour market pressures and strategic priorities.</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4343D4B6" w:rsidR="004A79F5" w:rsidRPr="006310E5" w:rsidRDefault="006310E5" w:rsidP="006310E5">
      <w:pPr>
        <w:pStyle w:val="Nornal"/>
        <w:spacing w:after="0" w:line="240" w:lineRule="auto"/>
        <w:rPr>
          <w:rFonts w:ascii="Trebuchet MS" w:hAnsi="Trebuchet MS"/>
          <w:b/>
          <w:bCs/>
          <w:color w:val="000000"/>
        </w:rPr>
      </w:pPr>
      <w:r w:rsidRPr="006310E5">
        <w:rPr>
          <w:rFonts w:ascii="Trebuchet MS" w:hAnsi="Trebuchet MS"/>
          <w:b/>
          <w:bCs/>
          <w:color w:val="000000" w:themeColor="text1"/>
        </w:rPr>
        <w:t>I</w:t>
      </w:r>
      <w:r w:rsidR="004A79F5" w:rsidRPr="006310E5">
        <w:rPr>
          <w:rFonts w:ascii="Trebuchet MS" w:hAnsi="Trebuchet MS"/>
          <w:b/>
          <w:bCs/>
          <w:color w:val="000000" w:themeColor="text1"/>
        </w:rPr>
        <w:t xml:space="preserve">ndividual, </w:t>
      </w:r>
      <w:r w:rsidRPr="006310E5">
        <w:rPr>
          <w:rFonts w:ascii="Trebuchet MS" w:hAnsi="Trebuchet MS"/>
          <w:b/>
          <w:bCs/>
          <w:color w:val="000000" w:themeColor="text1"/>
        </w:rPr>
        <w:t>T</w:t>
      </w:r>
      <w:r w:rsidR="004A79F5" w:rsidRPr="006310E5">
        <w:rPr>
          <w:rFonts w:ascii="Trebuchet MS" w:hAnsi="Trebuchet MS"/>
          <w:b/>
          <w:bCs/>
          <w:color w:val="000000" w:themeColor="text1"/>
        </w:rPr>
        <w:t xml:space="preserve">eam and </w:t>
      </w:r>
      <w:r w:rsidRPr="006310E5">
        <w:rPr>
          <w:rFonts w:ascii="Trebuchet MS" w:hAnsi="Trebuchet MS"/>
          <w:b/>
          <w:bCs/>
          <w:color w:val="000000" w:themeColor="text1"/>
        </w:rPr>
        <w:t>O</w:t>
      </w:r>
      <w:r w:rsidR="004A79F5" w:rsidRPr="006310E5">
        <w:rPr>
          <w:rFonts w:ascii="Trebuchet MS" w:hAnsi="Trebuchet MS"/>
          <w:b/>
          <w:bCs/>
          <w:color w:val="000000" w:themeColor="text1"/>
        </w:rPr>
        <w:t xml:space="preserve">rganisational </w:t>
      </w:r>
      <w:r w:rsidRPr="006310E5">
        <w:rPr>
          <w:rFonts w:ascii="Trebuchet MS" w:hAnsi="Trebuchet MS"/>
          <w:b/>
          <w:bCs/>
          <w:color w:val="000000" w:themeColor="text1"/>
        </w:rPr>
        <w:t>P</w:t>
      </w:r>
      <w:r w:rsidR="004A79F5" w:rsidRPr="006310E5">
        <w:rPr>
          <w:rFonts w:ascii="Trebuchet MS" w:hAnsi="Trebuchet MS"/>
          <w:b/>
          <w:bCs/>
          <w:color w:val="000000" w:themeColor="text1"/>
        </w:rPr>
        <w:t>erformance (AC 2.2)</w:t>
      </w:r>
    </w:p>
    <w:p w14:paraId="54F097F4" w14:textId="77777777" w:rsidR="00F851AF" w:rsidRPr="00F851AF" w:rsidRDefault="00F851AF" w:rsidP="00F851AF">
      <w:pPr>
        <w:pStyle w:val="NormalWeb"/>
        <w:rPr>
          <w:rFonts w:ascii="Trebuchet MS" w:hAnsi="Trebuchet MS"/>
          <w:sz w:val="24"/>
        </w:rPr>
      </w:pPr>
      <w:r w:rsidRPr="00F851AF">
        <w:rPr>
          <w:rFonts w:ascii="Trebuchet MS" w:hAnsi="Trebuchet MS"/>
        </w:rPr>
        <w:t xml:space="preserve">Contingent rewards are rewards that are dependent on performance, contribution or achievement, such as bonuses, incentives or recognition awards. For </w:t>
      </w:r>
      <w:proofErr w:type="spellStart"/>
      <w:r w:rsidRPr="00F851AF">
        <w:rPr>
          <w:rFonts w:ascii="Trebuchet MS" w:hAnsi="Trebuchet MS"/>
        </w:rPr>
        <w:t>GreenFriendlyEco</w:t>
      </w:r>
      <w:proofErr w:type="spellEnd"/>
      <w:r w:rsidRPr="00F851AF">
        <w:rPr>
          <w:rFonts w:ascii="Trebuchet MS" w:hAnsi="Trebuchet MS"/>
        </w:rPr>
        <w:t>, where no incentive scheme currently operates and performance expectations are linked mainly to measured day work, the introduction of contingent rewards could play a significant role in improving individual, team and organisational performance.</w:t>
      </w:r>
    </w:p>
    <w:p w14:paraId="2D0252E5" w14:textId="77777777" w:rsidR="00F851AF" w:rsidRPr="00F851AF" w:rsidRDefault="00F851AF" w:rsidP="00F851AF">
      <w:pPr>
        <w:pStyle w:val="NormalWeb"/>
        <w:rPr>
          <w:rFonts w:ascii="Trebuchet MS" w:hAnsi="Trebuchet MS"/>
        </w:rPr>
      </w:pPr>
      <w:r w:rsidRPr="00F851AF">
        <w:rPr>
          <w:rFonts w:ascii="Trebuchet MS" w:hAnsi="Trebuchet MS"/>
        </w:rPr>
        <w:t xml:space="preserve">At an </w:t>
      </w:r>
      <w:r w:rsidRPr="00F851AF">
        <w:rPr>
          <w:rStyle w:val="Strong"/>
          <w:rFonts w:ascii="Trebuchet MS" w:hAnsi="Trebuchet MS"/>
          <w:b w:val="0"/>
          <w:bCs w:val="0"/>
        </w:rPr>
        <w:t>individual level</w:t>
      </w:r>
      <w:r w:rsidRPr="00F851AF">
        <w:rPr>
          <w:rFonts w:ascii="Trebuchet MS" w:hAnsi="Trebuchet MS"/>
        </w:rPr>
        <w:t xml:space="preserve">, contingent rewards can strengthen the link between effort and reward, which is currently weak within </w:t>
      </w:r>
      <w:proofErr w:type="spellStart"/>
      <w:r w:rsidRPr="00F851AF">
        <w:rPr>
          <w:rFonts w:ascii="Trebuchet MS" w:hAnsi="Trebuchet MS"/>
        </w:rPr>
        <w:t>GreenFriendlyEco’s</w:t>
      </w:r>
      <w:proofErr w:type="spellEnd"/>
      <w:r w:rsidRPr="00F851AF">
        <w:rPr>
          <w:rFonts w:ascii="Trebuchet MS" w:hAnsi="Trebuchet MS"/>
        </w:rPr>
        <w:t xml:space="preserve"> reward framework. Expectancy theory suggests that employees are more motivated when they believe increased effort will result in valued outcomes (Vroom, 1964). Introducing individual performance-related rewards, such as skill-based pay or quality bonuses, could encourage employees to exceed minimum output standards, improve product quality and develop additional skills. However, CIPD (2023) cautions that contingent rewards must be based on fair and measurable criteria. If employees perceive rewards as subjective or unattainable, motivation and trust may decline rather than improve.</w:t>
      </w:r>
    </w:p>
    <w:p w14:paraId="4D32DA35" w14:textId="77777777" w:rsidR="00F851AF" w:rsidRPr="00F851AF" w:rsidRDefault="00F851AF" w:rsidP="00F851AF">
      <w:pPr>
        <w:pStyle w:val="NormalWeb"/>
        <w:rPr>
          <w:rFonts w:ascii="Trebuchet MS" w:hAnsi="Trebuchet MS"/>
        </w:rPr>
      </w:pPr>
      <w:r w:rsidRPr="00F851AF">
        <w:rPr>
          <w:rFonts w:ascii="Trebuchet MS" w:hAnsi="Trebuchet MS"/>
        </w:rPr>
        <w:t xml:space="preserve">At a </w:t>
      </w:r>
      <w:r w:rsidRPr="00F851AF">
        <w:rPr>
          <w:rStyle w:val="Strong"/>
          <w:rFonts w:ascii="Trebuchet MS" w:hAnsi="Trebuchet MS"/>
          <w:b w:val="0"/>
          <w:bCs w:val="0"/>
        </w:rPr>
        <w:t>team level</w:t>
      </w:r>
      <w:r w:rsidRPr="00F851AF">
        <w:rPr>
          <w:rFonts w:ascii="Trebuchet MS" w:hAnsi="Trebuchet MS"/>
          <w:b/>
          <w:bCs/>
        </w:rPr>
        <w:t>,</w:t>
      </w:r>
      <w:r w:rsidRPr="00F851AF">
        <w:rPr>
          <w:rFonts w:ascii="Trebuchet MS" w:hAnsi="Trebuchet MS"/>
        </w:rPr>
        <w:t xml:space="preserve"> contingent rewards could help address cultural issues linked to low morale and disengagement. Team-based incentives, such as productivity or safety bonuses, would encourage </w:t>
      </w:r>
      <w:r w:rsidRPr="00F851AF">
        <w:rPr>
          <w:rFonts w:ascii="Trebuchet MS" w:hAnsi="Trebuchet MS"/>
        </w:rPr>
        <w:lastRenderedPageBreak/>
        <w:t>collaboration and shared responsibility across production lines. Armstrong and Taylor (2020) highlight that team rewards are particularly effective in manufacturing environments where tasks are interdependent. This approach could reduce siloed working and reinforce positive behaviours such as mutual support and knowledge sharing. However, care must be taken to ensure that team rewards do not mask individual underperformance or create peer pressure that damages relationships.</w:t>
      </w:r>
    </w:p>
    <w:p w14:paraId="32E9F3E1" w14:textId="77777777" w:rsidR="00F851AF" w:rsidRPr="00F851AF" w:rsidRDefault="00F851AF" w:rsidP="00F851AF">
      <w:pPr>
        <w:pStyle w:val="NormalWeb"/>
        <w:rPr>
          <w:rFonts w:ascii="Trebuchet MS" w:hAnsi="Trebuchet MS"/>
        </w:rPr>
      </w:pPr>
      <w:r w:rsidRPr="00F851AF">
        <w:rPr>
          <w:rFonts w:ascii="Trebuchet MS" w:hAnsi="Trebuchet MS"/>
        </w:rPr>
        <w:t xml:space="preserve">At an </w:t>
      </w:r>
      <w:r w:rsidRPr="00F851AF">
        <w:rPr>
          <w:rStyle w:val="Strong"/>
          <w:rFonts w:ascii="Trebuchet MS" w:hAnsi="Trebuchet MS"/>
          <w:b w:val="0"/>
          <w:bCs w:val="0"/>
        </w:rPr>
        <w:t>organisational level</w:t>
      </w:r>
      <w:r w:rsidRPr="00F851AF">
        <w:rPr>
          <w:rFonts w:ascii="Trebuchet MS" w:hAnsi="Trebuchet MS"/>
        </w:rPr>
        <w:t xml:space="preserve">, contingent rewards can be aligned with </w:t>
      </w:r>
      <w:proofErr w:type="spellStart"/>
      <w:r w:rsidRPr="00F851AF">
        <w:rPr>
          <w:rFonts w:ascii="Trebuchet MS" w:hAnsi="Trebuchet MS"/>
        </w:rPr>
        <w:t>GreenFriendlyEco’s</w:t>
      </w:r>
      <w:proofErr w:type="spellEnd"/>
      <w:r w:rsidRPr="00F851AF">
        <w:rPr>
          <w:rFonts w:ascii="Trebuchet MS" w:hAnsi="Trebuchet MS"/>
        </w:rPr>
        <w:t xml:space="preserve"> strategic objectives, such as improving productivity, retaining skilled employees and strengthening organisational culture. Organisation-wide incentives linked to performance outcomes, for example profitability, quality targets or sustainability goals, can help employees feel connected to the company’s success. CIPD (2022) notes that such schemes can enhance engagement and commitment by reinforcing a shared sense of purpose. This is particularly important for </w:t>
      </w:r>
      <w:proofErr w:type="spellStart"/>
      <w:r w:rsidRPr="00F851AF">
        <w:rPr>
          <w:rFonts w:ascii="Trebuchet MS" w:hAnsi="Trebuchet MS"/>
        </w:rPr>
        <w:t>GreenFriendlyEco</w:t>
      </w:r>
      <w:proofErr w:type="spellEnd"/>
      <w:r w:rsidRPr="00F851AF">
        <w:rPr>
          <w:rFonts w:ascii="Trebuchet MS" w:hAnsi="Trebuchet MS"/>
        </w:rPr>
        <w:t>, where the existence of special reward schemes for senior staff may currently undermine perceptions of fairness.</w:t>
      </w:r>
    </w:p>
    <w:p w14:paraId="543DC34C" w14:textId="77777777" w:rsidR="00F851AF" w:rsidRPr="00F851AF" w:rsidRDefault="00F851AF" w:rsidP="00F851AF">
      <w:pPr>
        <w:pStyle w:val="NormalWeb"/>
        <w:rPr>
          <w:rFonts w:ascii="Trebuchet MS" w:hAnsi="Trebuchet MS"/>
        </w:rPr>
      </w:pPr>
      <w:r w:rsidRPr="00F851AF">
        <w:rPr>
          <w:rFonts w:ascii="Trebuchet MS" w:hAnsi="Trebuchet MS"/>
        </w:rPr>
        <w:t xml:space="preserve">Despite their potential benefits, contingent rewards also carry risks. Over-reliance on short-term incentives may encourage employees to focus narrowly on rewarded outputs at the expense of broader values or long-term performance. Kerr (1995) warns that poorly designed reward systems can unintentionally reinforce the wrong behaviours. Therefore, contingent rewards at </w:t>
      </w:r>
      <w:proofErr w:type="spellStart"/>
      <w:r w:rsidRPr="00F851AF">
        <w:rPr>
          <w:rFonts w:ascii="Trebuchet MS" w:hAnsi="Trebuchet MS"/>
        </w:rPr>
        <w:t>GreenFriendlyEco</w:t>
      </w:r>
      <w:proofErr w:type="spellEnd"/>
      <w:r w:rsidRPr="00F851AF">
        <w:rPr>
          <w:rFonts w:ascii="Trebuchet MS" w:hAnsi="Trebuchet MS"/>
        </w:rPr>
        <w:t xml:space="preserve"> should be supported by clear performance management processes and balanced with intrinsic rewards such as recognition, development opportunities and involvement.</w:t>
      </w:r>
    </w:p>
    <w:p w14:paraId="627D4A27" w14:textId="141BE6BB" w:rsidR="004A79F5" w:rsidRDefault="00F851AF" w:rsidP="00C7030C">
      <w:pPr>
        <w:pStyle w:val="NormalWeb"/>
        <w:rPr>
          <w:rFonts w:ascii="Trebuchet MS" w:hAnsi="Trebuchet MS"/>
        </w:rPr>
      </w:pPr>
      <w:r w:rsidRPr="00F851AF">
        <w:rPr>
          <w:rFonts w:ascii="Trebuchet MS" w:hAnsi="Trebuchet MS"/>
        </w:rPr>
        <w:t xml:space="preserve">In conclusion, well-designed contingent rewards could positively impact individual, team and organisational performance at </w:t>
      </w:r>
      <w:proofErr w:type="spellStart"/>
      <w:r w:rsidRPr="00F851AF">
        <w:rPr>
          <w:rFonts w:ascii="Trebuchet MS" w:hAnsi="Trebuchet MS"/>
        </w:rPr>
        <w:t>GreenFriendlyEco</w:t>
      </w:r>
      <w:proofErr w:type="spellEnd"/>
      <w:r w:rsidRPr="00F851AF">
        <w:rPr>
          <w:rFonts w:ascii="Trebuchet MS" w:hAnsi="Trebuchet MS"/>
        </w:rPr>
        <w:t xml:space="preserve"> by improving motivation, collaboration and alignment with organisational goals. Their success will depend on fairness, transparency and integration within a broader total reward strategy.</w:t>
      </w:r>
    </w:p>
    <w:p w14:paraId="04A84F91" w14:textId="77777777" w:rsidR="00C7030C" w:rsidRPr="00C7030C" w:rsidRDefault="00C7030C" w:rsidP="00C7030C">
      <w:pPr>
        <w:pStyle w:val="NormalWeb"/>
        <w:rPr>
          <w:rFonts w:ascii="Trebuchet MS" w:hAnsi="Trebuchet MS"/>
        </w:rPr>
      </w:pPr>
    </w:p>
    <w:p w14:paraId="7B92AF94" w14:textId="022CF098" w:rsidR="004A79F5" w:rsidRPr="00C7030C" w:rsidRDefault="00FC1494" w:rsidP="00FC1494">
      <w:pPr>
        <w:pStyle w:val="Nornal"/>
        <w:spacing w:after="0" w:line="240" w:lineRule="auto"/>
        <w:rPr>
          <w:rFonts w:ascii="Trebuchet MS" w:hAnsi="Trebuchet MS"/>
          <w:b/>
          <w:bCs/>
          <w:color w:val="000000"/>
        </w:rPr>
      </w:pPr>
      <w:r w:rsidRPr="00C7030C">
        <w:rPr>
          <w:rFonts w:ascii="Trebuchet MS" w:hAnsi="Trebuchet MS"/>
          <w:b/>
          <w:bCs/>
          <w:color w:val="000000"/>
        </w:rPr>
        <w:t>D</w:t>
      </w:r>
      <w:r w:rsidR="004A79F5" w:rsidRPr="00C7030C">
        <w:rPr>
          <w:rFonts w:ascii="Trebuchet MS" w:hAnsi="Trebuchet MS"/>
          <w:b/>
          <w:bCs/>
          <w:color w:val="000000"/>
        </w:rPr>
        <w:t xml:space="preserve">ifferent </w:t>
      </w:r>
      <w:r w:rsidR="00C7030C" w:rsidRPr="00C7030C">
        <w:rPr>
          <w:rFonts w:ascii="Trebuchet MS" w:hAnsi="Trebuchet MS"/>
          <w:b/>
          <w:bCs/>
          <w:color w:val="000000"/>
        </w:rPr>
        <w:t>T</w:t>
      </w:r>
      <w:r w:rsidR="004A79F5" w:rsidRPr="00C7030C">
        <w:rPr>
          <w:rFonts w:ascii="Trebuchet MS" w:hAnsi="Trebuchet MS"/>
          <w:b/>
          <w:bCs/>
          <w:color w:val="000000"/>
        </w:rPr>
        <w:t xml:space="preserve">ypes of </w:t>
      </w:r>
      <w:r w:rsidR="00C7030C" w:rsidRPr="00C7030C">
        <w:rPr>
          <w:rFonts w:ascii="Trebuchet MS" w:hAnsi="Trebuchet MS"/>
          <w:b/>
          <w:bCs/>
          <w:color w:val="000000"/>
        </w:rPr>
        <w:t>B</w:t>
      </w:r>
      <w:r w:rsidR="004A79F5" w:rsidRPr="00C7030C">
        <w:rPr>
          <w:rFonts w:ascii="Trebuchet MS" w:hAnsi="Trebuchet MS"/>
          <w:b/>
          <w:bCs/>
          <w:color w:val="000000"/>
        </w:rPr>
        <w:t>enefits</w:t>
      </w:r>
      <w:r w:rsidR="00C7030C" w:rsidRPr="00C7030C">
        <w:rPr>
          <w:rFonts w:ascii="Trebuchet MS" w:hAnsi="Trebuchet MS"/>
          <w:b/>
          <w:bCs/>
          <w:color w:val="000000"/>
        </w:rPr>
        <w:t xml:space="preserve"> </w:t>
      </w:r>
      <w:r w:rsidR="004A79F5" w:rsidRPr="00C7030C">
        <w:rPr>
          <w:rFonts w:ascii="Trebuchet MS" w:hAnsi="Trebuchet MS"/>
          <w:b/>
          <w:bCs/>
          <w:color w:val="000000"/>
        </w:rPr>
        <w:t>(AC 2.3)</w:t>
      </w:r>
    </w:p>
    <w:p w14:paraId="73B426E5" w14:textId="77777777" w:rsidR="00FC1494" w:rsidRPr="00FC1494" w:rsidRDefault="00FC1494" w:rsidP="00FC1494">
      <w:pPr>
        <w:pStyle w:val="NormalWeb"/>
        <w:rPr>
          <w:rFonts w:ascii="Trebuchet MS" w:hAnsi="Trebuchet MS"/>
          <w:sz w:val="24"/>
        </w:rPr>
      </w:pPr>
      <w:r w:rsidRPr="00FC1494">
        <w:rPr>
          <w:rFonts w:ascii="Trebuchet MS" w:hAnsi="Trebuchet MS"/>
        </w:rPr>
        <w:t xml:space="preserve">Employee benefits form a key component of an organisation’s total reward offering and play an important role in attracting, retaining and engaging employees. For </w:t>
      </w:r>
      <w:proofErr w:type="spellStart"/>
      <w:r w:rsidRPr="00FC1494">
        <w:rPr>
          <w:rFonts w:ascii="Trebuchet MS" w:hAnsi="Trebuchet MS"/>
        </w:rPr>
        <w:t>GreenFriendlyEco</w:t>
      </w:r>
      <w:proofErr w:type="spellEnd"/>
      <w:r w:rsidRPr="00FC1494">
        <w:rPr>
          <w:rFonts w:ascii="Trebuchet MS" w:hAnsi="Trebuchet MS"/>
        </w:rPr>
        <w:t>, where benefits are currently limited to 28 days’ paid holiday and a non-contributory pension, the narrow scope of benefits may be contributing to low morale and increased employee turnover. A broader benefits offering could therefore support improvements in employee engagement and organisational performance (CIPD, 2023).</w:t>
      </w:r>
    </w:p>
    <w:p w14:paraId="61452456"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Financial benefits</w:t>
      </w:r>
      <w:r w:rsidRPr="00FC1494">
        <w:rPr>
          <w:rFonts w:ascii="Trebuchet MS" w:hAnsi="Trebuchet MS"/>
        </w:rPr>
        <w:t xml:space="preserve"> such as pensions, life assurance and healthcare schemes provide employees with long-term financial security. While </w:t>
      </w:r>
      <w:proofErr w:type="spellStart"/>
      <w:r w:rsidRPr="00FC1494">
        <w:rPr>
          <w:rFonts w:ascii="Trebuchet MS" w:hAnsi="Trebuchet MS"/>
        </w:rPr>
        <w:t>GreenFriendlyEco</w:t>
      </w:r>
      <w:proofErr w:type="spellEnd"/>
      <w:r w:rsidRPr="00FC1494">
        <w:rPr>
          <w:rFonts w:ascii="Trebuchet MS" w:hAnsi="Trebuchet MS"/>
        </w:rPr>
        <w:t xml:space="preserve"> offers a non-contributory pension to all employees, it is known that enhanced schemes operate for senior staff only. This may create perceptions of inequity, undermining trust and engagement. Armstrong (2023) highlights that fair and inclusive financial benefits enhance perceived reward value without permanently increasing base pay costs. Extending benefits such as life assurance or income protection across the workforce could help reinforce fairness and support retention, particularly among skilled employees.</w:t>
      </w:r>
    </w:p>
    <w:p w14:paraId="348FEEE7"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Work–life balance benefits</w:t>
      </w:r>
      <w:r w:rsidRPr="00FC1494">
        <w:rPr>
          <w:rFonts w:ascii="Trebuchet MS" w:hAnsi="Trebuchet MS"/>
        </w:rPr>
        <w:t xml:space="preserve"> offer significant merit in supporting employee wellbeing and reducing turnover. Flexible working arrangements, enhanced leave entitlements and family-friendly policies enable employees to manage personal and work responsibilities more effectively. CIPD (2022) notes that such benefits contribute to improved engagement and reduced absence. For </w:t>
      </w:r>
      <w:proofErr w:type="spellStart"/>
      <w:r w:rsidRPr="00FC1494">
        <w:rPr>
          <w:rFonts w:ascii="Trebuchet MS" w:hAnsi="Trebuchet MS"/>
        </w:rPr>
        <w:t>GreenFriendlyEco</w:t>
      </w:r>
      <w:proofErr w:type="spellEnd"/>
      <w:r w:rsidRPr="00FC1494">
        <w:rPr>
          <w:rFonts w:ascii="Trebuchet MS" w:hAnsi="Trebuchet MS"/>
        </w:rPr>
        <w:t xml:space="preserve">, where productivity expectations are closely linked to measured day work, </w:t>
      </w:r>
      <w:r w:rsidRPr="00FC1494">
        <w:rPr>
          <w:rFonts w:ascii="Trebuchet MS" w:hAnsi="Trebuchet MS"/>
        </w:rPr>
        <w:lastRenderedPageBreak/>
        <w:t>introducing greater flexibility could improve morale and reduce fatigue without negatively impacting output.</w:t>
      </w:r>
    </w:p>
    <w:p w14:paraId="10CCF0D5"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Wellbeing benefits</w:t>
      </w:r>
      <w:r w:rsidRPr="00FC1494">
        <w:rPr>
          <w:rFonts w:ascii="Trebuchet MS" w:hAnsi="Trebuchet MS"/>
        </w:rPr>
        <w:t xml:space="preserve"> focus on supporting employees’ physical and mental health and are increasingly recognised as critical to sustained performance. Benefits such as employee assistance programmes (EAPs), occupational health support and mental health initiatives signal organisational care and responsibility. In a manufacturing environment such as </w:t>
      </w:r>
      <w:proofErr w:type="spellStart"/>
      <w:r w:rsidRPr="00FC1494">
        <w:rPr>
          <w:rFonts w:ascii="Trebuchet MS" w:hAnsi="Trebuchet MS"/>
        </w:rPr>
        <w:t>GreenFriendlyEco</w:t>
      </w:r>
      <w:proofErr w:type="spellEnd"/>
      <w:r w:rsidRPr="00FC1494">
        <w:rPr>
          <w:rFonts w:ascii="Trebuchet MS" w:hAnsi="Trebuchet MS"/>
        </w:rPr>
        <w:t>, wellbeing benefits can reduce sickness absence, improve safety outcomes and foster a more positive organisational culture (CIPD, 2023).</w:t>
      </w:r>
    </w:p>
    <w:p w14:paraId="213FD7D9"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Lifestyle and voluntary benefits</w:t>
      </w:r>
      <w:r w:rsidRPr="00FC1494">
        <w:rPr>
          <w:rFonts w:ascii="Trebuchet MS" w:hAnsi="Trebuchet MS"/>
        </w:rPr>
        <w:t>, including salary sacrifice schemes, cycle-to-work initiatives and retail discounts, allow employees to personalise their reward package. These benefits are relatively low-cost and can increase perceived reward value. Armstrong and Taylor (2020) argue that offering flexible benefits supports inclusion by recognising the diverse needs of employees across different life stages and job roles.</w:t>
      </w:r>
    </w:p>
    <w:p w14:paraId="294869B7" w14:textId="77777777" w:rsidR="00FC1494" w:rsidRPr="00FC1494" w:rsidRDefault="00FC1494" w:rsidP="00FC1494">
      <w:pPr>
        <w:pStyle w:val="NormalWeb"/>
        <w:rPr>
          <w:rFonts w:ascii="Trebuchet MS" w:hAnsi="Trebuchet MS"/>
        </w:rPr>
      </w:pPr>
      <w:r w:rsidRPr="00FC1494">
        <w:rPr>
          <w:rFonts w:ascii="Trebuchet MS" w:hAnsi="Trebuchet MS"/>
        </w:rPr>
        <w:t xml:space="preserve">However, benefits must be clearly communicated and aligned with workforce needs to be effective. For </w:t>
      </w:r>
      <w:proofErr w:type="spellStart"/>
      <w:r w:rsidRPr="00FC1494">
        <w:rPr>
          <w:rFonts w:ascii="Trebuchet MS" w:hAnsi="Trebuchet MS"/>
        </w:rPr>
        <w:t>GreenFriendlyEco</w:t>
      </w:r>
      <w:proofErr w:type="spellEnd"/>
      <w:r w:rsidRPr="00FC1494">
        <w:rPr>
          <w:rFonts w:ascii="Trebuchet MS" w:hAnsi="Trebuchet MS"/>
        </w:rPr>
        <w:t>, reviewing employee preferences and improving communication around benefits would be essential to maximise impact.</w:t>
      </w:r>
    </w:p>
    <w:p w14:paraId="5A0C48B4" w14:textId="77777777" w:rsidR="00FC1494" w:rsidRPr="00FC1494" w:rsidRDefault="00FC1494" w:rsidP="00FC1494">
      <w:pPr>
        <w:pStyle w:val="NormalWeb"/>
        <w:rPr>
          <w:rFonts w:ascii="Trebuchet MS" w:hAnsi="Trebuchet MS"/>
        </w:rPr>
      </w:pPr>
      <w:r w:rsidRPr="00FC1494">
        <w:rPr>
          <w:rFonts w:ascii="Trebuchet MS" w:hAnsi="Trebuchet MS"/>
        </w:rPr>
        <w:t xml:space="preserve">In conclusion, expanding and diversifying the benefits offering at </w:t>
      </w:r>
      <w:proofErr w:type="spellStart"/>
      <w:r w:rsidRPr="00FC1494">
        <w:rPr>
          <w:rFonts w:ascii="Trebuchet MS" w:hAnsi="Trebuchet MS"/>
        </w:rPr>
        <w:t>GreenFriendlyEco</w:t>
      </w:r>
      <w:proofErr w:type="spellEnd"/>
      <w:r w:rsidRPr="00FC1494">
        <w:rPr>
          <w:rFonts w:ascii="Trebuchet MS" w:hAnsi="Trebuchet MS"/>
        </w:rPr>
        <w:t xml:space="preserve"> would enhance fairness, wellbeing and engagement. A well-designed benefits package would support retention, improve organisational culture and contribute to sustained performance.</w:t>
      </w:r>
    </w:p>
    <w:p w14:paraId="6E0EFFF8" w14:textId="77777777" w:rsidR="00E6223A" w:rsidRDefault="00E6223A" w:rsidP="00E6223A">
      <w:pPr>
        <w:pStyle w:val="Nornal"/>
        <w:spacing w:after="0" w:line="240" w:lineRule="auto"/>
        <w:rPr>
          <w:rFonts w:ascii="Trebuchet MS" w:hAnsi="Trebuchet MS"/>
          <w:color w:val="000000"/>
        </w:rPr>
      </w:pPr>
    </w:p>
    <w:p w14:paraId="0FE6745C" w14:textId="38176722" w:rsidR="004A79F5" w:rsidRPr="00E6223A" w:rsidRDefault="00E6223A" w:rsidP="00E6223A">
      <w:pPr>
        <w:pStyle w:val="Nornal"/>
        <w:spacing w:after="0" w:line="240" w:lineRule="auto"/>
        <w:rPr>
          <w:rFonts w:ascii="Trebuchet MS" w:hAnsi="Trebuchet MS"/>
          <w:b/>
          <w:bCs/>
          <w:color w:val="000000"/>
        </w:rPr>
      </w:pPr>
      <w:r w:rsidRPr="00E6223A">
        <w:rPr>
          <w:rFonts w:ascii="Trebuchet MS" w:hAnsi="Trebuchet MS"/>
          <w:b/>
          <w:bCs/>
          <w:color w:val="000000"/>
        </w:rPr>
        <w:t>D</w:t>
      </w:r>
      <w:r w:rsidR="004A79F5" w:rsidRPr="00E6223A">
        <w:rPr>
          <w:rFonts w:ascii="Trebuchet MS" w:hAnsi="Trebuchet MS"/>
          <w:b/>
          <w:bCs/>
          <w:color w:val="000000"/>
        </w:rPr>
        <w:t xml:space="preserve">ifferent </w:t>
      </w:r>
      <w:r w:rsidRPr="00E6223A">
        <w:rPr>
          <w:rFonts w:ascii="Trebuchet MS" w:hAnsi="Trebuchet MS"/>
          <w:b/>
          <w:bCs/>
          <w:color w:val="000000"/>
        </w:rPr>
        <w:t>T</w:t>
      </w:r>
      <w:r w:rsidR="004A79F5" w:rsidRPr="00E6223A">
        <w:rPr>
          <w:rFonts w:ascii="Trebuchet MS" w:hAnsi="Trebuchet MS"/>
          <w:b/>
          <w:bCs/>
          <w:color w:val="000000"/>
        </w:rPr>
        <w:t xml:space="preserve">ypes of </w:t>
      </w:r>
      <w:r w:rsidRPr="00E6223A">
        <w:rPr>
          <w:rFonts w:ascii="Trebuchet MS" w:hAnsi="Trebuchet MS"/>
          <w:b/>
          <w:bCs/>
          <w:color w:val="000000"/>
        </w:rPr>
        <w:t>R</w:t>
      </w:r>
      <w:r w:rsidR="004A79F5" w:rsidRPr="00E6223A">
        <w:rPr>
          <w:rFonts w:ascii="Trebuchet MS" w:hAnsi="Trebuchet MS"/>
          <w:b/>
          <w:bCs/>
          <w:color w:val="000000"/>
        </w:rPr>
        <w:t xml:space="preserve">ecognition </w:t>
      </w:r>
      <w:r w:rsidRPr="00E6223A">
        <w:rPr>
          <w:rFonts w:ascii="Trebuchet MS" w:hAnsi="Trebuchet MS"/>
          <w:b/>
          <w:bCs/>
          <w:color w:val="000000"/>
        </w:rPr>
        <w:t>S</w:t>
      </w:r>
      <w:r w:rsidR="004A79F5" w:rsidRPr="00E6223A">
        <w:rPr>
          <w:rFonts w:ascii="Trebuchet MS" w:hAnsi="Trebuchet MS"/>
          <w:b/>
          <w:bCs/>
          <w:color w:val="000000"/>
        </w:rPr>
        <w:t>chemes (AC 2.4)</w:t>
      </w:r>
    </w:p>
    <w:p w14:paraId="3C86F8B8" w14:textId="77777777" w:rsidR="00E6223A" w:rsidRPr="00E6223A" w:rsidRDefault="00E6223A" w:rsidP="00E6223A">
      <w:pPr>
        <w:pStyle w:val="NormalWeb"/>
        <w:rPr>
          <w:rFonts w:ascii="Trebuchet MS" w:hAnsi="Trebuchet MS"/>
          <w:sz w:val="24"/>
        </w:rPr>
      </w:pPr>
      <w:r w:rsidRPr="00E6223A">
        <w:rPr>
          <w:rFonts w:ascii="Trebuchet MS" w:hAnsi="Trebuchet MS"/>
        </w:rPr>
        <w:t xml:space="preserve">Employee recognition schemes are a vital component of total reward and can play a particularly important role in improving engagement and culture at </w:t>
      </w:r>
      <w:proofErr w:type="spellStart"/>
      <w:r w:rsidRPr="00E6223A">
        <w:rPr>
          <w:rFonts w:ascii="Trebuchet MS" w:hAnsi="Trebuchet MS"/>
        </w:rPr>
        <w:t>GreenFriendlyEco</w:t>
      </w:r>
      <w:proofErr w:type="spellEnd"/>
      <w:r w:rsidRPr="00E6223A">
        <w:rPr>
          <w:rFonts w:ascii="Trebuchet MS" w:hAnsi="Trebuchet MS"/>
        </w:rPr>
        <w:t>, where there is currently no formal incentive or recognition framework in place. In organisations experiencing high turnover and negative morale, recognition schemes offer a cost-effective way to reinforce positive behaviours and demonstrate appreciation for employee contribution (Brun &amp; Dugas, 2008).</w:t>
      </w:r>
    </w:p>
    <w:p w14:paraId="21008A88"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Informal recognition schemes</w:t>
      </w:r>
      <w:r w:rsidRPr="00E6223A">
        <w:rPr>
          <w:rFonts w:ascii="Trebuchet MS" w:hAnsi="Trebuchet MS"/>
        </w:rPr>
        <w:t xml:space="preserve">, such as verbal praise, thank-you notes or immediate acknowledgement from line managers, are especially valuable in manufacturing environments like </w:t>
      </w:r>
      <w:proofErr w:type="spellStart"/>
      <w:r w:rsidRPr="00E6223A">
        <w:rPr>
          <w:rFonts w:ascii="Trebuchet MS" w:hAnsi="Trebuchet MS"/>
        </w:rPr>
        <w:t>GreenFriendlyEco</w:t>
      </w:r>
      <w:proofErr w:type="spellEnd"/>
      <w:r w:rsidRPr="00E6223A">
        <w:rPr>
          <w:rFonts w:ascii="Trebuchet MS" w:hAnsi="Trebuchet MS"/>
        </w:rPr>
        <w:t>, where day-to-day effort may otherwise go unnoticed. Such recognition can enhance intrinsic motivation by making employees feel valued and respected. According to Nelson (2016), regular and sincere recognition increases employee commitment and can improve productivity. The merit of informal recognition lies in its immediacy and low cost; however, its effectiveness depends on managers being trained and encouraged to recognise contributions consistently.</w:t>
      </w:r>
    </w:p>
    <w:p w14:paraId="2CCF3529"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Formal recognition schemes</w:t>
      </w:r>
      <w:r w:rsidRPr="00E6223A">
        <w:rPr>
          <w:rFonts w:ascii="Trebuchet MS" w:hAnsi="Trebuchet MS"/>
        </w:rPr>
        <w:t xml:space="preserve">, including long-service awards or structured recognition programmes linked to organisational values, provide transparency and consistency. For </w:t>
      </w:r>
      <w:proofErr w:type="spellStart"/>
      <w:r w:rsidRPr="00E6223A">
        <w:rPr>
          <w:rFonts w:ascii="Trebuchet MS" w:hAnsi="Trebuchet MS"/>
        </w:rPr>
        <w:t>GreenFriendlyEco</w:t>
      </w:r>
      <w:proofErr w:type="spellEnd"/>
      <w:r w:rsidRPr="00E6223A">
        <w:rPr>
          <w:rFonts w:ascii="Trebuchet MS" w:hAnsi="Trebuchet MS"/>
        </w:rPr>
        <w:t>, introducing formal recognition for quality improvement, safety behaviours or attendance could help reinforce standards beyond basic measured output. Torrington et al. (2020) note that formal recognition schemes contribute to cultural alignment by clearly signalling what the organisation values. However, such schemes must be meaningful and relevant to avoid being perceived as tokenistic.</w:t>
      </w:r>
    </w:p>
    <w:p w14:paraId="243730C0"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Peer-to-peer recognition schemes</w:t>
      </w:r>
      <w:r w:rsidRPr="00E6223A">
        <w:rPr>
          <w:rFonts w:ascii="Trebuchet MS" w:hAnsi="Trebuchet MS"/>
        </w:rPr>
        <w:t xml:space="preserve"> enable employees to recognise colleagues for support, teamwork or problem-solving. This approach is particularly beneficial in environments where </w:t>
      </w:r>
      <w:r w:rsidRPr="00E6223A">
        <w:rPr>
          <w:rFonts w:ascii="Trebuchet MS" w:hAnsi="Trebuchet MS"/>
        </w:rPr>
        <w:lastRenderedPageBreak/>
        <w:t xml:space="preserve">collaboration is essential to operational success. Brun and Dugas (2008) argue that peer recognition enhances social cohesion and fosters a sense of belonging. For </w:t>
      </w:r>
      <w:proofErr w:type="spellStart"/>
      <w:r w:rsidRPr="00E6223A">
        <w:rPr>
          <w:rFonts w:ascii="Trebuchet MS" w:hAnsi="Trebuchet MS"/>
        </w:rPr>
        <w:t>GreenFriendlyEco</w:t>
      </w:r>
      <w:proofErr w:type="spellEnd"/>
      <w:r w:rsidRPr="00E6223A">
        <w:rPr>
          <w:rFonts w:ascii="Trebuchet MS" w:hAnsi="Trebuchet MS"/>
        </w:rPr>
        <w:t>, this could help counteract negative cultural norms and strengthen relationships between skilled and non-skilled employees.</w:t>
      </w:r>
    </w:p>
    <w:p w14:paraId="7455FAD5"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Non-financial recognition</w:t>
      </w:r>
      <w:r w:rsidRPr="00E6223A">
        <w:rPr>
          <w:rFonts w:ascii="Trebuchet MS" w:hAnsi="Trebuchet MS"/>
        </w:rPr>
        <w:t>, such as opportunities for development, skills training or involvement in improvement initiatives, can be highly motivating. These forms of recognition signal trust and investment in employees’ future and may be especially effective in retaining skilled workers. Torrington et al. (2020) highlight that recognition linked to development supports long-term engagement and organisational capability.</w:t>
      </w:r>
    </w:p>
    <w:p w14:paraId="675AD1E3" w14:textId="21B80099" w:rsidR="00E6223A" w:rsidRPr="00CE33F5" w:rsidRDefault="00E6223A" w:rsidP="00CE33F5">
      <w:pPr>
        <w:pStyle w:val="NormalWeb"/>
        <w:rPr>
          <w:rFonts w:ascii="Trebuchet MS" w:hAnsi="Trebuchet MS"/>
        </w:rPr>
      </w:pPr>
      <w:r w:rsidRPr="00E6223A">
        <w:rPr>
          <w:rFonts w:ascii="Trebuchet MS" w:hAnsi="Trebuchet MS"/>
        </w:rPr>
        <w:t xml:space="preserve">In conclusion, a blended recognition approach would offer significant merit for </w:t>
      </w:r>
      <w:proofErr w:type="spellStart"/>
      <w:r w:rsidRPr="00E6223A">
        <w:rPr>
          <w:rFonts w:ascii="Trebuchet MS" w:hAnsi="Trebuchet MS"/>
        </w:rPr>
        <w:t>GreenFriendlyEco</w:t>
      </w:r>
      <w:proofErr w:type="spellEnd"/>
      <w:r w:rsidRPr="00E6223A">
        <w:rPr>
          <w:rFonts w:ascii="Trebuchet MS" w:hAnsi="Trebuchet MS"/>
        </w:rPr>
        <w:t xml:space="preserve"> by improving morale, reinforcing desired behaviours and supporting cultural change. By introducing consistent and inclusive recognition schemes, the organisation can enhance engagement, reduce turnover and support sustained performance without significant financial cost.</w:t>
      </w:r>
    </w:p>
    <w:p w14:paraId="118E5DE8" w14:textId="77777777" w:rsidR="004A79F5" w:rsidRPr="00E446B9" w:rsidRDefault="004A79F5" w:rsidP="004A79F5">
      <w:pPr>
        <w:rPr>
          <w:rFonts w:ascii="Trebuchet MS" w:hAnsi="Trebuchet MS"/>
          <w:color w:val="000000"/>
        </w:rPr>
      </w:pPr>
    </w:p>
    <w:p w14:paraId="1DB540D6" w14:textId="39E6A59A" w:rsidR="004A79F5" w:rsidRPr="00CE33F5" w:rsidRDefault="00CE33F5" w:rsidP="00CE33F5">
      <w:pPr>
        <w:pStyle w:val="Nornal"/>
        <w:spacing w:after="0" w:line="240" w:lineRule="auto"/>
        <w:rPr>
          <w:rFonts w:ascii="Trebuchet MS" w:hAnsi="Trebuchet MS"/>
          <w:b/>
          <w:bCs/>
          <w:color w:val="000000" w:themeColor="text1"/>
        </w:rPr>
      </w:pPr>
      <w:r w:rsidRPr="00CE33F5">
        <w:rPr>
          <w:rFonts w:ascii="Trebuchet MS" w:hAnsi="Trebuchet MS"/>
          <w:b/>
          <w:bCs/>
          <w:color w:val="000000" w:themeColor="text1"/>
        </w:rPr>
        <w:t>T</w:t>
      </w:r>
      <w:r w:rsidR="004A79F5" w:rsidRPr="00CE33F5">
        <w:rPr>
          <w:rFonts w:ascii="Trebuchet MS" w:hAnsi="Trebuchet MS"/>
          <w:b/>
          <w:bCs/>
          <w:color w:val="000000" w:themeColor="text1"/>
        </w:rPr>
        <w:t xml:space="preserve">he </w:t>
      </w:r>
      <w:r w:rsidRPr="00CE33F5">
        <w:rPr>
          <w:rFonts w:ascii="Trebuchet MS" w:hAnsi="Trebuchet MS"/>
          <w:b/>
          <w:bCs/>
          <w:color w:val="000000" w:themeColor="text1"/>
        </w:rPr>
        <w:t>R</w:t>
      </w:r>
      <w:r w:rsidR="004A79F5" w:rsidRPr="00CE33F5">
        <w:rPr>
          <w:rFonts w:ascii="Trebuchet MS" w:hAnsi="Trebuchet MS"/>
          <w:b/>
          <w:bCs/>
          <w:color w:val="000000" w:themeColor="text1"/>
        </w:rPr>
        <w:t xml:space="preserve">eward </w:t>
      </w:r>
      <w:r w:rsidRPr="00CE33F5">
        <w:rPr>
          <w:rFonts w:ascii="Trebuchet MS" w:hAnsi="Trebuchet MS"/>
          <w:b/>
          <w:bCs/>
          <w:color w:val="000000" w:themeColor="text1"/>
        </w:rPr>
        <w:t>E</w:t>
      </w:r>
      <w:r w:rsidR="004A79F5" w:rsidRPr="00CE33F5">
        <w:rPr>
          <w:rFonts w:ascii="Trebuchet MS" w:hAnsi="Trebuchet MS"/>
          <w:b/>
          <w:bCs/>
          <w:color w:val="000000" w:themeColor="text1"/>
        </w:rPr>
        <w:t>nvironment (</w:t>
      </w:r>
      <w:r w:rsidR="00DC2FDA" w:rsidRPr="00CE33F5">
        <w:rPr>
          <w:rFonts w:ascii="Trebuchet MS" w:hAnsi="Trebuchet MS"/>
          <w:b/>
          <w:bCs/>
          <w:color w:val="000000" w:themeColor="text1"/>
        </w:rPr>
        <w:t xml:space="preserve">AC </w:t>
      </w:r>
      <w:r w:rsidR="004A79F5" w:rsidRPr="00CE33F5">
        <w:rPr>
          <w:rFonts w:ascii="Trebuchet MS" w:hAnsi="Trebuchet MS"/>
          <w:b/>
          <w:bCs/>
          <w:color w:val="000000" w:themeColor="text1"/>
        </w:rPr>
        <w:t>3.1)</w:t>
      </w:r>
    </w:p>
    <w:p w14:paraId="21D9938B" w14:textId="77777777" w:rsidR="00CE33F5" w:rsidRPr="00CE33F5" w:rsidRDefault="00CE33F5" w:rsidP="00CE33F5">
      <w:pPr>
        <w:pStyle w:val="NormalWeb"/>
        <w:rPr>
          <w:rFonts w:ascii="Trebuchet MS" w:hAnsi="Trebuchet MS"/>
          <w:sz w:val="24"/>
        </w:rPr>
      </w:pPr>
      <w:r w:rsidRPr="00CE33F5">
        <w:rPr>
          <w:rFonts w:ascii="Trebuchet MS" w:hAnsi="Trebuchet MS"/>
        </w:rPr>
        <w:t>The reward environment does not operate in isolation; it is shaped by a range of external and internal business context factors that influence how organisations design, manage and adapt their reward strategies. Understanding this context is essential to ensure reward systems remain competitive, legally compliant and aligned with organisational objectives.</w:t>
      </w:r>
    </w:p>
    <w:p w14:paraId="32FDF019" w14:textId="77777777" w:rsidR="00CE33F5" w:rsidRPr="00CE33F5" w:rsidRDefault="00CE33F5" w:rsidP="00CE33F5">
      <w:pPr>
        <w:pStyle w:val="NormalWeb"/>
        <w:rPr>
          <w:rFonts w:ascii="Trebuchet MS" w:hAnsi="Trebuchet MS"/>
        </w:rPr>
      </w:pPr>
      <w:r w:rsidRPr="00CE33F5">
        <w:rPr>
          <w:rFonts w:ascii="Trebuchet MS" w:hAnsi="Trebuchet MS"/>
        </w:rPr>
        <w:t xml:space="preserve">One key aspect of the business context is the </w:t>
      </w:r>
      <w:r w:rsidRPr="00CE33F5">
        <w:rPr>
          <w:rStyle w:val="Strong"/>
          <w:rFonts w:ascii="Trebuchet MS" w:hAnsi="Trebuchet MS"/>
          <w:b w:val="0"/>
          <w:bCs w:val="0"/>
        </w:rPr>
        <w:t>external labour market</w:t>
      </w:r>
      <w:r w:rsidRPr="00CE33F5">
        <w:rPr>
          <w:rFonts w:ascii="Trebuchet MS" w:hAnsi="Trebuchet MS"/>
        </w:rPr>
        <w:t xml:space="preserve">. Organisations must compete for talent within increasingly tight and skills-driven labour markets. Market </w:t>
      </w:r>
      <w:proofErr w:type="gramStart"/>
      <w:r w:rsidRPr="00CE33F5">
        <w:rPr>
          <w:rFonts w:ascii="Trebuchet MS" w:hAnsi="Trebuchet MS"/>
        </w:rPr>
        <w:t>pay</w:t>
      </w:r>
      <w:proofErr w:type="gramEnd"/>
      <w:r w:rsidRPr="00CE33F5">
        <w:rPr>
          <w:rFonts w:ascii="Trebuchet MS" w:hAnsi="Trebuchet MS"/>
        </w:rPr>
        <w:t xml:space="preserve"> rates, skills shortages and employee mobility all influence reward decisions. According to Perkins and White (2011), organisations that fail to monitor market trends risk offering uncompetitive reward packages, leading to attraction and retention challenges. As a result, many organisations use benchmarking and market pricing to inform pay and benefits decisions, balancing external competitiveness with internal affordability.</w:t>
      </w:r>
    </w:p>
    <w:p w14:paraId="52F0B630" w14:textId="77777777" w:rsidR="00CE33F5" w:rsidRPr="00CE33F5" w:rsidRDefault="00CE33F5" w:rsidP="00CE33F5">
      <w:pPr>
        <w:pStyle w:val="NormalWeb"/>
        <w:rPr>
          <w:rFonts w:ascii="Trebuchet MS" w:hAnsi="Trebuchet MS"/>
        </w:rPr>
      </w:pPr>
      <w:r w:rsidRPr="00CE33F5">
        <w:rPr>
          <w:rFonts w:ascii="Trebuchet MS" w:hAnsi="Trebuchet MS"/>
        </w:rPr>
        <w:t xml:space="preserve">The </w:t>
      </w:r>
      <w:r w:rsidRPr="00CE33F5">
        <w:rPr>
          <w:rStyle w:val="Strong"/>
          <w:rFonts w:ascii="Trebuchet MS" w:hAnsi="Trebuchet MS"/>
          <w:b w:val="0"/>
          <w:bCs w:val="0"/>
        </w:rPr>
        <w:t>economic environment</w:t>
      </w:r>
      <w:r w:rsidRPr="00CE33F5">
        <w:rPr>
          <w:rFonts w:ascii="Trebuchet MS" w:hAnsi="Trebuchet MS"/>
        </w:rPr>
        <w:t xml:space="preserve"> also plays a significant role in shaping reward strategies. Factors such as inflation, cost-of-living pressures and economic uncertainty influence employees’ expectations around pay and benefits. CIPD (2023) highlights that during periods of economic pressure, organisations face increased employee demand for pay increases while simultaneously managing cost constraints. This creates tension between maintaining employee engagement and ensuring financial sustainability, often leading organisations to explore non-pay rewards such as benefits, recognition and flexible working.</w:t>
      </w:r>
    </w:p>
    <w:p w14:paraId="778A37BC" w14:textId="77777777" w:rsidR="00CE33F5" w:rsidRPr="00CE33F5" w:rsidRDefault="00CE33F5" w:rsidP="00CE33F5">
      <w:pPr>
        <w:pStyle w:val="NormalWeb"/>
        <w:rPr>
          <w:rFonts w:ascii="Trebuchet MS" w:hAnsi="Trebuchet MS"/>
        </w:rPr>
      </w:pPr>
      <w:r w:rsidRPr="00CE33F5">
        <w:rPr>
          <w:rStyle w:val="Strong"/>
          <w:rFonts w:ascii="Trebuchet MS" w:hAnsi="Trebuchet MS"/>
          <w:b w:val="0"/>
          <w:bCs w:val="0"/>
        </w:rPr>
        <w:t>Legislative and regulatory factors</w:t>
      </w:r>
      <w:r w:rsidRPr="00CE33F5">
        <w:rPr>
          <w:rFonts w:ascii="Trebuchet MS" w:hAnsi="Trebuchet MS"/>
        </w:rPr>
        <w:t xml:space="preserve"> form another critical element of the reward environment. UK employment law sets minimum standards relating to pay, working time, pensions and equality. Compliance with legislation such as the National Minimum Wage, auto-enrolment pensions and equal pay regulations is non-negotiable and shapes the design of reward structures (Torrington et al., 2020). Failure to comply can result in legal risk, reputational damage and financial penalties.</w:t>
      </w:r>
    </w:p>
    <w:p w14:paraId="0C892182" w14:textId="77777777" w:rsidR="00CE33F5" w:rsidRPr="00CE33F5" w:rsidRDefault="00CE33F5" w:rsidP="00CE33F5">
      <w:pPr>
        <w:pStyle w:val="NormalWeb"/>
        <w:rPr>
          <w:rFonts w:ascii="Trebuchet MS" w:hAnsi="Trebuchet MS"/>
        </w:rPr>
      </w:pPr>
      <w:r w:rsidRPr="00CE33F5">
        <w:rPr>
          <w:rFonts w:ascii="Trebuchet MS" w:hAnsi="Trebuchet MS"/>
        </w:rPr>
        <w:t xml:space="preserve">Internally, </w:t>
      </w:r>
      <w:r w:rsidRPr="00CE33F5">
        <w:rPr>
          <w:rStyle w:val="Strong"/>
          <w:rFonts w:ascii="Trebuchet MS" w:hAnsi="Trebuchet MS"/>
          <w:b w:val="0"/>
          <w:bCs w:val="0"/>
        </w:rPr>
        <w:t>organisational strategy and culture</w:t>
      </w:r>
      <w:r w:rsidRPr="00CE33F5">
        <w:rPr>
          <w:rFonts w:ascii="Trebuchet MS" w:hAnsi="Trebuchet MS"/>
        </w:rPr>
        <w:t xml:space="preserve"> significantly influence reward decisions. Reward systems must align with business goals, whether these focus on cost efficiency, innovation, quality or growth. Perkins and White (2011) argue that reward should reinforce desired behaviours and values rather than operate as a standalone HR process. Organisational size, structure and leadership philosophy also affect the level of flexibility, transparency and investment in reward.</w:t>
      </w:r>
    </w:p>
    <w:p w14:paraId="03D73599" w14:textId="77777777" w:rsidR="00CE33F5" w:rsidRPr="00CE33F5" w:rsidRDefault="00CE33F5" w:rsidP="00CE33F5">
      <w:pPr>
        <w:pStyle w:val="NormalWeb"/>
        <w:rPr>
          <w:rFonts w:ascii="Trebuchet MS" w:hAnsi="Trebuchet MS"/>
        </w:rPr>
      </w:pPr>
      <w:r w:rsidRPr="00CE33F5">
        <w:rPr>
          <w:rFonts w:ascii="Trebuchet MS" w:hAnsi="Trebuchet MS"/>
        </w:rPr>
        <w:lastRenderedPageBreak/>
        <w:t xml:space="preserve">Finally, </w:t>
      </w:r>
      <w:r w:rsidRPr="00CE33F5">
        <w:rPr>
          <w:rStyle w:val="Strong"/>
          <w:rFonts w:ascii="Trebuchet MS" w:hAnsi="Trebuchet MS"/>
          <w:b w:val="0"/>
          <w:bCs w:val="0"/>
        </w:rPr>
        <w:t>workforce demographics and expectations</w:t>
      </w:r>
      <w:r w:rsidRPr="00CE33F5">
        <w:rPr>
          <w:rFonts w:ascii="Trebuchet MS" w:hAnsi="Trebuchet MS"/>
        </w:rPr>
        <w:t xml:space="preserve"> are an increasingly important contextual factor. A diverse workforce with differing career stages and priorities requires more flexible and inclusive reward approaches. CIPD (2022) notes that employees increasingly value wellbeing, development and work–life balance alongside pay, shaping the evolution of total reward strategies.</w:t>
      </w:r>
    </w:p>
    <w:p w14:paraId="71D80A96" w14:textId="5CA397A6" w:rsidR="00CE33F5" w:rsidRPr="0097106C" w:rsidRDefault="00CE33F5" w:rsidP="0097106C">
      <w:pPr>
        <w:pStyle w:val="NormalWeb"/>
      </w:pPr>
      <w:r w:rsidRPr="00CE33F5">
        <w:rPr>
          <w:rFonts w:ascii="Trebuchet MS" w:hAnsi="Trebuchet MS"/>
        </w:rPr>
        <w:t>In conclusion, the reward environment is influenced by a complex interaction of economic, labour market, legal and organisational factors. Organisations that actively assess and respond to their business context are better positioned to design reward strategies that support performance, engagement and long-term sustainability</w:t>
      </w:r>
      <w:r>
        <w:t>.</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31A1037F" w:rsidR="004A79F5" w:rsidRPr="0097106C" w:rsidRDefault="0097106C" w:rsidP="0097106C">
      <w:pPr>
        <w:pStyle w:val="Nornal"/>
        <w:spacing w:after="0" w:line="240" w:lineRule="auto"/>
        <w:rPr>
          <w:rFonts w:ascii="Trebuchet MS" w:hAnsi="Trebuchet MS"/>
          <w:b/>
          <w:bCs/>
          <w:color w:val="000000" w:themeColor="text1"/>
        </w:rPr>
      </w:pPr>
      <w:r w:rsidRPr="0097106C">
        <w:rPr>
          <w:rFonts w:ascii="Trebuchet MS" w:hAnsi="Trebuchet MS"/>
          <w:b/>
          <w:bCs/>
          <w:color w:val="000000" w:themeColor="text1"/>
        </w:rPr>
        <w:t>B</w:t>
      </w:r>
      <w:r w:rsidR="004A79F5" w:rsidRPr="0097106C">
        <w:rPr>
          <w:rFonts w:ascii="Trebuchet MS" w:hAnsi="Trebuchet MS"/>
          <w:b/>
          <w:bCs/>
          <w:color w:val="000000" w:themeColor="text1"/>
        </w:rPr>
        <w:t xml:space="preserve">enchmarking </w:t>
      </w:r>
      <w:r w:rsidRPr="0097106C">
        <w:rPr>
          <w:rFonts w:ascii="Trebuchet MS" w:hAnsi="Trebuchet MS"/>
          <w:b/>
          <w:bCs/>
          <w:color w:val="000000" w:themeColor="text1"/>
        </w:rPr>
        <w:t>D</w:t>
      </w:r>
      <w:r w:rsidR="004A79F5" w:rsidRPr="0097106C">
        <w:rPr>
          <w:rFonts w:ascii="Trebuchet MS" w:hAnsi="Trebuchet MS"/>
          <w:b/>
          <w:bCs/>
          <w:color w:val="000000" w:themeColor="text1"/>
        </w:rPr>
        <w:t>ata (AC 3.2)</w:t>
      </w:r>
    </w:p>
    <w:p w14:paraId="3143E85D" w14:textId="77777777" w:rsidR="0097106C" w:rsidRPr="0097106C" w:rsidRDefault="0097106C" w:rsidP="0097106C">
      <w:pPr>
        <w:pStyle w:val="NormalWeb"/>
        <w:rPr>
          <w:rFonts w:ascii="Trebuchet MS" w:hAnsi="Trebuchet MS"/>
          <w:sz w:val="24"/>
        </w:rPr>
      </w:pPr>
      <w:r w:rsidRPr="0097106C">
        <w:rPr>
          <w:rFonts w:ascii="Trebuchet MS" w:hAnsi="Trebuchet MS"/>
        </w:rPr>
        <w:t xml:space="preserve">Benchmarking data is essential for developing insight to inform reward decisions at </w:t>
      </w:r>
      <w:proofErr w:type="spellStart"/>
      <w:r w:rsidRPr="0097106C">
        <w:rPr>
          <w:rFonts w:ascii="Trebuchet MS" w:hAnsi="Trebuchet MS"/>
        </w:rPr>
        <w:t>GreenFriendlyEco</w:t>
      </w:r>
      <w:proofErr w:type="spellEnd"/>
      <w:r w:rsidRPr="0097106C">
        <w:rPr>
          <w:rFonts w:ascii="Trebuchet MS" w:hAnsi="Trebuchet MS"/>
        </w:rPr>
        <w:t>, particularly given the organisation’s increasing employee turnover and limited current reward framework. To ensure benchmarking delivers meaningful insight, data must be gathered and measured in ways that reflect both the external labour market and internal equity considerations.</w:t>
      </w:r>
    </w:p>
    <w:p w14:paraId="15360B68"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External market benchmarking</w:t>
      </w:r>
      <w:r w:rsidRPr="0097106C">
        <w:rPr>
          <w:rFonts w:ascii="Trebuchet MS" w:hAnsi="Trebuchet MS"/>
        </w:rPr>
        <w:t xml:space="preserve"> would be a critical starting point for </w:t>
      </w:r>
      <w:proofErr w:type="spellStart"/>
      <w:r w:rsidRPr="0097106C">
        <w:rPr>
          <w:rFonts w:ascii="Trebuchet MS" w:hAnsi="Trebuchet MS"/>
        </w:rPr>
        <w:t>GreenFriendlyEco</w:t>
      </w:r>
      <w:proofErr w:type="spellEnd"/>
      <w:r w:rsidRPr="0097106C">
        <w:rPr>
          <w:rFonts w:ascii="Trebuchet MS" w:hAnsi="Trebuchet MS"/>
        </w:rPr>
        <w:t xml:space="preserve">. Using reputable reward surveys from professional bodies or specialist consultancies would enable the organisation to compare pay levels, benefits and reward practices for both skilled and non-skilled manufacturing roles. Armstrong (2023) emphasises that accurate job matching is vital to ensure roles are compared </w:t>
      </w:r>
      <w:proofErr w:type="gramStart"/>
      <w:r w:rsidRPr="0097106C">
        <w:rPr>
          <w:rFonts w:ascii="Trebuchet MS" w:hAnsi="Trebuchet MS"/>
        </w:rPr>
        <w:t>on the basis of</w:t>
      </w:r>
      <w:proofErr w:type="gramEnd"/>
      <w:r w:rsidRPr="0097106C">
        <w:rPr>
          <w:rFonts w:ascii="Trebuchet MS" w:hAnsi="Trebuchet MS"/>
        </w:rPr>
        <w:t xml:space="preserve"> content, responsibility and skill rather than job title alone. This approach would help </w:t>
      </w:r>
      <w:proofErr w:type="spellStart"/>
      <w:r w:rsidRPr="0097106C">
        <w:rPr>
          <w:rFonts w:ascii="Trebuchet MS" w:hAnsi="Trebuchet MS"/>
        </w:rPr>
        <w:t>GreenFriendlyEco</w:t>
      </w:r>
      <w:proofErr w:type="spellEnd"/>
      <w:r w:rsidRPr="0097106C">
        <w:rPr>
          <w:rFonts w:ascii="Trebuchet MS" w:hAnsi="Trebuchet MS"/>
        </w:rPr>
        <w:t xml:space="preserve"> assess whether its pay levels remain competitive within the eco-manufacturing and wider industrial sectors, supporting attraction and retention decisions.</w:t>
      </w:r>
    </w:p>
    <w:p w14:paraId="55606388"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Internal benchmarking</w:t>
      </w:r>
      <w:r w:rsidRPr="0097106C">
        <w:rPr>
          <w:rFonts w:ascii="Trebuchet MS" w:hAnsi="Trebuchet MS"/>
        </w:rPr>
        <w:t xml:space="preserve"> is equally important to provide insight into fairness and consistency across the organisation. </w:t>
      </w:r>
      <w:proofErr w:type="spellStart"/>
      <w:r w:rsidRPr="0097106C">
        <w:rPr>
          <w:rFonts w:ascii="Trebuchet MS" w:hAnsi="Trebuchet MS"/>
        </w:rPr>
        <w:t>GreenFriendlyEco</w:t>
      </w:r>
      <w:proofErr w:type="spellEnd"/>
      <w:r w:rsidRPr="0097106C">
        <w:rPr>
          <w:rFonts w:ascii="Trebuchet MS" w:hAnsi="Trebuchet MS"/>
        </w:rPr>
        <w:t xml:space="preserve"> currently operates standard times and measured day work, with known enhanced reward arrangements for senior staff. Analysing internal pay differentials, progression patterns and benefit access would help identify potential inequities or compression issues that may be contributing to negative culture and disengagement. CIPD (2022) notes that internal benchmarking supports equal pay compliance and builds employee trust when inconsistencies are addressed transparently.</w:t>
      </w:r>
    </w:p>
    <w:p w14:paraId="6DD72E92"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Sector and competitor benchmarking</w:t>
      </w:r>
      <w:r w:rsidRPr="0097106C">
        <w:rPr>
          <w:rFonts w:ascii="Trebuchet MS" w:hAnsi="Trebuchet MS"/>
        </w:rPr>
        <w:t xml:space="preserve"> would offer further strategic insight, particularly for hard-to-fill skilled roles. By focusing on organisations competing for similar talent, </w:t>
      </w:r>
      <w:proofErr w:type="spellStart"/>
      <w:r w:rsidRPr="0097106C">
        <w:rPr>
          <w:rFonts w:ascii="Trebuchet MS" w:hAnsi="Trebuchet MS"/>
        </w:rPr>
        <w:t>GreenFriendlyEco</w:t>
      </w:r>
      <w:proofErr w:type="spellEnd"/>
      <w:r w:rsidRPr="0097106C">
        <w:rPr>
          <w:rFonts w:ascii="Trebuchet MS" w:hAnsi="Trebuchet MS"/>
        </w:rPr>
        <w:t xml:space="preserve"> can determine whether to position its reward offering at, above or below market rates. Perkins and White (2011) argue that this targeted benchmarking enables organisations to align reward positioning with business strategy rather than simply following market averages. However, care must be taken to avoid reliance on limited datasets.</w:t>
      </w:r>
    </w:p>
    <w:p w14:paraId="732292E5" w14:textId="77777777" w:rsidR="0097106C" w:rsidRPr="0097106C" w:rsidRDefault="0097106C" w:rsidP="0097106C">
      <w:pPr>
        <w:pStyle w:val="NormalWeb"/>
        <w:rPr>
          <w:rFonts w:ascii="Trebuchet MS" w:hAnsi="Trebuchet MS"/>
        </w:rPr>
      </w:pPr>
      <w:r w:rsidRPr="0097106C">
        <w:rPr>
          <w:rFonts w:ascii="Trebuchet MS" w:hAnsi="Trebuchet MS"/>
        </w:rPr>
        <w:t xml:space="preserve">In terms of </w:t>
      </w:r>
      <w:r w:rsidRPr="0097106C">
        <w:rPr>
          <w:rStyle w:val="Strong"/>
          <w:rFonts w:ascii="Trebuchet MS" w:hAnsi="Trebuchet MS"/>
          <w:b w:val="0"/>
          <w:bCs w:val="0"/>
        </w:rPr>
        <w:t>measurement</w:t>
      </w:r>
      <w:r w:rsidRPr="0097106C">
        <w:rPr>
          <w:rFonts w:ascii="Trebuchet MS" w:hAnsi="Trebuchet MS"/>
        </w:rPr>
        <w:t xml:space="preserve">, benchmarking data should be analysed using medians and pay ranges rather than averages, as medians reduce distortion from extreme values. Trend analysis over time would allow </w:t>
      </w:r>
      <w:proofErr w:type="spellStart"/>
      <w:r w:rsidRPr="0097106C">
        <w:rPr>
          <w:rFonts w:ascii="Trebuchet MS" w:hAnsi="Trebuchet MS"/>
        </w:rPr>
        <w:t>GreenFriendlyEco</w:t>
      </w:r>
      <w:proofErr w:type="spellEnd"/>
      <w:r w:rsidRPr="0097106C">
        <w:rPr>
          <w:rFonts w:ascii="Trebuchet MS" w:hAnsi="Trebuchet MS"/>
        </w:rPr>
        <w:t xml:space="preserve"> to identify emerging pay pressures and evaluate whether reward changes are having a positive impact on turnover and engagement (Armstrong, 2023). Combining quantitative data with qualitative insight, such as exit interview feedback, would further strengthen understanding.</w:t>
      </w:r>
    </w:p>
    <w:p w14:paraId="106A3EC6" w14:textId="77777777" w:rsidR="0097106C" w:rsidRPr="0097106C" w:rsidRDefault="0097106C" w:rsidP="0097106C">
      <w:pPr>
        <w:pStyle w:val="NormalWeb"/>
        <w:rPr>
          <w:rFonts w:ascii="Trebuchet MS" w:hAnsi="Trebuchet MS"/>
        </w:rPr>
      </w:pPr>
      <w:r w:rsidRPr="0097106C">
        <w:rPr>
          <w:rFonts w:ascii="Trebuchet MS" w:hAnsi="Trebuchet MS"/>
        </w:rPr>
        <w:t xml:space="preserve">However, benchmarking data should not be used in isolation. CIPD (2023) cautions that over-reliance on market data can undermine affordability and internal equity. For </w:t>
      </w:r>
      <w:proofErr w:type="spellStart"/>
      <w:r w:rsidRPr="0097106C">
        <w:rPr>
          <w:rFonts w:ascii="Trebuchet MS" w:hAnsi="Trebuchet MS"/>
        </w:rPr>
        <w:t>GreenFriendlyEco</w:t>
      </w:r>
      <w:proofErr w:type="spellEnd"/>
      <w:r w:rsidRPr="0097106C">
        <w:rPr>
          <w:rFonts w:ascii="Trebuchet MS" w:hAnsi="Trebuchet MS"/>
        </w:rPr>
        <w:t xml:space="preserve">, </w:t>
      </w:r>
      <w:r w:rsidRPr="0097106C">
        <w:rPr>
          <w:rFonts w:ascii="Trebuchet MS" w:hAnsi="Trebuchet MS"/>
        </w:rPr>
        <w:lastRenderedPageBreak/>
        <w:t>benchmarking insight should be triangulated with job evaluation outcomes, organisational values and financial constraints to ensure reward decisions are sustainable.</w:t>
      </w:r>
    </w:p>
    <w:p w14:paraId="696A7D38" w14:textId="0EFDB8C4" w:rsidR="0097106C" w:rsidRPr="003E56EF" w:rsidRDefault="0097106C" w:rsidP="003E56EF">
      <w:pPr>
        <w:pStyle w:val="NormalWeb"/>
        <w:rPr>
          <w:rFonts w:ascii="Trebuchet MS" w:hAnsi="Trebuchet MS"/>
        </w:rPr>
      </w:pPr>
      <w:r w:rsidRPr="0097106C">
        <w:rPr>
          <w:rFonts w:ascii="Trebuchet MS" w:hAnsi="Trebuchet MS"/>
        </w:rPr>
        <w:t xml:space="preserve">In conclusion, a blended approach combining external, internal and sector benchmarking, measured through robust analytical methods, would enable </w:t>
      </w:r>
      <w:proofErr w:type="spellStart"/>
      <w:r w:rsidRPr="0097106C">
        <w:rPr>
          <w:rFonts w:ascii="Trebuchet MS" w:hAnsi="Trebuchet MS"/>
        </w:rPr>
        <w:t>GreenFriendlyEco</w:t>
      </w:r>
      <w:proofErr w:type="spellEnd"/>
      <w:r w:rsidRPr="0097106C">
        <w:rPr>
          <w:rFonts w:ascii="Trebuchet MS" w:hAnsi="Trebuchet MS"/>
        </w:rPr>
        <w:t xml:space="preserve"> to develop meaningful insight and design a fair, competitive and sustainable reward strategy.</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6C2B73CA" w:rsidR="004A79F5" w:rsidRPr="003E56EF" w:rsidRDefault="003E56EF" w:rsidP="003E56EF">
      <w:pPr>
        <w:pStyle w:val="Nornal"/>
        <w:spacing w:after="0" w:line="240" w:lineRule="auto"/>
        <w:rPr>
          <w:rFonts w:ascii="Trebuchet MS" w:hAnsi="Trebuchet MS"/>
          <w:b/>
          <w:bCs/>
          <w:color w:val="000000"/>
        </w:rPr>
      </w:pPr>
      <w:r w:rsidRPr="003E56EF">
        <w:rPr>
          <w:rFonts w:ascii="Trebuchet MS" w:hAnsi="Trebuchet MS"/>
          <w:b/>
          <w:bCs/>
          <w:color w:val="000000" w:themeColor="text1"/>
        </w:rPr>
        <w:t>J</w:t>
      </w:r>
      <w:r w:rsidR="004A79F5" w:rsidRPr="003E56EF">
        <w:rPr>
          <w:rFonts w:ascii="Trebuchet MS" w:hAnsi="Trebuchet MS"/>
          <w:b/>
          <w:bCs/>
          <w:color w:val="000000" w:themeColor="text1"/>
        </w:rPr>
        <w:t xml:space="preserve">ob </w:t>
      </w:r>
      <w:r w:rsidRPr="003E56EF">
        <w:rPr>
          <w:rFonts w:ascii="Trebuchet MS" w:hAnsi="Trebuchet MS"/>
          <w:b/>
          <w:bCs/>
          <w:color w:val="000000" w:themeColor="text1"/>
        </w:rPr>
        <w:t>E</w:t>
      </w:r>
      <w:r w:rsidR="004A79F5" w:rsidRPr="003E56EF">
        <w:rPr>
          <w:rFonts w:ascii="Trebuchet MS" w:hAnsi="Trebuchet MS"/>
          <w:b/>
          <w:bCs/>
          <w:color w:val="000000" w:themeColor="text1"/>
        </w:rPr>
        <w:t>valuation (AC 3.3)</w:t>
      </w:r>
    </w:p>
    <w:p w14:paraId="142BA795" w14:textId="63F2270C" w:rsidR="003E56EF" w:rsidRPr="003E56EF" w:rsidRDefault="003E56EF" w:rsidP="003E56EF">
      <w:pPr>
        <w:pStyle w:val="NormalWeb"/>
        <w:rPr>
          <w:rFonts w:ascii="Trebuchet MS" w:hAnsi="Trebuchet MS"/>
          <w:sz w:val="24"/>
        </w:rPr>
      </w:pPr>
      <w:r w:rsidRPr="003E56EF">
        <w:rPr>
          <w:rFonts w:ascii="Trebuchet MS" w:hAnsi="Trebuchet MS"/>
        </w:rPr>
        <w:t xml:space="preserve">Job evaluation is a systematic process used to determine the relative value of jobs within an organisation, providing a foundation for fair and consistent pay structures and supporting internal equity (Milkovich, Newman &amp; Gerhart, 2013). For </w:t>
      </w:r>
      <w:proofErr w:type="spellStart"/>
      <w:r w:rsidRPr="003E56EF">
        <w:rPr>
          <w:rFonts w:ascii="Trebuchet MS" w:hAnsi="Trebuchet MS"/>
        </w:rPr>
        <w:t>GreenFriendlyEco</w:t>
      </w:r>
      <w:proofErr w:type="spellEnd"/>
      <w:r w:rsidRPr="003E56EF">
        <w:rPr>
          <w:rFonts w:ascii="Trebuchet MS" w:hAnsi="Trebuchet MS"/>
        </w:rPr>
        <w:t xml:space="preserve">, where there are wide variations in employee roles </w:t>
      </w:r>
      <w:r w:rsidR="00A15DA2">
        <w:rPr>
          <w:rFonts w:ascii="Trebuchet MS" w:hAnsi="Trebuchet MS"/>
        </w:rPr>
        <w:t>-</w:t>
      </w:r>
      <w:r w:rsidRPr="003E56EF">
        <w:rPr>
          <w:rFonts w:ascii="Trebuchet MS" w:hAnsi="Trebuchet MS"/>
        </w:rPr>
        <w:t xml:space="preserve"> from skilled manufacturing operatives to administrative functions </w:t>
      </w:r>
      <w:r>
        <w:rPr>
          <w:rFonts w:ascii="Trebuchet MS" w:hAnsi="Trebuchet MS"/>
        </w:rPr>
        <w:t>-</w:t>
      </w:r>
      <w:r w:rsidRPr="003E56EF">
        <w:rPr>
          <w:rFonts w:ascii="Trebuchet MS" w:hAnsi="Trebuchet MS"/>
        </w:rPr>
        <w:t>job evaluation would help ensure that pay relationships reflect job content and contribution, reducing perceptions of unfairness that may be contributing to turnover and low morale.</w:t>
      </w:r>
    </w:p>
    <w:p w14:paraId="69C8C137" w14:textId="77777777" w:rsidR="003E56EF" w:rsidRPr="003E56EF" w:rsidRDefault="003E56EF" w:rsidP="003E56EF">
      <w:pPr>
        <w:pStyle w:val="NormalWeb"/>
        <w:rPr>
          <w:rFonts w:ascii="Trebuchet MS" w:hAnsi="Trebuchet MS"/>
        </w:rPr>
      </w:pPr>
      <w:r w:rsidRPr="003E56EF">
        <w:rPr>
          <w:rFonts w:ascii="Trebuchet MS" w:hAnsi="Trebuchet MS"/>
        </w:rPr>
        <w:t xml:space="preserve">There are three broad approaches to job evaluation: </w:t>
      </w:r>
      <w:r w:rsidRPr="003E56EF">
        <w:rPr>
          <w:rStyle w:val="Strong"/>
          <w:rFonts w:ascii="Trebuchet MS" w:hAnsi="Trebuchet MS"/>
          <w:b w:val="0"/>
          <w:bCs w:val="0"/>
        </w:rPr>
        <w:t xml:space="preserve">non-analytical (ranking and grading), analytical (points and factor comparison), and </w:t>
      </w:r>
      <w:proofErr w:type="gramStart"/>
      <w:r w:rsidRPr="003E56EF">
        <w:rPr>
          <w:rStyle w:val="Strong"/>
          <w:rFonts w:ascii="Trebuchet MS" w:hAnsi="Trebuchet MS"/>
          <w:b w:val="0"/>
          <w:bCs w:val="0"/>
        </w:rPr>
        <w:t>competency-based</w:t>
      </w:r>
      <w:proofErr w:type="gramEnd"/>
      <w:r w:rsidRPr="003E56EF">
        <w:rPr>
          <w:rFonts w:ascii="Trebuchet MS" w:hAnsi="Trebuchet MS"/>
        </w:rPr>
        <w:t>. Each has merits and limitations depending on organisational context and strategic aims.</w:t>
      </w:r>
    </w:p>
    <w:p w14:paraId="55A93CC3"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Non-analytical approaches</w:t>
      </w:r>
      <w:r w:rsidRPr="003E56EF">
        <w:rPr>
          <w:rFonts w:ascii="Trebuchet MS" w:hAnsi="Trebuchet MS"/>
        </w:rPr>
        <w:t xml:space="preserve"> include </w:t>
      </w:r>
      <w:r w:rsidRPr="003E56EF">
        <w:rPr>
          <w:rStyle w:val="Strong"/>
          <w:rFonts w:ascii="Trebuchet MS" w:hAnsi="Trebuchet MS"/>
          <w:b w:val="0"/>
          <w:bCs w:val="0"/>
        </w:rPr>
        <w:t>job ranking</w:t>
      </w:r>
      <w:r w:rsidRPr="003E56EF">
        <w:rPr>
          <w:rFonts w:ascii="Trebuchet MS" w:hAnsi="Trebuchet MS"/>
        </w:rPr>
        <w:t xml:space="preserve"> and </w:t>
      </w:r>
      <w:r w:rsidRPr="003E56EF">
        <w:rPr>
          <w:rStyle w:val="Strong"/>
          <w:rFonts w:ascii="Trebuchet MS" w:hAnsi="Trebuchet MS"/>
          <w:b w:val="0"/>
          <w:bCs w:val="0"/>
        </w:rPr>
        <w:t>job grading</w:t>
      </w:r>
      <w:r w:rsidRPr="003E56EF">
        <w:rPr>
          <w:rFonts w:ascii="Trebuchet MS" w:hAnsi="Trebuchet MS"/>
        </w:rPr>
        <w:t>. Job ranking involves arranging jobs in order of value or importance, based on overall job content. This method is simple and inexpensive, requiring minimal documentation, but it lacks precision and is difficult to apply in organisations with large numbers of jobs or complex roles (Torrington et al., 2020). Job grading or classification assigns jobs to predetermined grades or bands based on general descriptions. Although more structured than ranking, grading can still be subjective and may not differentiate well between roles with nuanced differences in responsibilities.</w:t>
      </w:r>
    </w:p>
    <w:p w14:paraId="588CE040"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Analytical approaches</w:t>
      </w:r>
      <w:r w:rsidRPr="003E56EF">
        <w:rPr>
          <w:rFonts w:ascii="Trebuchet MS" w:hAnsi="Trebuchet MS"/>
        </w:rPr>
        <w:t xml:space="preserve"> are more systematic and transparent. The </w:t>
      </w:r>
      <w:r w:rsidRPr="003E56EF">
        <w:rPr>
          <w:rStyle w:val="Strong"/>
          <w:rFonts w:ascii="Trebuchet MS" w:hAnsi="Trebuchet MS"/>
          <w:b w:val="0"/>
          <w:bCs w:val="0"/>
        </w:rPr>
        <w:t>point-factor method</w:t>
      </w:r>
      <w:r w:rsidRPr="003E56EF">
        <w:rPr>
          <w:rFonts w:ascii="Trebuchet MS" w:hAnsi="Trebuchet MS"/>
        </w:rPr>
        <w:t xml:space="preserve"> identifies key job factors (such as skills, effort, responsibility and working conditions), defines degrees for each factor, and assigns points to establish relative job worth. This method produces quantifiable results that support defensible pay structures and can be particularly useful in manufacturing contexts like </w:t>
      </w:r>
      <w:proofErr w:type="spellStart"/>
      <w:r w:rsidRPr="003E56EF">
        <w:rPr>
          <w:rFonts w:ascii="Trebuchet MS" w:hAnsi="Trebuchet MS"/>
        </w:rPr>
        <w:t>GreenFriendlyEco</w:t>
      </w:r>
      <w:proofErr w:type="spellEnd"/>
      <w:r w:rsidRPr="003E56EF">
        <w:rPr>
          <w:rFonts w:ascii="Trebuchet MS" w:hAnsi="Trebuchet MS"/>
        </w:rPr>
        <w:t xml:space="preserve"> where roles vary significantly in technical skill and responsibility (Milkovich et al., 2013). The </w:t>
      </w:r>
      <w:r w:rsidRPr="003E56EF">
        <w:rPr>
          <w:rStyle w:val="Strong"/>
          <w:rFonts w:ascii="Trebuchet MS" w:hAnsi="Trebuchet MS"/>
          <w:b w:val="0"/>
          <w:bCs w:val="0"/>
        </w:rPr>
        <w:t>factor comparison method</w:t>
      </w:r>
      <w:r w:rsidRPr="003E56EF">
        <w:rPr>
          <w:rFonts w:ascii="Trebuchet MS" w:hAnsi="Trebuchet MS"/>
        </w:rPr>
        <w:t xml:space="preserve"> combines ranking with quantitative measures by comparing key factors to benchmark jobs. While analytical methods require more time and expertise, they enhance consistency and reduce bias, making them suitable where pay equity and transparency are priorities.</w:t>
      </w:r>
    </w:p>
    <w:p w14:paraId="2F83E82B"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Competency-based job evaluation</w:t>
      </w:r>
      <w:r w:rsidRPr="003E56EF">
        <w:rPr>
          <w:rFonts w:ascii="Trebuchet MS" w:hAnsi="Trebuchet MS"/>
        </w:rPr>
        <w:t xml:space="preserve"> focuses on the competencies required to perform roles rather than traditional tasks. This approach aligns job evaluation with organisational strategy by valuing behaviours and capabilities that the business needs now </w:t>
      </w:r>
      <w:proofErr w:type="gramStart"/>
      <w:r w:rsidRPr="003E56EF">
        <w:rPr>
          <w:rFonts w:ascii="Trebuchet MS" w:hAnsi="Trebuchet MS"/>
        </w:rPr>
        <w:t>and in the future</w:t>
      </w:r>
      <w:proofErr w:type="gramEnd"/>
      <w:r w:rsidRPr="003E56EF">
        <w:rPr>
          <w:rFonts w:ascii="Trebuchet MS" w:hAnsi="Trebuchet MS"/>
        </w:rPr>
        <w:t xml:space="preserve"> (CIPD, 2021). For </w:t>
      </w:r>
      <w:proofErr w:type="spellStart"/>
      <w:r w:rsidRPr="003E56EF">
        <w:rPr>
          <w:rFonts w:ascii="Trebuchet MS" w:hAnsi="Trebuchet MS"/>
        </w:rPr>
        <w:t>GreenFriendlyEco</w:t>
      </w:r>
      <w:proofErr w:type="spellEnd"/>
      <w:r w:rsidRPr="003E56EF">
        <w:rPr>
          <w:rFonts w:ascii="Trebuchet MS" w:hAnsi="Trebuchet MS"/>
        </w:rPr>
        <w:t>, a competency approach could support strategic goals such as innovation in eco-friendly manufacturing and continuous improvement.</w:t>
      </w:r>
    </w:p>
    <w:p w14:paraId="726E8931" w14:textId="77777777" w:rsidR="003E56EF" w:rsidRPr="003E56EF" w:rsidRDefault="003E56EF" w:rsidP="003E56EF">
      <w:pPr>
        <w:pStyle w:val="NormalWeb"/>
        <w:rPr>
          <w:rFonts w:ascii="Trebuchet MS" w:hAnsi="Trebuchet MS"/>
        </w:rPr>
      </w:pPr>
      <w:r w:rsidRPr="003E56EF">
        <w:rPr>
          <w:rFonts w:ascii="Trebuchet MS" w:hAnsi="Trebuchet MS"/>
        </w:rPr>
        <w:t xml:space="preserve">Regardless of the approach chosen, effective job evaluation involves clear job analysis, stakeholder engagement and regular review to reflect organisational change. For </w:t>
      </w:r>
      <w:proofErr w:type="spellStart"/>
      <w:r w:rsidRPr="003E56EF">
        <w:rPr>
          <w:rFonts w:ascii="Trebuchet MS" w:hAnsi="Trebuchet MS"/>
        </w:rPr>
        <w:t>GreenFriendlyEco</w:t>
      </w:r>
      <w:proofErr w:type="spellEnd"/>
      <w:r w:rsidRPr="003E56EF">
        <w:rPr>
          <w:rFonts w:ascii="Trebuchet MS" w:hAnsi="Trebuchet MS"/>
        </w:rPr>
        <w:t>, adopting a systematic job evaluation approach would help create fairer pay structures, support reward strategy development and address cultural issues linked to perceived inequity.</w:t>
      </w:r>
    </w:p>
    <w:p w14:paraId="5266941E" w14:textId="77777777" w:rsidR="003E56EF" w:rsidRPr="00E446B9" w:rsidRDefault="003E56EF" w:rsidP="003E56EF">
      <w:pPr>
        <w:pStyle w:val="Nornal"/>
        <w:spacing w:after="0" w:line="240" w:lineRule="auto"/>
        <w:rPr>
          <w:rFonts w:ascii="Trebuchet MS" w:hAnsi="Trebuchet MS"/>
          <w:color w:val="000000"/>
        </w:rPr>
      </w:pP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50BD0A33" w:rsidR="004A79F5" w:rsidRPr="00687CB4" w:rsidRDefault="00687CB4" w:rsidP="00687CB4">
      <w:pPr>
        <w:pStyle w:val="Nornal"/>
        <w:spacing w:after="0" w:line="240" w:lineRule="auto"/>
        <w:rPr>
          <w:rFonts w:ascii="Trebuchet MS" w:hAnsi="Trebuchet MS"/>
          <w:b/>
          <w:bCs/>
          <w:color w:val="000000" w:themeColor="text1"/>
        </w:rPr>
      </w:pPr>
      <w:r w:rsidRPr="00687CB4">
        <w:rPr>
          <w:rFonts w:ascii="Trebuchet MS" w:hAnsi="Trebuchet MS"/>
          <w:b/>
          <w:bCs/>
          <w:color w:val="000000" w:themeColor="text1"/>
        </w:rPr>
        <w:lastRenderedPageBreak/>
        <w:t>L</w:t>
      </w:r>
      <w:r w:rsidR="004A79F5" w:rsidRPr="00687CB4">
        <w:rPr>
          <w:rFonts w:ascii="Trebuchet MS" w:hAnsi="Trebuchet MS"/>
          <w:b/>
          <w:bCs/>
          <w:color w:val="000000" w:themeColor="text1"/>
        </w:rPr>
        <w:t xml:space="preserve">egislative </w:t>
      </w:r>
      <w:r w:rsidRPr="00687CB4">
        <w:rPr>
          <w:rFonts w:ascii="Trebuchet MS" w:hAnsi="Trebuchet MS"/>
          <w:b/>
          <w:bCs/>
          <w:color w:val="000000" w:themeColor="text1"/>
        </w:rPr>
        <w:t>R</w:t>
      </w:r>
      <w:r w:rsidR="004A79F5" w:rsidRPr="00687CB4">
        <w:rPr>
          <w:rFonts w:ascii="Trebuchet MS" w:hAnsi="Trebuchet MS"/>
          <w:b/>
          <w:bCs/>
          <w:color w:val="000000" w:themeColor="text1"/>
        </w:rPr>
        <w:t xml:space="preserve">equirements </w:t>
      </w:r>
      <w:r w:rsidRPr="00687CB4">
        <w:rPr>
          <w:rFonts w:ascii="Trebuchet MS" w:hAnsi="Trebuchet MS"/>
          <w:b/>
          <w:bCs/>
          <w:color w:val="000000" w:themeColor="text1"/>
        </w:rPr>
        <w:t>(</w:t>
      </w:r>
      <w:r w:rsidR="004A79F5" w:rsidRPr="00687CB4">
        <w:rPr>
          <w:rFonts w:ascii="Trebuchet MS" w:hAnsi="Trebuchet MS"/>
          <w:b/>
          <w:bCs/>
          <w:color w:val="000000" w:themeColor="text1"/>
        </w:rPr>
        <w:t xml:space="preserve">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5C1A2986"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Reward practice in the UK is shaped by a range of legislative requirements designed to protect employee rights, promote fairness and ensure minimum standards. For </w:t>
      </w:r>
      <w:proofErr w:type="spellStart"/>
      <w:r w:rsidRPr="00687CB4">
        <w:rPr>
          <w:rFonts w:ascii="Trebuchet MS" w:hAnsi="Trebuchet MS" w:cstheme="minorHAnsi"/>
        </w:rPr>
        <w:t>GreenFriendlyEco</w:t>
      </w:r>
      <w:proofErr w:type="spellEnd"/>
      <w:r w:rsidRPr="00687CB4">
        <w:rPr>
          <w:rFonts w:ascii="Trebuchet MS" w:hAnsi="Trebuchet MS" w:cstheme="minorHAnsi"/>
        </w:rPr>
        <w:t>, understanding and complying with these legal obligations is essential to avoid financial penalties, mitigate legal risk and support a positive employment culture.</w:t>
      </w:r>
    </w:p>
    <w:p w14:paraId="6BC352B1" w14:textId="77777777" w:rsidR="00FD50B7" w:rsidRPr="00687CB4" w:rsidRDefault="00FD50B7" w:rsidP="00687CB4">
      <w:pPr>
        <w:pStyle w:val="Nornal"/>
        <w:spacing w:after="0"/>
        <w:rPr>
          <w:rFonts w:ascii="Trebuchet MS" w:hAnsi="Trebuchet MS" w:cstheme="minorHAnsi"/>
        </w:rPr>
      </w:pPr>
    </w:p>
    <w:p w14:paraId="72B7D47D"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One of the most fundamental legislative frameworks affecting reward is the National Minimum Wage (NMW) and National Living Wage (NLW). All employers must pay workers at least the statutory minimum rates, which are reviewed annually by government. Paying below these rates can result in enforcement action and back-pay liabilities (ACAS, 2024). For </w:t>
      </w:r>
      <w:proofErr w:type="spellStart"/>
      <w:r w:rsidRPr="00687CB4">
        <w:rPr>
          <w:rFonts w:ascii="Trebuchet MS" w:hAnsi="Trebuchet MS" w:cstheme="minorHAnsi"/>
        </w:rPr>
        <w:t>GreenFriendlyEco</w:t>
      </w:r>
      <w:proofErr w:type="spellEnd"/>
      <w:r w:rsidRPr="00687CB4">
        <w:rPr>
          <w:rFonts w:ascii="Trebuchet MS" w:hAnsi="Trebuchet MS" w:cstheme="minorHAnsi"/>
        </w:rPr>
        <w:t>, ensuring that all roles — especially non-skilled positions — meet or exceed current NMW/NLW requirements is critical in preventing underpayment and supporting fair reward.</w:t>
      </w:r>
    </w:p>
    <w:p w14:paraId="5159D83C" w14:textId="77777777" w:rsidR="00FD50B7" w:rsidRPr="00687CB4" w:rsidRDefault="00FD50B7" w:rsidP="00687CB4">
      <w:pPr>
        <w:pStyle w:val="Nornal"/>
        <w:spacing w:after="0"/>
        <w:rPr>
          <w:rFonts w:ascii="Trebuchet MS" w:hAnsi="Trebuchet MS" w:cstheme="minorHAnsi"/>
        </w:rPr>
      </w:pPr>
    </w:p>
    <w:p w14:paraId="115FC54F"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Another key legal requirement is the Equality Act 2010, which prohibits discrimination in pay and reward on protected characteristics such as gender, age, race and disability. The Act’s equal pay provisions mean that men and women must receive equal pay for equal work, work rated as equivalent, or work of equal value (</w:t>
      </w:r>
      <w:proofErr w:type="spellStart"/>
      <w:r w:rsidRPr="00687CB4">
        <w:rPr>
          <w:rFonts w:ascii="Trebuchet MS" w:hAnsi="Trebuchet MS" w:cstheme="minorHAnsi"/>
        </w:rPr>
        <w:t>Blanpain</w:t>
      </w:r>
      <w:proofErr w:type="spellEnd"/>
      <w:r w:rsidRPr="00687CB4">
        <w:rPr>
          <w:rFonts w:ascii="Trebuchet MS" w:hAnsi="Trebuchet MS" w:cstheme="minorHAnsi"/>
        </w:rPr>
        <w:t xml:space="preserve"> &amp; Hebson, 2021). Given the scenario’s indication of special reward schemes for senior staff only, </w:t>
      </w:r>
      <w:proofErr w:type="spellStart"/>
      <w:r w:rsidRPr="00687CB4">
        <w:rPr>
          <w:rFonts w:ascii="Trebuchet MS" w:hAnsi="Trebuchet MS" w:cstheme="minorHAnsi"/>
        </w:rPr>
        <w:t>GreenFriendlyEco</w:t>
      </w:r>
      <w:proofErr w:type="spellEnd"/>
      <w:r w:rsidRPr="00687CB4">
        <w:rPr>
          <w:rFonts w:ascii="Trebuchet MS" w:hAnsi="Trebuchet MS" w:cstheme="minorHAnsi"/>
        </w:rPr>
        <w:t xml:space="preserve"> should audit its pay structures to ensure that these arrangements are justifiable and do not inadvertently create unequal pay risks.</w:t>
      </w:r>
    </w:p>
    <w:p w14:paraId="0C938B4B" w14:textId="77777777" w:rsidR="00FD50B7" w:rsidRPr="00687CB4" w:rsidRDefault="00FD50B7" w:rsidP="00687CB4">
      <w:pPr>
        <w:pStyle w:val="Nornal"/>
        <w:spacing w:after="0"/>
        <w:rPr>
          <w:rFonts w:ascii="Trebuchet MS" w:hAnsi="Trebuchet MS" w:cstheme="minorHAnsi"/>
        </w:rPr>
      </w:pPr>
    </w:p>
    <w:p w14:paraId="222131F5"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Working Time Regulations (1998) also impact reward practices by setting limits on working hours, rest breaks and paid annual leave entitlements. Employees are entitled to at least 5.6 weeks’ paid leave per year (which </w:t>
      </w:r>
      <w:proofErr w:type="spellStart"/>
      <w:r w:rsidRPr="00687CB4">
        <w:rPr>
          <w:rFonts w:ascii="Trebuchet MS" w:hAnsi="Trebuchet MS" w:cstheme="minorHAnsi"/>
        </w:rPr>
        <w:t>GreenFriendlyEco</w:t>
      </w:r>
      <w:proofErr w:type="spellEnd"/>
      <w:r w:rsidRPr="00687CB4">
        <w:rPr>
          <w:rFonts w:ascii="Trebuchet MS" w:hAnsi="Trebuchet MS" w:cstheme="minorHAnsi"/>
        </w:rPr>
        <w:t xml:space="preserve"> already offers), and failure to comply can lead to claims and enforcement (Deakin, Morris &amp; Wilkinson, 2022). Reward policies must reflect these entitlements accurately in contract terms and payroll calculations.</w:t>
      </w:r>
    </w:p>
    <w:p w14:paraId="05E2FC00" w14:textId="77777777" w:rsidR="00FD50B7" w:rsidRPr="00687CB4" w:rsidRDefault="00FD50B7" w:rsidP="00687CB4">
      <w:pPr>
        <w:pStyle w:val="Nornal"/>
        <w:spacing w:after="0"/>
        <w:rPr>
          <w:rFonts w:ascii="Trebuchet MS" w:hAnsi="Trebuchet MS" w:cstheme="minorHAnsi"/>
        </w:rPr>
      </w:pPr>
    </w:p>
    <w:p w14:paraId="6E8637B4"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Auto-enrolment pension legislation requires employers to enrol eligible workers into a qualifying pension scheme and make minimum contributions (The Pensions Regulator, 2024). </w:t>
      </w:r>
      <w:proofErr w:type="spellStart"/>
      <w:r w:rsidRPr="00687CB4">
        <w:rPr>
          <w:rFonts w:ascii="Trebuchet MS" w:hAnsi="Trebuchet MS" w:cstheme="minorHAnsi"/>
        </w:rPr>
        <w:t>GreenFriendlyEco’s</w:t>
      </w:r>
      <w:proofErr w:type="spellEnd"/>
      <w:r w:rsidRPr="00687CB4">
        <w:rPr>
          <w:rFonts w:ascii="Trebuchet MS" w:hAnsi="Trebuchet MS" w:cstheme="minorHAnsi"/>
        </w:rPr>
        <w:t xml:space="preserve"> provision of a non-contributory pension meets a basic requirement, but the employer must ensure ongoing compliance with contribution levels, opt-out procedures and staging dates to avoid penalties.</w:t>
      </w:r>
    </w:p>
    <w:p w14:paraId="07AC0758" w14:textId="77777777" w:rsidR="00FD50B7" w:rsidRPr="00687CB4" w:rsidRDefault="00FD50B7" w:rsidP="00687CB4">
      <w:pPr>
        <w:pStyle w:val="Nornal"/>
        <w:spacing w:after="0"/>
        <w:rPr>
          <w:rFonts w:ascii="Trebuchet MS" w:hAnsi="Trebuchet MS" w:cstheme="minorHAnsi"/>
        </w:rPr>
      </w:pPr>
    </w:p>
    <w:p w14:paraId="2E13DAF8"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Other legislative areas that influence reward include tax and National Insurance rules, which govern how pay and benefits are treated fiscally, and family-friendly rights such as statutory maternity, paternity and shared parental pay (CIPD, 2024). Reward practices should be designed to accommodate these rights without discrimination.</w:t>
      </w:r>
    </w:p>
    <w:p w14:paraId="09127882" w14:textId="77777777" w:rsidR="00FD50B7" w:rsidRPr="00687CB4" w:rsidRDefault="00FD50B7" w:rsidP="00687CB4">
      <w:pPr>
        <w:pStyle w:val="Nornal"/>
        <w:spacing w:after="0"/>
        <w:rPr>
          <w:rFonts w:ascii="Trebuchet MS" w:hAnsi="Trebuchet MS" w:cstheme="minorHAnsi"/>
        </w:rPr>
      </w:pPr>
    </w:p>
    <w:p w14:paraId="4AC42932" w14:textId="77777777" w:rsidR="00687CB4" w:rsidRP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In summary, legislative requirements shape the parameters within which reward systems must operate. For </w:t>
      </w:r>
      <w:proofErr w:type="spellStart"/>
      <w:r w:rsidRPr="00687CB4">
        <w:rPr>
          <w:rFonts w:ascii="Trebuchet MS" w:hAnsi="Trebuchet MS" w:cstheme="minorHAnsi"/>
        </w:rPr>
        <w:t>GreenFriendlyEco</w:t>
      </w:r>
      <w:proofErr w:type="spellEnd"/>
      <w:r w:rsidRPr="00687CB4">
        <w:rPr>
          <w:rFonts w:ascii="Trebuchet MS" w:hAnsi="Trebuchet MS" w:cstheme="minorHAnsi"/>
        </w:rPr>
        <w:t>, rigorous compliance with minimum wage, equal pay, working time, pension auto-enrolment and related employment legislation not only avoids legal risk but also supports fairness, employee trust and sustainable organisational performance.</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Default="004A79F5" w:rsidP="004A79F5">
      <w:pPr>
        <w:pStyle w:val="Nornal"/>
        <w:spacing w:after="0" w:line="240" w:lineRule="auto"/>
        <w:rPr>
          <w:rFonts w:ascii="Trebuchet MS" w:hAnsi="Trebuchet MS"/>
          <w:color w:val="000000"/>
        </w:rPr>
      </w:pPr>
    </w:p>
    <w:p w14:paraId="3619E78B" w14:textId="77777777" w:rsidR="004628F1" w:rsidRDefault="004628F1" w:rsidP="004A79F5">
      <w:pPr>
        <w:pStyle w:val="Nornal"/>
        <w:spacing w:after="0" w:line="240" w:lineRule="auto"/>
        <w:rPr>
          <w:rFonts w:ascii="Trebuchet MS" w:hAnsi="Trebuchet MS"/>
          <w:color w:val="000000"/>
        </w:rPr>
      </w:pPr>
    </w:p>
    <w:p w14:paraId="67FD1612" w14:textId="77777777" w:rsidR="004628F1" w:rsidRDefault="004628F1" w:rsidP="004A79F5">
      <w:pPr>
        <w:pStyle w:val="Nornal"/>
        <w:spacing w:after="0" w:line="240" w:lineRule="auto"/>
        <w:rPr>
          <w:rFonts w:ascii="Trebuchet MS" w:hAnsi="Trebuchet MS"/>
          <w:color w:val="000000"/>
        </w:rPr>
      </w:pPr>
    </w:p>
    <w:p w14:paraId="27FBF739" w14:textId="77777777" w:rsidR="004628F1" w:rsidRDefault="004628F1" w:rsidP="004A79F5">
      <w:pPr>
        <w:pStyle w:val="Nornal"/>
        <w:spacing w:after="0" w:line="240" w:lineRule="auto"/>
        <w:rPr>
          <w:rFonts w:ascii="Trebuchet MS" w:hAnsi="Trebuchet MS"/>
          <w:color w:val="000000"/>
        </w:rPr>
      </w:pPr>
    </w:p>
    <w:p w14:paraId="4DB64028" w14:textId="77777777" w:rsidR="004628F1" w:rsidRDefault="004628F1" w:rsidP="004A79F5">
      <w:pPr>
        <w:pStyle w:val="Nornal"/>
        <w:spacing w:after="0" w:line="240" w:lineRule="auto"/>
        <w:rPr>
          <w:rFonts w:ascii="Trebuchet MS" w:hAnsi="Trebuchet MS"/>
          <w:color w:val="000000"/>
        </w:rPr>
      </w:pPr>
    </w:p>
    <w:p w14:paraId="10896D19" w14:textId="77777777" w:rsidR="004628F1" w:rsidRDefault="004628F1" w:rsidP="004A79F5">
      <w:pPr>
        <w:pStyle w:val="Nornal"/>
        <w:spacing w:after="0" w:line="240" w:lineRule="auto"/>
        <w:rPr>
          <w:rFonts w:ascii="Trebuchet MS" w:hAnsi="Trebuchet MS"/>
          <w:color w:val="000000"/>
        </w:rPr>
      </w:pPr>
    </w:p>
    <w:p w14:paraId="2641B4CB" w14:textId="77777777" w:rsidR="004628F1" w:rsidRDefault="004628F1" w:rsidP="004A79F5">
      <w:pPr>
        <w:pStyle w:val="Nornal"/>
        <w:spacing w:after="0" w:line="240" w:lineRule="auto"/>
        <w:rPr>
          <w:rFonts w:ascii="Trebuchet MS" w:hAnsi="Trebuchet MS"/>
          <w:color w:val="000000"/>
        </w:rPr>
      </w:pPr>
    </w:p>
    <w:p w14:paraId="3C9113CF" w14:textId="77777777" w:rsidR="004628F1" w:rsidRDefault="004628F1" w:rsidP="004A79F5">
      <w:pPr>
        <w:pStyle w:val="Nornal"/>
        <w:spacing w:after="0" w:line="240" w:lineRule="auto"/>
        <w:rPr>
          <w:rFonts w:ascii="Trebuchet MS" w:hAnsi="Trebuchet MS"/>
          <w:color w:val="000000"/>
        </w:rPr>
      </w:pPr>
    </w:p>
    <w:p w14:paraId="4FB185B7" w14:textId="77777777" w:rsidR="004628F1" w:rsidRDefault="004628F1" w:rsidP="004A79F5">
      <w:pPr>
        <w:pStyle w:val="Nornal"/>
        <w:spacing w:after="0" w:line="240" w:lineRule="auto"/>
        <w:rPr>
          <w:rFonts w:ascii="Trebuchet MS" w:hAnsi="Trebuchet MS"/>
          <w:color w:val="000000"/>
        </w:rPr>
      </w:pPr>
    </w:p>
    <w:p w14:paraId="4F12DD93" w14:textId="77777777" w:rsidR="004628F1" w:rsidRDefault="004628F1" w:rsidP="004A79F5">
      <w:pPr>
        <w:pStyle w:val="Nornal"/>
        <w:spacing w:after="0" w:line="240" w:lineRule="auto"/>
        <w:rPr>
          <w:rFonts w:ascii="Trebuchet MS" w:hAnsi="Trebuchet MS"/>
          <w:color w:val="000000"/>
        </w:rPr>
      </w:pPr>
    </w:p>
    <w:p w14:paraId="7C507CCD" w14:textId="5BAB20CF" w:rsidR="004628F1" w:rsidRDefault="004628F1" w:rsidP="004628F1">
      <w:pPr>
        <w:pStyle w:val="Nornal"/>
        <w:spacing w:after="0"/>
        <w:rPr>
          <w:rFonts w:ascii="Trebuchet MS" w:hAnsi="Trebuchet MS"/>
          <w:b/>
          <w:bCs/>
          <w:color w:val="000000"/>
        </w:rPr>
      </w:pPr>
      <w:r w:rsidRPr="004628F1">
        <w:rPr>
          <w:rFonts w:ascii="Trebuchet MS" w:hAnsi="Trebuchet MS"/>
          <w:b/>
          <w:bCs/>
          <w:color w:val="000000"/>
        </w:rPr>
        <w:lastRenderedPageBreak/>
        <w:t>Reference List</w:t>
      </w:r>
    </w:p>
    <w:p w14:paraId="2D11946F" w14:textId="77777777" w:rsidR="004628F1" w:rsidRPr="004628F1" w:rsidRDefault="004628F1" w:rsidP="004628F1">
      <w:pPr>
        <w:pStyle w:val="Nornal"/>
        <w:spacing w:after="0"/>
        <w:rPr>
          <w:rFonts w:ascii="Trebuchet MS" w:hAnsi="Trebuchet MS"/>
          <w:b/>
          <w:bCs/>
          <w:color w:val="000000"/>
        </w:rPr>
      </w:pPr>
    </w:p>
    <w:p w14:paraId="36D0BAC9"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ACAS (2024) </w:t>
      </w:r>
      <w:r w:rsidRPr="004628F1">
        <w:rPr>
          <w:rFonts w:ascii="Trebuchet MS" w:hAnsi="Trebuchet MS"/>
          <w:i/>
          <w:iCs/>
          <w:color w:val="000000"/>
        </w:rPr>
        <w:t>National Minimum Wage and National Living Wage</w:t>
      </w:r>
      <w:r w:rsidRPr="004628F1">
        <w:rPr>
          <w:rFonts w:ascii="Trebuchet MS" w:hAnsi="Trebuchet MS"/>
          <w:color w:val="000000"/>
        </w:rPr>
        <w:t>. London: Advisory, Conciliation and Arbitration Service.</w:t>
      </w:r>
    </w:p>
    <w:p w14:paraId="1ECF3698" w14:textId="77777777" w:rsidR="004628F1" w:rsidRPr="004628F1" w:rsidRDefault="004628F1" w:rsidP="004628F1">
      <w:pPr>
        <w:pStyle w:val="Nornal"/>
        <w:spacing w:after="0"/>
        <w:rPr>
          <w:rFonts w:ascii="Trebuchet MS" w:hAnsi="Trebuchet MS"/>
          <w:color w:val="000000"/>
        </w:rPr>
      </w:pPr>
    </w:p>
    <w:p w14:paraId="009A83AB"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Armstrong, M. (2023) </w:t>
      </w:r>
      <w:r w:rsidRPr="004628F1">
        <w:rPr>
          <w:rFonts w:ascii="Trebuchet MS" w:hAnsi="Trebuchet MS"/>
          <w:i/>
          <w:iCs/>
          <w:color w:val="000000"/>
        </w:rPr>
        <w:t>Armstrong’s Handbook of Reward Management Practice</w:t>
      </w:r>
      <w:r w:rsidRPr="004628F1">
        <w:rPr>
          <w:rFonts w:ascii="Trebuchet MS" w:hAnsi="Trebuchet MS"/>
          <w:color w:val="000000"/>
        </w:rPr>
        <w:t xml:space="preserve">. 15th </w:t>
      </w:r>
      <w:proofErr w:type="spellStart"/>
      <w:r w:rsidRPr="004628F1">
        <w:rPr>
          <w:rFonts w:ascii="Trebuchet MS" w:hAnsi="Trebuchet MS"/>
          <w:color w:val="000000"/>
        </w:rPr>
        <w:t>edn</w:t>
      </w:r>
      <w:proofErr w:type="spellEnd"/>
      <w:r w:rsidRPr="004628F1">
        <w:rPr>
          <w:rFonts w:ascii="Trebuchet MS" w:hAnsi="Trebuchet MS"/>
          <w:color w:val="000000"/>
        </w:rPr>
        <w:t>. London: Kogan Page.</w:t>
      </w:r>
    </w:p>
    <w:p w14:paraId="34E0A65B" w14:textId="77777777" w:rsidR="004628F1" w:rsidRPr="004628F1" w:rsidRDefault="004628F1" w:rsidP="004628F1">
      <w:pPr>
        <w:pStyle w:val="Nornal"/>
        <w:spacing w:after="0"/>
        <w:rPr>
          <w:rFonts w:ascii="Trebuchet MS" w:hAnsi="Trebuchet MS"/>
          <w:color w:val="000000"/>
        </w:rPr>
      </w:pPr>
    </w:p>
    <w:p w14:paraId="42B9F802"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Armstrong, M. and Taylor, S. (2020) </w:t>
      </w:r>
      <w:r w:rsidRPr="004628F1">
        <w:rPr>
          <w:rFonts w:ascii="Trebuchet MS" w:hAnsi="Trebuchet MS"/>
          <w:i/>
          <w:iCs/>
          <w:color w:val="000000"/>
        </w:rPr>
        <w:t>Armstrong’s Handbook of Human Resource Management Practice</w:t>
      </w:r>
      <w:r w:rsidRPr="004628F1">
        <w:rPr>
          <w:rFonts w:ascii="Trebuchet MS" w:hAnsi="Trebuchet MS"/>
          <w:color w:val="000000"/>
        </w:rPr>
        <w:t xml:space="preserve">. 15th </w:t>
      </w:r>
      <w:proofErr w:type="spellStart"/>
      <w:r w:rsidRPr="004628F1">
        <w:rPr>
          <w:rFonts w:ascii="Trebuchet MS" w:hAnsi="Trebuchet MS"/>
          <w:color w:val="000000"/>
        </w:rPr>
        <w:t>edn</w:t>
      </w:r>
      <w:proofErr w:type="spellEnd"/>
      <w:r w:rsidRPr="004628F1">
        <w:rPr>
          <w:rFonts w:ascii="Trebuchet MS" w:hAnsi="Trebuchet MS"/>
          <w:color w:val="000000"/>
        </w:rPr>
        <w:t>. London: Kogan Page.</w:t>
      </w:r>
    </w:p>
    <w:p w14:paraId="1BED024E" w14:textId="77777777" w:rsidR="004628F1" w:rsidRPr="004628F1" w:rsidRDefault="004628F1" w:rsidP="004628F1">
      <w:pPr>
        <w:pStyle w:val="Nornal"/>
        <w:spacing w:after="0"/>
        <w:rPr>
          <w:rFonts w:ascii="Trebuchet MS" w:hAnsi="Trebuchet MS"/>
          <w:color w:val="000000"/>
        </w:rPr>
      </w:pPr>
    </w:p>
    <w:p w14:paraId="736C4A1A" w14:textId="77777777" w:rsidR="004628F1" w:rsidRDefault="004628F1" w:rsidP="004628F1">
      <w:pPr>
        <w:pStyle w:val="Nornal"/>
        <w:spacing w:after="0"/>
        <w:rPr>
          <w:rFonts w:ascii="Trebuchet MS" w:hAnsi="Trebuchet MS"/>
          <w:color w:val="000000"/>
        </w:rPr>
      </w:pPr>
      <w:proofErr w:type="spellStart"/>
      <w:r w:rsidRPr="004628F1">
        <w:rPr>
          <w:rFonts w:ascii="Trebuchet MS" w:hAnsi="Trebuchet MS"/>
          <w:color w:val="000000"/>
        </w:rPr>
        <w:t>Blanpain</w:t>
      </w:r>
      <w:proofErr w:type="spellEnd"/>
      <w:r w:rsidRPr="004628F1">
        <w:rPr>
          <w:rFonts w:ascii="Trebuchet MS" w:hAnsi="Trebuchet MS"/>
          <w:color w:val="000000"/>
        </w:rPr>
        <w:t xml:space="preserve">, R. and Hebson, G. (2021) </w:t>
      </w:r>
      <w:r w:rsidRPr="004628F1">
        <w:rPr>
          <w:rFonts w:ascii="Trebuchet MS" w:hAnsi="Trebuchet MS"/>
          <w:i/>
          <w:iCs/>
          <w:color w:val="000000"/>
        </w:rPr>
        <w:t>Equal Pay and the Law</w:t>
      </w:r>
      <w:r w:rsidRPr="004628F1">
        <w:rPr>
          <w:rFonts w:ascii="Trebuchet MS" w:hAnsi="Trebuchet MS"/>
          <w:color w:val="000000"/>
        </w:rPr>
        <w:t xml:space="preserve">. 2nd </w:t>
      </w:r>
      <w:proofErr w:type="spellStart"/>
      <w:r w:rsidRPr="004628F1">
        <w:rPr>
          <w:rFonts w:ascii="Trebuchet MS" w:hAnsi="Trebuchet MS"/>
          <w:color w:val="000000"/>
        </w:rPr>
        <w:t>edn</w:t>
      </w:r>
      <w:proofErr w:type="spellEnd"/>
      <w:r w:rsidRPr="004628F1">
        <w:rPr>
          <w:rFonts w:ascii="Trebuchet MS" w:hAnsi="Trebuchet MS"/>
          <w:color w:val="000000"/>
        </w:rPr>
        <w:t>. London: Bloomsbury Professional.</w:t>
      </w:r>
    </w:p>
    <w:p w14:paraId="7A9A8014" w14:textId="77777777" w:rsidR="004628F1" w:rsidRPr="004628F1" w:rsidRDefault="004628F1" w:rsidP="004628F1">
      <w:pPr>
        <w:pStyle w:val="Nornal"/>
        <w:spacing w:after="0"/>
        <w:rPr>
          <w:rFonts w:ascii="Trebuchet MS" w:hAnsi="Trebuchet MS"/>
          <w:color w:val="000000"/>
        </w:rPr>
      </w:pPr>
    </w:p>
    <w:p w14:paraId="1C63C9E6"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Brun, J.P. and Dugas, N. (2008) ‘An analysis of employee recognition: Perspectives on human resources practices’, </w:t>
      </w:r>
      <w:r w:rsidRPr="004628F1">
        <w:rPr>
          <w:rFonts w:ascii="Trebuchet MS" w:hAnsi="Trebuchet MS"/>
          <w:i/>
          <w:iCs/>
          <w:color w:val="000000"/>
        </w:rPr>
        <w:t>The International Journal of Human Resource Management</w:t>
      </w:r>
      <w:r w:rsidRPr="004628F1">
        <w:rPr>
          <w:rFonts w:ascii="Trebuchet MS" w:hAnsi="Trebuchet MS"/>
          <w:color w:val="000000"/>
        </w:rPr>
        <w:t>, 19(4), pp. 716–730.</w:t>
      </w:r>
    </w:p>
    <w:p w14:paraId="25519C6D" w14:textId="77777777" w:rsidR="004628F1" w:rsidRPr="004628F1" w:rsidRDefault="004628F1" w:rsidP="004628F1">
      <w:pPr>
        <w:pStyle w:val="Nornal"/>
        <w:spacing w:after="0"/>
        <w:rPr>
          <w:rFonts w:ascii="Trebuchet MS" w:hAnsi="Trebuchet MS"/>
          <w:color w:val="000000"/>
        </w:rPr>
      </w:pPr>
    </w:p>
    <w:p w14:paraId="3B45392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(2021) </w:t>
      </w:r>
      <w:r w:rsidRPr="004628F1">
        <w:rPr>
          <w:rFonts w:ascii="Trebuchet MS" w:hAnsi="Trebuchet MS"/>
          <w:i/>
          <w:iCs/>
          <w:color w:val="000000"/>
        </w:rPr>
        <w:t>Job evaluation factsheet</w:t>
      </w:r>
      <w:r w:rsidRPr="004628F1">
        <w:rPr>
          <w:rFonts w:ascii="Trebuchet MS" w:hAnsi="Trebuchet MS"/>
          <w:color w:val="000000"/>
        </w:rPr>
        <w:t>. London: Chartered Institute of Personnel and Development.</w:t>
      </w:r>
    </w:p>
    <w:p w14:paraId="38CC2210" w14:textId="77777777" w:rsidR="004628F1" w:rsidRPr="004628F1" w:rsidRDefault="004628F1" w:rsidP="004628F1">
      <w:pPr>
        <w:pStyle w:val="Nornal"/>
        <w:spacing w:after="0"/>
        <w:rPr>
          <w:rFonts w:ascii="Trebuchet MS" w:hAnsi="Trebuchet MS"/>
          <w:color w:val="000000"/>
        </w:rPr>
      </w:pPr>
    </w:p>
    <w:p w14:paraId="69AF24C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Employee engagement factsheet</w:t>
      </w:r>
      <w:r w:rsidRPr="004628F1">
        <w:rPr>
          <w:rFonts w:ascii="Trebuchet MS" w:hAnsi="Trebuchet MS"/>
          <w:color w:val="000000"/>
        </w:rPr>
        <w:t>. London: Chartered Institute of Personnel and Development.</w:t>
      </w:r>
    </w:p>
    <w:p w14:paraId="5B932E0F" w14:textId="77777777" w:rsidR="004628F1" w:rsidRPr="004628F1" w:rsidRDefault="004628F1" w:rsidP="004628F1">
      <w:pPr>
        <w:pStyle w:val="Nornal"/>
        <w:spacing w:after="0"/>
        <w:rPr>
          <w:rFonts w:ascii="Trebuchet MS" w:hAnsi="Trebuchet MS"/>
          <w:color w:val="000000"/>
        </w:rPr>
      </w:pPr>
    </w:p>
    <w:p w14:paraId="7F23A1D0"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Flexible working factsheet</w:t>
      </w:r>
      <w:r w:rsidRPr="004628F1">
        <w:rPr>
          <w:rFonts w:ascii="Trebuchet MS" w:hAnsi="Trebuchet MS"/>
          <w:color w:val="000000"/>
        </w:rPr>
        <w:t>. London: Chartered Institute of Personnel and Development.</w:t>
      </w:r>
    </w:p>
    <w:p w14:paraId="0FC37091" w14:textId="77777777" w:rsidR="004628F1" w:rsidRPr="004628F1" w:rsidRDefault="004628F1" w:rsidP="004628F1">
      <w:pPr>
        <w:pStyle w:val="Nornal"/>
        <w:spacing w:after="0"/>
        <w:rPr>
          <w:rFonts w:ascii="Trebuchet MS" w:hAnsi="Trebuchet MS"/>
          <w:color w:val="000000"/>
        </w:rPr>
      </w:pPr>
    </w:p>
    <w:p w14:paraId="1503A47F"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Workforce planning and development factsheet</w:t>
      </w:r>
      <w:r w:rsidRPr="004628F1">
        <w:rPr>
          <w:rFonts w:ascii="Trebuchet MS" w:hAnsi="Trebuchet MS"/>
          <w:color w:val="000000"/>
        </w:rPr>
        <w:t>. London: Chartered Institute of Personnel and Development.</w:t>
      </w:r>
    </w:p>
    <w:p w14:paraId="4C39B948" w14:textId="77777777" w:rsidR="004628F1" w:rsidRPr="004628F1" w:rsidRDefault="004628F1" w:rsidP="004628F1">
      <w:pPr>
        <w:pStyle w:val="Nornal"/>
        <w:spacing w:after="0"/>
        <w:rPr>
          <w:rFonts w:ascii="Trebuchet MS" w:hAnsi="Trebuchet MS"/>
          <w:color w:val="000000"/>
        </w:rPr>
      </w:pPr>
    </w:p>
    <w:p w14:paraId="47CA6065"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Equal pay and pay reporting factsheet</w:t>
      </w:r>
      <w:r w:rsidRPr="004628F1">
        <w:rPr>
          <w:rFonts w:ascii="Trebuchet MS" w:hAnsi="Trebuchet MS"/>
          <w:color w:val="000000"/>
        </w:rPr>
        <w:t>. London: Chartered Institute of Personnel and Development.</w:t>
      </w:r>
    </w:p>
    <w:p w14:paraId="71E86B8F" w14:textId="77777777" w:rsidR="004628F1" w:rsidRPr="004628F1" w:rsidRDefault="004628F1" w:rsidP="004628F1">
      <w:pPr>
        <w:pStyle w:val="Nornal"/>
        <w:spacing w:after="0"/>
        <w:rPr>
          <w:rFonts w:ascii="Trebuchet MS" w:hAnsi="Trebuchet MS"/>
          <w:color w:val="000000"/>
        </w:rPr>
      </w:pPr>
    </w:p>
    <w:p w14:paraId="39E0EEBD"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(2023) </w:t>
      </w:r>
      <w:r w:rsidRPr="004628F1">
        <w:rPr>
          <w:rFonts w:ascii="Trebuchet MS" w:hAnsi="Trebuchet MS"/>
          <w:i/>
          <w:iCs/>
          <w:color w:val="000000"/>
        </w:rPr>
        <w:t>Reward management factsheet</w:t>
      </w:r>
      <w:r w:rsidRPr="004628F1">
        <w:rPr>
          <w:rFonts w:ascii="Trebuchet MS" w:hAnsi="Trebuchet MS"/>
          <w:color w:val="000000"/>
        </w:rPr>
        <w:t>. London: Chartered Institute of Personnel and Development.</w:t>
      </w:r>
    </w:p>
    <w:p w14:paraId="6A8F6F16" w14:textId="77777777" w:rsidR="004628F1" w:rsidRPr="004628F1" w:rsidRDefault="004628F1" w:rsidP="004628F1">
      <w:pPr>
        <w:pStyle w:val="Nornal"/>
        <w:spacing w:after="0"/>
        <w:rPr>
          <w:rFonts w:ascii="Trebuchet MS" w:hAnsi="Trebuchet MS"/>
          <w:color w:val="000000"/>
        </w:rPr>
      </w:pPr>
    </w:p>
    <w:p w14:paraId="05339FA8"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(2024) </w:t>
      </w:r>
      <w:r w:rsidRPr="004628F1">
        <w:rPr>
          <w:rFonts w:ascii="Trebuchet MS" w:hAnsi="Trebuchet MS"/>
          <w:i/>
          <w:iCs/>
          <w:color w:val="000000"/>
        </w:rPr>
        <w:t>Reward management: Legislation and compliance</w:t>
      </w:r>
      <w:r w:rsidRPr="004628F1">
        <w:rPr>
          <w:rFonts w:ascii="Trebuchet MS" w:hAnsi="Trebuchet MS"/>
          <w:color w:val="000000"/>
        </w:rPr>
        <w:t>. London: Chartered Institute of Personnel and Development.</w:t>
      </w:r>
    </w:p>
    <w:p w14:paraId="3BC213DF" w14:textId="77777777" w:rsidR="004628F1" w:rsidRPr="004628F1" w:rsidRDefault="004628F1" w:rsidP="004628F1">
      <w:pPr>
        <w:pStyle w:val="Nornal"/>
        <w:spacing w:after="0"/>
        <w:rPr>
          <w:rFonts w:ascii="Trebuchet MS" w:hAnsi="Trebuchet MS"/>
          <w:color w:val="000000"/>
        </w:rPr>
      </w:pPr>
    </w:p>
    <w:p w14:paraId="28809F17"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Deakin, S., Morris, G. and Wilkinson, F. (2022) </w:t>
      </w:r>
      <w:r w:rsidRPr="004628F1">
        <w:rPr>
          <w:rFonts w:ascii="Trebuchet MS" w:hAnsi="Trebuchet MS"/>
          <w:i/>
          <w:iCs/>
          <w:color w:val="000000"/>
        </w:rPr>
        <w:t>Labour Law</w:t>
      </w:r>
      <w:r w:rsidRPr="004628F1">
        <w:rPr>
          <w:rFonts w:ascii="Trebuchet MS" w:hAnsi="Trebuchet MS"/>
          <w:color w:val="000000"/>
        </w:rPr>
        <w:t xml:space="preserve">. 8th </w:t>
      </w:r>
      <w:proofErr w:type="spellStart"/>
      <w:r w:rsidRPr="004628F1">
        <w:rPr>
          <w:rFonts w:ascii="Trebuchet MS" w:hAnsi="Trebuchet MS"/>
          <w:color w:val="000000"/>
        </w:rPr>
        <w:t>edn</w:t>
      </w:r>
      <w:proofErr w:type="spellEnd"/>
      <w:r w:rsidRPr="004628F1">
        <w:rPr>
          <w:rFonts w:ascii="Trebuchet MS" w:hAnsi="Trebuchet MS"/>
          <w:color w:val="000000"/>
        </w:rPr>
        <w:t>. London: Hart Publishing.</w:t>
      </w:r>
    </w:p>
    <w:p w14:paraId="389BE5F5" w14:textId="77777777" w:rsidR="004628F1" w:rsidRPr="004628F1" w:rsidRDefault="004628F1" w:rsidP="004628F1">
      <w:pPr>
        <w:pStyle w:val="Nornal"/>
        <w:spacing w:after="0"/>
        <w:rPr>
          <w:rFonts w:ascii="Trebuchet MS" w:hAnsi="Trebuchet MS"/>
          <w:color w:val="000000"/>
        </w:rPr>
      </w:pPr>
    </w:p>
    <w:p w14:paraId="6963EB87"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Herzberg, F. (2003) </w:t>
      </w:r>
      <w:r w:rsidRPr="004628F1">
        <w:rPr>
          <w:rFonts w:ascii="Trebuchet MS" w:hAnsi="Trebuchet MS"/>
          <w:i/>
          <w:iCs/>
          <w:color w:val="000000"/>
        </w:rPr>
        <w:t>One More Time: How do You Motivate Employees?</w:t>
      </w:r>
      <w:r w:rsidRPr="004628F1">
        <w:rPr>
          <w:rFonts w:ascii="Trebuchet MS" w:hAnsi="Trebuchet MS"/>
          <w:color w:val="000000"/>
        </w:rPr>
        <w:t xml:space="preserve"> Boston: Harvard Business Review Press.</w:t>
      </w:r>
    </w:p>
    <w:p w14:paraId="3962F70B" w14:textId="77777777" w:rsidR="004628F1" w:rsidRPr="004628F1" w:rsidRDefault="004628F1" w:rsidP="004628F1">
      <w:pPr>
        <w:pStyle w:val="Nornal"/>
        <w:spacing w:after="0"/>
        <w:rPr>
          <w:rFonts w:ascii="Trebuchet MS" w:hAnsi="Trebuchet MS"/>
          <w:color w:val="000000"/>
        </w:rPr>
      </w:pPr>
    </w:p>
    <w:p w14:paraId="394F8065"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Kerr, S. (1995) ‘On the folly of rewarding A, while hoping for B’, </w:t>
      </w:r>
      <w:r w:rsidRPr="004628F1">
        <w:rPr>
          <w:rFonts w:ascii="Trebuchet MS" w:hAnsi="Trebuchet MS"/>
          <w:i/>
          <w:iCs/>
          <w:color w:val="000000"/>
        </w:rPr>
        <w:t>Academy of Management Executive</w:t>
      </w:r>
      <w:r w:rsidRPr="004628F1">
        <w:rPr>
          <w:rFonts w:ascii="Trebuchet MS" w:hAnsi="Trebuchet MS"/>
          <w:color w:val="000000"/>
        </w:rPr>
        <w:t>, 9(1), pp. 7–14.</w:t>
      </w:r>
    </w:p>
    <w:p w14:paraId="7D29431F" w14:textId="77777777" w:rsidR="004628F1" w:rsidRPr="004628F1" w:rsidRDefault="004628F1" w:rsidP="004628F1">
      <w:pPr>
        <w:pStyle w:val="Nornal"/>
        <w:spacing w:after="0"/>
        <w:rPr>
          <w:rFonts w:ascii="Trebuchet MS" w:hAnsi="Trebuchet MS"/>
          <w:color w:val="000000"/>
        </w:rPr>
      </w:pPr>
    </w:p>
    <w:p w14:paraId="39FD812D"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Milkovich, G.T., Newman, J.M. and Gerhart, B. (2013) </w:t>
      </w:r>
      <w:r w:rsidRPr="004628F1">
        <w:rPr>
          <w:rFonts w:ascii="Trebuchet MS" w:hAnsi="Trebuchet MS"/>
          <w:i/>
          <w:iCs/>
          <w:color w:val="000000"/>
        </w:rPr>
        <w:t>Compensation</w:t>
      </w:r>
      <w:r w:rsidRPr="004628F1">
        <w:rPr>
          <w:rFonts w:ascii="Trebuchet MS" w:hAnsi="Trebuchet MS"/>
          <w:color w:val="000000"/>
        </w:rPr>
        <w:t xml:space="preserve">. 11th </w:t>
      </w:r>
      <w:proofErr w:type="spellStart"/>
      <w:r w:rsidRPr="004628F1">
        <w:rPr>
          <w:rFonts w:ascii="Trebuchet MS" w:hAnsi="Trebuchet MS"/>
          <w:color w:val="000000"/>
        </w:rPr>
        <w:t>edn</w:t>
      </w:r>
      <w:proofErr w:type="spellEnd"/>
      <w:r w:rsidRPr="004628F1">
        <w:rPr>
          <w:rFonts w:ascii="Trebuchet MS" w:hAnsi="Trebuchet MS"/>
          <w:color w:val="000000"/>
        </w:rPr>
        <w:t>. New York: McGraw-Hill Education.</w:t>
      </w:r>
    </w:p>
    <w:p w14:paraId="444A5C5D" w14:textId="77777777" w:rsidR="004628F1" w:rsidRPr="004628F1" w:rsidRDefault="004628F1" w:rsidP="004628F1">
      <w:pPr>
        <w:pStyle w:val="Nornal"/>
        <w:spacing w:after="0"/>
        <w:rPr>
          <w:rFonts w:ascii="Trebuchet MS" w:hAnsi="Trebuchet MS"/>
          <w:color w:val="000000"/>
        </w:rPr>
      </w:pPr>
    </w:p>
    <w:p w14:paraId="4D51770F"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Nelson, B. (2016) </w:t>
      </w:r>
      <w:r w:rsidRPr="004628F1">
        <w:rPr>
          <w:rFonts w:ascii="Trebuchet MS" w:hAnsi="Trebuchet MS"/>
          <w:i/>
          <w:iCs/>
          <w:color w:val="000000"/>
        </w:rPr>
        <w:t>1001 Ways to Engage Employees</w:t>
      </w:r>
      <w:r w:rsidRPr="004628F1">
        <w:rPr>
          <w:rFonts w:ascii="Trebuchet MS" w:hAnsi="Trebuchet MS"/>
          <w:color w:val="000000"/>
        </w:rPr>
        <w:t>. New York: Workman Publishing.</w:t>
      </w:r>
    </w:p>
    <w:p w14:paraId="13664AEF" w14:textId="77777777" w:rsidR="004628F1" w:rsidRPr="004628F1" w:rsidRDefault="004628F1" w:rsidP="004628F1">
      <w:pPr>
        <w:pStyle w:val="Nornal"/>
        <w:spacing w:after="0"/>
        <w:rPr>
          <w:rFonts w:ascii="Trebuchet MS" w:hAnsi="Trebuchet MS"/>
          <w:color w:val="000000"/>
        </w:rPr>
      </w:pPr>
    </w:p>
    <w:p w14:paraId="495160E0"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lastRenderedPageBreak/>
        <w:t xml:space="preserve">Perkins, S.J. and White, G. (2011) </w:t>
      </w:r>
      <w:r w:rsidRPr="004628F1">
        <w:rPr>
          <w:rFonts w:ascii="Trebuchet MS" w:hAnsi="Trebuchet MS"/>
          <w:i/>
          <w:iCs/>
          <w:color w:val="000000"/>
        </w:rPr>
        <w:t>Reward Management: Alternatives, Consequences and Contexts</w:t>
      </w:r>
      <w:r w:rsidRPr="004628F1">
        <w:rPr>
          <w:rFonts w:ascii="Trebuchet MS" w:hAnsi="Trebuchet MS"/>
          <w:color w:val="000000"/>
        </w:rPr>
        <w:t xml:space="preserve">. 2nd </w:t>
      </w:r>
      <w:proofErr w:type="spellStart"/>
      <w:r w:rsidRPr="004628F1">
        <w:rPr>
          <w:rFonts w:ascii="Trebuchet MS" w:hAnsi="Trebuchet MS"/>
          <w:color w:val="000000"/>
        </w:rPr>
        <w:t>edn</w:t>
      </w:r>
      <w:proofErr w:type="spellEnd"/>
      <w:r w:rsidRPr="004628F1">
        <w:rPr>
          <w:rFonts w:ascii="Trebuchet MS" w:hAnsi="Trebuchet MS"/>
          <w:color w:val="000000"/>
        </w:rPr>
        <w:t>. London: CIPD.</w:t>
      </w:r>
    </w:p>
    <w:p w14:paraId="255F285A" w14:textId="77777777" w:rsidR="004628F1" w:rsidRPr="004628F1" w:rsidRDefault="004628F1" w:rsidP="004628F1">
      <w:pPr>
        <w:pStyle w:val="Nornal"/>
        <w:spacing w:after="0"/>
        <w:rPr>
          <w:rFonts w:ascii="Trebuchet MS" w:hAnsi="Trebuchet MS"/>
          <w:color w:val="000000"/>
        </w:rPr>
      </w:pPr>
    </w:p>
    <w:p w14:paraId="51FE56D4"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The Pensions Regulator (2024) </w:t>
      </w:r>
      <w:r w:rsidRPr="004628F1">
        <w:rPr>
          <w:rFonts w:ascii="Trebuchet MS" w:hAnsi="Trebuchet MS"/>
          <w:i/>
          <w:iCs/>
          <w:color w:val="000000"/>
        </w:rPr>
        <w:t>Automatic enrolment: employer duties</w:t>
      </w:r>
      <w:r w:rsidRPr="004628F1">
        <w:rPr>
          <w:rFonts w:ascii="Trebuchet MS" w:hAnsi="Trebuchet MS"/>
          <w:color w:val="000000"/>
        </w:rPr>
        <w:t>. London: The Pensions Regulator.</w:t>
      </w:r>
    </w:p>
    <w:p w14:paraId="4C368522" w14:textId="77777777" w:rsidR="004628F1" w:rsidRPr="004628F1" w:rsidRDefault="004628F1" w:rsidP="004628F1">
      <w:pPr>
        <w:pStyle w:val="Nornal"/>
        <w:spacing w:after="0"/>
        <w:rPr>
          <w:rFonts w:ascii="Trebuchet MS" w:hAnsi="Trebuchet MS"/>
          <w:color w:val="000000"/>
        </w:rPr>
      </w:pPr>
    </w:p>
    <w:p w14:paraId="2555DA9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Torrington, D., Hall, L., Taylor, S. and Atkinson, C. (2020) </w:t>
      </w:r>
      <w:r w:rsidRPr="004628F1">
        <w:rPr>
          <w:rFonts w:ascii="Trebuchet MS" w:hAnsi="Trebuchet MS"/>
          <w:i/>
          <w:iCs/>
          <w:color w:val="000000"/>
        </w:rPr>
        <w:t>Human Resource Management</w:t>
      </w:r>
      <w:r w:rsidRPr="004628F1">
        <w:rPr>
          <w:rFonts w:ascii="Trebuchet MS" w:hAnsi="Trebuchet MS"/>
          <w:color w:val="000000"/>
        </w:rPr>
        <w:t xml:space="preserve">. 11th </w:t>
      </w:r>
      <w:proofErr w:type="spellStart"/>
      <w:r w:rsidRPr="004628F1">
        <w:rPr>
          <w:rFonts w:ascii="Trebuchet MS" w:hAnsi="Trebuchet MS"/>
          <w:color w:val="000000"/>
        </w:rPr>
        <w:t>edn</w:t>
      </w:r>
      <w:proofErr w:type="spellEnd"/>
      <w:r w:rsidRPr="004628F1">
        <w:rPr>
          <w:rFonts w:ascii="Trebuchet MS" w:hAnsi="Trebuchet MS"/>
          <w:color w:val="000000"/>
        </w:rPr>
        <w:t>. Harlow: Pearson Education.</w:t>
      </w:r>
    </w:p>
    <w:p w14:paraId="6AE0D35A" w14:textId="77777777" w:rsidR="004628F1" w:rsidRPr="004628F1" w:rsidRDefault="004628F1" w:rsidP="004628F1">
      <w:pPr>
        <w:pStyle w:val="Nornal"/>
        <w:spacing w:after="0"/>
        <w:rPr>
          <w:rFonts w:ascii="Trebuchet MS" w:hAnsi="Trebuchet MS"/>
          <w:color w:val="000000"/>
        </w:rPr>
      </w:pPr>
    </w:p>
    <w:p w14:paraId="69B0531C" w14:textId="77777777" w:rsidR="004628F1" w:rsidRP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Vroom, V.H. (1964) </w:t>
      </w:r>
      <w:r w:rsidRPr="004628F1">
        <w:rPr>
          <w:rFonts w:ascii="Trebuchet MS" w:hAnsi="Trebuchet MS"/>
          <w:i/>
          <w:iCs/>
          <w:color w:val="000000"/>
        </w:rPr>
        <w:t>Work and Motivation</w:t>
      </w:r>
      <w:r w:rsidRPr="004628F1">
        <w:rPr>
          <w:rFonts w:ascii="Trebuchet MS" w:hAnsi="Trebuchet MS"/>
          <w:color w:val="000000"/>
        </w:rPr>
        <w:t>. New York: Wiley.</w:t>
      </w:r>
    </w:p>
    <w:p w14:paraId="0988050E" w14:textId="77777777" w:rsidR="004628F1" w:rsidRPr="00E446B9" w:rsidRDefault="004628F1" w:rsidP="004A79F5">
      <w:pPr>
        <w:pStyle w:val="Nornal"/>
        <w:spacing w:after="0" w:line="240" w:lineRule="auto"/>
        <w:rPr>
          <w:rFonts w:ascii="Trebuchet MS" w:hAnsi="Trebuchet MS"/>
          <w:color w:val="000000"/>
        </w:rPr>
      </w:pPr>
    </w:p>
    <w:sectPr w:rsidR="004628F1" w:rsidRPr="00E446B9" w:rsidSect="00341431">
      <w:headerReference w:type="default" r:id="rId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6B30" w14:textId="77777777" w:rsidR="00E57943" w:rsidRDefault="00E57943" w:rsidP="00CB3ADD">
      <w:pPr>
        <w:spacing w:line="240" w:lineRule="auto"/>
      </w:pPr>
      <w:r>
        <w:separator/>
      </w:r>
    </w:p>
  </w:endnote>
  <w:endnote w:type="continuationSeparator" w:id="0">
    <w:p w14:paraId="3EB5A31B" w14:textId="77777777" w:rsidR="00E57943" w:rsidRDefault="00E57943" w:rsidP="00CB3ADD">
      <w:pPr>
        <w:spacing w:line="240" w:lineRule="auto"/>
      </w:pPr>
      <w:r>
        <w:continuationSeparator/>
      </w:r>
    </w:p>
  </w:endnote>
  <w:endnote w:type="continuationNotice" w:id="1">
    <w:p w14:paraId="665D30EA" w14:textId="77777777" w:rsidR="00E57943" w:rsidRDefault="00E579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A1D49" w14:textId="77777777" w:rsidR="00E57943" w:rsidRDefault="00E57943" w:rsidP="00CB3ADD">
      <w:pPr>
        <w:spacing w:line="240" w:lineRule="auto"/>
      </w:pPr>
      <w:r>
        <w:separator/>
      </w:r>
    </w:p>
  </w:footnote>
  <w:footnote w:type="continuationSeparator" w:id="0">
    <w:p w14:paraId="096CB9D2" w14:textId="77777777" w:rsidR="00E57943" w:rsidRDefault="00E57943" w:rsidP="00CB3ADD">
      <w:pPr>
        <w:spacing w:line="240" w:lineRule="auto"/>
      </w:pPr>
      <w:r>
        <w:continuationSeparator/>
      </w:r>
    </w:p>
  </w:footnote>
  <w:footnote w:type="continuationNotice" w:id="1">
    <w:p w14:paraId="3B30C960" w14:textId="77777777" w:rsidR="00E57943" w:rsidRDefault="00E5794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57B"/>
    <w:rsid w:val="00004F7C"/>
    <w:rsid w:val="00006E80"/>
    <w:rsid w:val="000133BF"/>
    <w:rsid w:val="00013B36"/>
    <w:rsid w:val="00014646"/>
    <w:rsid w:val="00015B1D"/>
    <w:rsid w:val="00020805"/>
    <w:rsid w:val="00022122"/>
    <w:rsid w:val="00023583"/>
    <w:rsid w:val="0002382F"/>
    <w:rsid w:val="00023EAA"/>
    <w:rsid w:val="00024318"/>
    <w:rsid w:val="0002439C"/>
    <w:rsid w:val="000250A2"/>
    <w:rsid w:val="00026EA3"/>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3A70"/>
    <w:rsid w:val="001D400D"/>
    <w:rsid w:val="001D46B6"/>
    <w:rsid w:val="001D541A"/>
    <w:rsid w:val="001D68D2"/>
    <w:rsid w:val="001D6B95"/>
    <w:rsid w:val="001D7886"/>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16BCB"/>
    <w:rsid w:val="00220120"/>
    <w:rsid w:val="0022072D"/>
    <w:rsid w:val="002207B3"/>
    <w:rsid w:val="002214F3"/>
    <w:rsid w:val="002234A9"/>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5C9"/>
    <w:rsid w:val="002A0743"/>
    <w:rsid w:val="002A0884"/>
    <w:rsid w:val="002A1A8E"/>
    <w:rsid w:val="002A6CC5"/>
    <w:rsid w:val="002A6DD9"/>
    <w:rsid w:val="002A7686"/>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071B4"/>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6EF"/>
    <w:rsid w:val="003E593D"/>
    <w:rsid w:val="003E60C5"/>
    <w:rsid w:val="003E715C"/>
    <w:rsid w:val="003E7C10"/>
    <w:rsid w:val="003F1C15"/>
    <w:rsid w:val="003F2A58"/>
    <w:rsid w:val="003F5101"/>
    <w:rsid w:val="003F589B"/>
    <w:rsid w:val="003F6864"/>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28F1"/>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51A5"/>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6AFB"/>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2C09"/>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10E5"/>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CB4"/>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23B4"/>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5563"/>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1AA"/>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06C"/>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5DA2"/>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1C2C"/>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417C"/>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117"/>
    <w:rsid w:val="00C272EA"/>
    <w:rsid w:val="00C2773F"/>
    <w:rsid w:val="00C30F81"/>
    <w:rsid w:val="00C31F43"/>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030C"/>
    <w:rsid w:val="00C718A5"/>
    <w:rsid w:val="00C7534C"/>
    <w:rsid w:val="00C76786"/>
    <w:rsid w:val="00C77BAC"/>
    <w:rsid w:val="00C77E6B"/>
    <w:rsid w:val="00C80ACA"/>
    <w:rsid w:val="00C81E1D"/>
    <w:rsid w:val="00C8225F"/>
    <w:rsid w:val="00C8263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33F5"/>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46A7"/>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57943"/>
    <w:rsid w:val="00E61CD9"/>
    <w:rsid w:val="00E6223A"/>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2EAB"/>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1AF"/>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1494"/>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0B7"/>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 w:type="character" w:styleId="Strong">
    <w:name w:val="Strong"/>
    <w:basedOn w:val="DefaultParagraphFont"/>
    <w:uiPriority w:val="22"/>
    <w:qFormat/>
    <w:rsid w:val="00C31F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Metadata/LabelInfo.xml><?xml version="1.0" encoding="utf-8"?>
<clbl:labelList xmlns:clbl="http://schemas.microsoft.com/office/2020/mipLabelMetadata">
  <clbl:label id="{3cf1f214-12dc-4628-b93b-6ee6575cda47}" enabled="1" method="Privileged" siteId="{ddd66cce-ffe1-4029-967c-5e15ef73127f}"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5007</Words>
  <Characters>29195</Characters>
  <Application>Microsoft Office Word</Application>
  <DocSecurity>0</DocSecurity>
  <Lines>1459</Lines>
  <Paragraphs>610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33592</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2026-01-07T13:39:00Z</dcterms:created>
  <dcterms:modified xsi:type="dcterms:W3CDTF">2026-02-01T19:47:00Z</dcterms:modified>
</cp:coreProperties>
</file>