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251D1" w14:textId="1CA4916A" w:rsidR="00932DB0" w:rsidRPr="008D7278" w:rsidRDefault="00932DB0">
      <w:pPr>
        <w:spacing w:line="278" w:lineRule="auto"/>
        <w:jc w:val="left"/>
        <w:rPr>
          <w:lang w:val="en-GB"/>
        </w:rPr>
      </w:pPr>
      <w:r w:rsidRPr="008D7278">
        <w:rPr>
          <w:noProof/>
          <w:lang w:val="en-GB"/>
        </w:rPr>
        <w:drawing>
          <wp:inline distT="0" distB="0" distL="0" distR="0" wp14:anchorId="706B5A82" wp14:editId="5E0A6ED3">
            <wp:extent cx="1789878" cy="647700"/>
            <wp:effectExtent l="0" t="0" r="1270" b="0"/>
            <wp:docPr id="1162325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325911" name=""/>
                    <pic:cNvPicPr/>
                  </pic:nvPicPr>
                  <pic:blipFill>
                    <a:blip r:embed="rId8"/>
                    <a:stretch>
                      <a:fillRect/>
                    </a:stretch>
                  </pic:blipFill>
                  <pic:spPr>
                    <a:xfrm>
                      <a:off x="0" y="0"/>
                      <a:ext cx="1795800" cy="649843"/>
                    </a:xfrm>
                    <a:prstGeom prst="rect">
                      <a:avLst/>
                    </a:prstGeom>
                  </pic:spPr>
                </pic:pic>
              </a:graphicData>
            </a:graphic>
          </wp:inline>
        </w:drawing>
      </w:r>
    </w:p>
    <w:p w14:paraId="44615106" w14:textId="77777777" w:rsidR="00932DB0" w:rsidRPr="008D7278" w:rsidRDefault="00932DB0">
      <w:pPr>
        <w:spacing w:line="278" w:lineRule="auto"/>
        <w:jc w:val="left"/>
        <w:rPr>
          <w:lang w:val="en-GB"/>
        </w:rPr>
      </w:pPr>
    </w:p>
    <w:p w14:paraId="044230BE" w14:textId="2971F466" w:rsidR="00266B3A" w:rsidRPr="008D7278" w:rsidRDefault="00266B3A" w:rsidP="00266B3A">
      <w:pPr>
        <w:spacing w:line="278" w:lineRule="auto"/>
        <w:jc w:val="center"/>
        <w:rPr>
          <w:b/>
          <w:bCs/>
          <w:sz w:val="32"/>
          <w:szCs w:val="32"/>
          <w:lang w:val="en-GB"/>
        </w:rPr>
      </w:pPr>
      <w:r w:rsidRPr="008D7278">
        <w:rPr>
          <w:b/>
          <w:bCs/>
          <w:sz w:val="32"/>
          <w:szCs w:val="32"/>
          <w:lang w:val="en-GB"/>
        </w:rPr>
        <w:t>Programme: Master of Business Administration</w:t>
      </w:r>
    </w:p>
    <w:p w14:paraId="7A548F75" w14:textId="13B9C6D2" w:rsidR="00266B3A" w:rsidRPr="008D7278" w:rsidRDefault="00266B3A" w:rsidP="00266B3A">
      <w:pPr>
        <w:spacing w:line="278" w:lineRule="auto"/>
        <w:jc w:val="center"/>
        <w:rPr>
          <w:b/>
          <w:bCs/>
          <w:sz w:val="32"/>
          <w:szCs w:val="32"/>
          <w:lang w:val="en-GB"/>
        </w:rPr>
      </w:pPr>
      <w:r w:rsidRPr="008D7278">
        <w:rPr>
          <w:b/>
          <w:bCs/>
          <w:sz w:val="32"/>
          <w:szCs w:val="32"/>
          <w:lang w:val="en-GB"/>
        </w:rPr>
        <w:t>Module: Financial Management</w:t>
      </w:r>
    </w:p>
    <w:p w14:paraId="705A9AA7" w14:textId="191082AD" w:rsidR="00932DB0" w:rsidRPr="008D7278" w:rsidRDefault="00266B3A" w:rsidP="00266B3A">
      <w:pPr>
        <w:spacing w:line="278" w:lineRule="auto"/>
        <w:jc w:val="center"/>
        <w:rPr>
          <w:b/>
          <w:bCs/>
          <w:sz w:val="32"/>
          <w:szCs w:val="32"/>
          <w:lang w:val="en-GB"/>
        </w:rPr>
      </w:pPr>
      <w:r w:rsidRPr="008D7278">
        <w:rPr>
          <w:b/>
          <w:bCs/>
          <w:sz w:val="32"/>
          <w:szCs w:val="32"/>
          <w:lang w:val="en-GB"/>
        </w:rPr>
        <w:t>Module code: LCMB7002</w:t>
      </w:r>
    </w:p>
    <w:p w14:paraId="1A5BDB5B" w14:textId="77777777" w:rsidR="00932DB0" w:rsidRPr="008D7278" w:rsidRDefault="00932DB0">
      <w:pPr>
        <w:spacing w:line="278" w:lineRule="auto"/>
        <w:jc w:val="left"/>
        <w:rPr>
          <w:lang w:val="en-GB"/>
        </w:rPr>
      </w:pPr>
    </w:p>
    <w:p w14:paraId="6C3E5E5A" w14:textId="77777777" w:rsidR="00932DB0" w:rsidRPr="008D7278" w:rsidRDefault="00932DB0" w:rsidP="00932DB0">
      <w:pPr>
        <w:jc w:val="center"/>
        <w:rPr>
          <w:b/>
          <w:bCs/>
          <w:sz w:val="32"/>
          <w:szCs w:val="32"/>
          <w:lang w:val="en-GB"/>
        </w:rPr>
      </w:pPr>
    </w:p>
    <w:p w14:paraId="0A8EBA95" w14:textId="77777777" w:rsidR="00932DB0" w:rsidRPr="008D7278" w:rsidRDefault="00932DB0" w:rsidP="00932DB0">
      <w:pPr>
        <w:jc w:val="center"/>
        <w:rPr>
          <w:b/>
          <w:bCs/>
          <w:sz w:val="32"/>
          <w:szCs w:val="32"/>
          <w:lang w:val="en-GB"/>
        </w:rPr>
      </w:pPr>
    </w:p>
    <w:p w14:paraId="1C321F7D" w14:textId="77777777" w:rsidR="00932DB0" w:rsidRPr="008D7278" w:rsidRDefault="00932DB0" w:rsidP="00932DB0">
      <w:pPr>
        <w:jc w:val="center"/>
        <w:rPr>
          <w:b/>
          <w:bCs/>
          <w:sz w:val="32"/>
          <w:szCs w:val="32"/>
          <w:lang w:val="en-GB"/>
        </w:rPr>
      </w:pPr>
    </w:p>
    <w:p w14:paraId="661F7824" w14:textId="77777777" w:rsidR="00932DB0" w:rsidRPr="008D7278" w:rsidRDefault="00932DB0" w:rsidP="00932DB0">
      <w:pPr>
        <w:jc w:val="center"/>
        <w:rPr>
          <w:b/>
          <w:bCs/>
          <w:sz w:val="32"/>
          <w:szCs w:val="32"/>
          <w:lang w:val="en-GB"/>
        </w:rPr>
      </w:pPr>
    </w:p>
    <w:p w14:paraId="28E1998F" w14:textId="77777777" w:rsidR="006519CD" w:rsidRPr="008D7278" w:rsidRDefault="00A92C60" w:rsidP="00932DB0">
      <w:pPr>
        <w:jc w:val="center"/>
        <w:rPr>
          <w:b/>
          <w:bCs/>
          <w:sz w:val="32"/>
          <w:szCs w:val="32"/>
          <w:lang w:val="en-GB"/>
        </w:rPr>
      </w:pPr>
      <w:r w:rsidRPr="008D7278">
        <w:rPr>
          <w:b/>
          <w:bCs/>
          <w:sz w:val="32"/>
          <w:szCs w:val="32"/>
          <w:lang w:val="en-GB"/>
        </w:rPr>
        <w:t xml:space="preserve">Financial Turnaround Strategy </w:t>
      </w:r>
      <w:r w:rsidR="004816E2" w:rsidRPr="008D7278">
        <w:rPr>
          <w:b/>
          <w:bCs/>
          <w:sz w:val="32"/>
          <w:szCs w:val="32"/>
          <w:lang w:val="en-GB"/>
        </w:rPr>
        <w:t>a</w:t>
      </w:r>
      <w:r w:rsidRPr="008D7278">
        <w:rPr>
          <w:b/>
          <w:bCs/>
          <w:sz w:val="32"/>
          <w:szCs w:val="32"/>
          <w:lang w:val="en-GB"/>
        </w:rPr>
        <w:t xml:space="preserve">nd Investment Evaluation </w:t>
      </w:r>
      <w:r w:rsidR="00D92242" w:rsidRPr="008D7278">
        <w:rPr>
          <w:b/>
          <w:bCs/>
          <w:sz w:val="32"/>
          <w:szCs w:val="32"/>
          <w:lang w:val="en-GB"/>
        </w:rPr>
        <w:t>f</w:t>
      </w:r>
      <w:r w:rsidRPr="008D7278">
        <w:rPr>
          <w:b/>
          <w:bCs/>
          <w:sz w:val="32"/>
          <w:szCs w:val="32"/>
          <w:lang w:val="en-GB"/>
        </w:rPr>
        <w:t>or General Electronics Ltd</w:t>
      </w:r>
    </w:p>
    <w:p w14:paraId="56E98BFA" w14:textId="77777777" w:rsidR="006519CD" w:rsidRPr="008D7278" w:rsidRDefault="006519CD" w:rsidP="00932DB0">
      <w:pPr>
        <w:jc w:val="center"/>
        <w:rPr>
          <w:b/>
          <w:bCs/>
          <w:sz w:val="32"/>
          <w:szCs w:val="32"/>
          <w:lang w:val="en-GB"/>
        </w:rPr>
      </w:pPr>
    </w:p>
    <w:p w14:paraId="538C4995" w14:textId="77777777" w:rsidR="006519CD" w:rsidRPr="008D7278" w:rsidRDefault="006519CD" w:rsidP="00932DB0">
      <w:pPr>
        <w:jc w:val="center"/>
        <w:rPr>
          <w:b/>
          <w:bCs/>
          <w:sz w:val="32"/>
          <w:szCs w:val="32"/>
          <w:lang w:val="en-GB"/>
        </w:rPr>
      </w:pPr>
    </w:p>
    <w:p w14:paraId="5B8695FB" w14:textId="77777777" w:rsidR="006519CD" w:rsidRPr="008D7278" w:rsidRDefault="006519CD" w:rsidP="00932DB0">
      <w:pPr>
        <w:jc w:val="center"/>
        <w:rPr>
          <w:b/>
          <w:bCs/>
          <w:sz w:val="32"/>
          <w:szCs w:val="32"/>
          <w:lang w:val="en-GB"/>
        </w:rPr>
      </w:pPr>
    </w:p>
    <w:p w14:paraId="617904A8" w14:textId="77777777" w:rsidR="006519CD" w:rsidRPr="008D7278" w:rsidRDefault="006519CD" w:rsidP="00932DB0">
      <w:pPr>
        <w:jc w:val="center"/>
        <w:rPr>
          <w:b/>
          <w:bCs/>
          <w:sz w:val="32"/>
          <w:szCs w:val="32"/>
          <w:lang w:val="en-GB"/>
        </w:rPr>
      </w:pPr>
    </w:p>
    <w:p w14:paraId="213027D3" w14:textId="77777777" w:rsidR="006519CD" w:rsidRPr="008D7278" w:rsidRDefault="006519CD" w:rsidP="00932DB0">
      <w:pPr>
        <w:jc w:val="center"/>
        <w:rPr>
          <w:b/>
          <w:bCs/>
          <w:sz w:val="32"/>
          <w:szCs w:val="32"/>
          <w:lang w:val="en-GB"/>
        </w:rPr>
      </w:pPr>
      <w:r w:rsidRPr="008D7278">
        <w:rPr>
          <w:b/>
          <w:bCs/>
          <w:sz w:val="32"/>
          <w:szCs w:val="32"/>
          <w:lang w:val="en-GB"/>
        </w:rPr>
        <w:t>Name: Dinyo Radev</w:t>
      </w:r>
    </w:p>
    <w:p w14:paraId="10A9C86B" w14:textId="73984604" w:rsidR="006519CD" w:rsidRPr="008D7278" w:rsidRDefault="006519CD" w:rsidP="00932DB0">
      <w:pPr>
        <w:jc w:val="center"/>
        <w:rPr>
          <w:b/>
          <w:bCs/>
          <w:sz w:val="32"/>
          <w:szCs w:val="32"/>
          <w:lang w:val="en-GB"/>
        </w:rPr>
      </w:pPr>
      <w:r w:rsidRPr="008D7278">
        <w:rPr>
          <w:b/>
          <w:bCs/>
          <w:sz w:val="32"/>
          <w:szCs w:val="32"/>
          <w:lang w:val="en-GB"/>
        </w:rPr>
        <w:t>ID:</w:t>
      </w:r>
      <w:r w:rsidR="004C2252">
        <w:rPr>
          <w:b/>
          <w:bCs/>
          <w:sz w:val="32"/>
          <w:szCs w:val="32"/>
          <w:lang w:val="en-GB"/>
        </w:rPr>
        <w:t>2129750</w:t>
      </w:r>
    </w:p>
    <w:p w14:paraId="4C511866" w14:textId="32B9B361" w:rsidR="00932DB0" w:rsidRPr="008D7278" w:rsidRDefault="006519CD" w:rsidP="00932DB0">
      <w:pPr>
        <w:jc w:val="center"/>
        <w:rPr>
          <w:rFonts w:eastAsiaTheme="majorEastAsia" w:cstheme="majorBidi"/>
          <w:b/>
          <w:bCs/>
          <w:sz w:val="36"/>
          <w:szCs w:val="48"/>
          <w:lang w:val="en-GB"/>
        </w:rPr>
      </w:pPr>
      <w:r w:rsidRPr="008D7278">
        <w:rPr>
          <w:b/>
          <w:bCs/>
          <w:sz w:val="32"/>
          <w:szCs w:val="32"/>
          <w:lang w:val="en-GB"/>
        </w:rPr>
        <w:t>Words:</w:t>
      </w:r>
      <w:r w:rsidR="00EE0109">
        <w:rPr>
          <w:b/>
          <w:bCs/>
          <w:sz w:val="32"/>
          <w:szCs w:val="32"/>
          <w:lang w:val="en-GB"/>
        </w:rPr>
        <w:t xml:space="preserve"> 5056</w:t>
      </w:r>
      <w:r w:rsidR="00A92C60" w:rsidRPr="008D7278">
        <w:rPr>
          <w:b/>
          <w:bCs/>
          <w:sz w:val="32"/>
          <w:szCs w:val="32"/>
          <w:lang w:val="en-GB"/>
        </w:rPr>
        <w:br w:type="page"/>
      </w:r>
    </w:p>
    <w:sdt>
      <w:sdtPr>
        <w:rPr>
          <w:rFonts w:ascii="Times New Roman" w:eastAsiaTheme="minorHAnsi" w:hAnsi="Times New Roman" w:cs="Times New Roman"/>
          <w:b/>
          <w:bCs/>
          <w:color w:val="auto"/>
          <w:kern w:val="2"/>
          <w:sz w:val="28"/>
          <w:szCs w:val="28"/>
          <w:lang w:val="en-GB"/>
          <w14:ligatures w14:val="standardContextual"/>
        </w:rPr>
        <w:id w:val="-1034581318"/>
        <w:docPartObj>
          <w:docPartGallery w:val="Table of Contents"/>
          <w:docPartUnique/>
        </w:docPartObj>
      </w:sdtPr>
      <w:sdtEndPr>
        <w:rPr>
          <w:rFonts w:cstheme="minorBidi"/>
          <w:noProof/>
          <w:sz w:val="24"/>
          <w:szCs w:val="24"/>
        </w:rPr>
      </w:sdtEndPr>
      <w:sdtContent>
        <w:p w14:paraId="102DE3B3" w14:textId="088F683E" w:rsidR="00932DB0" w:rsidRPr="008D7278" w:rsidRDefault="00932DB0" w:rsidP="00932DB0">
          <w:pPr>
            <w:pStyle w:val="TOCHeading"/>
            <w:spacing w:line="360" w:lineRule="auto"/>
            <w:jc w:val="center"/>
            <w:rPr>
              <w:rFonts w:ascii="Times New Roman" w:hAnsi="Times New Roman" w:cs="Times New Roman"/>
              <w:b/>
              <w:bCs/>
              <w:color w:val="auto"/>
              <w:sz w:val="28"/>
              <w:szCs w:val="28"/>
              <w:lang w:val="en-GB"/>
            </w:rPr>
          </w:pPr>
          <w:r w:rsidRPr="008D7278">
            <w:rPr>
              <w:rFonts w:ascii="Times New Roman" w:hAnsi="Times New Roman" w:cs="Times New Roman"/>
              <w:b/>
              <w:bCs/>
              <w:color w:val="auto"/>
              <w:sz w:val="28"/>
              <w:szCs w:val="28"/>
              <w:lang w:val="en-GB"/>
            </w:rPr>
            <w:t>Table of Contents</w:t>
          </w:r>
        </w:p>
        <w:p w14:paraId="29E549A2" w14:textId="5D76E6D3" w:rsidR="00932DB0" w:rsidRPr="008D7278" w:rsidRDefault="00932DB0">
          <w:pPr>
            <w:pStyle w:val="TOC1"/>
            <w:tabs>
              <w:tab w:val="right" w:leader="dot" w:pos="9016"/>
            </w:tabs>
            <w:rPr>
              <w:rFonts w:asciiTheme="minorHAnsi" w:eastAsiaTheme="minorEastAsia" w:hAnsiTheme="minorHAnsi"/>
              <w:noProof/>
              <w:lang w:val="en-GB" w:eastAsia="en-IN"/>
            </w:rPr>
          </w:pPr>
          <w:r w:rsidRPr="008D7278">
            <w:rPr>
              <w:lang w:val="en-GB"/>
            </w:rPr>
            <w:fldChar w:fldCharType="begin"/>
          </w:r>
          <w:r w:rsidRPr="008D7278">
            <w:rPr>
              <w:lang w:val="en-GB"/>
            </w:rPr>
            <w:instrText xml:space="preserve"> TOC \o "1-3" \h \z \u </w:instrText>
          </w:r>
          <w:r w:rsidRPr="008D7278">
            <w:rPr>
              <w:lang w:val="en-GB"/>
            </w:rPr>
            <w:fldChar w:fldCharType="separate"/>
          </w:r>
          <w:hyperlink w:anchor="_Toc213360566" w:history="1">
            <w:r w:rsidRPr="008D7278">
              <w:rPr>
                <w:rStyle w:val="Hyperlink"/>
                <w:noProof/>
                <w:lang w:val="en-GB"/>
              </w:rPr>
              <w:t>1. Financial Health Check</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_Toc213360566 \h </w:instrText>
            </w:r>
            <w:r w:rsidRPr="008D7278">
              <w:rPr>
                <w:noProof/>
                <w:webHidden/>
                <w:lang w:val="en-GB"/>
              </w:rPr>
            </w:r>
            <w:r w:rsidRPr="008D7278">
              <w:rPr>
                <w:noProof/>
                <w:webHidden/>
                <w:lang w:val="en-GB"/>
              </w:rPr>
              <w:fldChar w:fldCharType="separate"/>
            </w:r>
            <w:r w:rsidR="00B45E1B">
              <w:rPr>
                <w:noProof/>
                <w:webHidden/>
                <w:lang w:val="en-GB"/>
              </w:rPr>
              <w:t>4</w:t>
            </w:r>
            <w:r w:rsidRPr="008D7278">
              <w:rPr>
                <w:noProof/>
                <w:webHidden/>
                <w:lang w:val="en-GB"/>
              </w:rPr>
              <w:fldChar w:fldCharType="end"/>
            </w:r>
          </w:hyperlink>
        </w:p>
        <w:p w14:paraId="5C46A264" w14:textId="523ADD1C"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67" w:history="1">
            <w:r w:rsidRPr="008D7278">
              <w:rPr>
                <w:rStyle w:val="Hyperlink"/>
                <w:noProof/>
                <w:lang w:val="en-GB"/>
              </w:rPr>
              <w:t>1.1 Overview of Financial Performance (2020–2024)</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_Toc213360567 \h </w:instrText>
            </w:r>
            <w:r w:rsidRPr="008D7278">
              <w:rPr>
                <w:noProof/>
                <w:webHidden/>
                <w:lang w:val="en-GB"/>
              </w:rPr>
            </w:r>
            <w:r w:rsidRPr="008D7278">
              <w:rPr>
                <w:noProof/>
                <w:webHidden/>
                <w:lang w:val="en-GB"/>
              </w:rPr>
              <w:fldChar w:fldCharType="separate"/>
            </w:r>
            <w:r w:rsidR="00B45E1B">
              <w:rPr>
                <w:noProof/>
                <w:webHidden/>
                <w:lang w:val="en-GB"/>
              </w:rPr>
              <w:t>4</w:t>
            </w:r>
            <w:r w:rsidRPr="008D7278">
              <w:rPr>
                <w:noProof/>
                <w:webHidden/>
                <w:lang w:val="en-GB"/>
              </w:rPr>
              <w:fldChar w:fldCharType="end"/>
            </w:r>
          </w:hyperlink>
        </w:p>
        <w:p w14:paraId="1CD0CEAA" w14:textId="1596B236"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68" w:history="1">
            <w:r w:rsidRPr="008D7278">
              <w:rPr>
                <w:rStyle w:val="Hyperlink"/>
                <w:noProof/>
                <w:lang w:val="en-GB"/>
              </w:rPr>
              <w:t>1.2 Profitability Analysis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_Toc213360568 \h </w:instrText>
            </w:r>
            <w:r w:rsidRPr="008D7278">
              <w:rPr>
                <w:noProof/>
                <w:webHidden/>
                <w:lang w:val="en-GB"/>
              </w:rPr>
            </w:r>
            <w:r w:rsidRPr="008D7278">
              <w:rPr>
                <w:noProof/>
                <w:webHidden/>
                <w:lang w:val="en-GB"/>
              </w:rPr>
              <w:fldChar w:fldCharType="separate"/>
            </w:r>
            <w:r w:rsidR="00B45E1B">
              <w:rPr>
                <w:noProof/>
                <w:webHidden/>
                <w:lang w:val="en-GB"/>
              </w:rPr>
              <w:t>4</w:t>
            </w:r>
            <w:r w:rsidRPr="008D7278">
              <w:rPr>
                <w:noProof/>
                <w:webHidden/>
                <w:lang w:val="en-GB"/>
              </w:rPr>
              <w:fldChar w:fldCharType="end"/>
            </w:r>
          </w:hyperlink>
        </w:p>
        <w:p w14:paraId="11951EA9" w14:textId="1A08C447"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69" w:history="1">
            <w:r w:rsidRPr="008D7278">
              <w:rPr>
                <w:rStyle w:val="Hyperlink"/>
                <w:noProof/>
                <w:lang w:val="en-GB"/>
              </w:rPr>
              <w:t>1.3 Liquidity Analysis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_Toc213360569 \h </w:instrText>
            </w:r>
            <w:r w:rsidRPr="008D7278">
              <w:rPr>
                <w:noProof/>
                <w:webHidden/>
                <w:lang w:val="en-GB"/>
              </w:rPr>
            </w:r>
            <w:r w:rsidRPr="008D7278">
              <w:rPr>
                <w:noProof/>
                <w:webHidden/>
                <w:lang w:val="en-GB"/>
              </w:rPr>
              <w:fldChar w:fldCharType="separate"/>
            </w:r>
            <w:r w:rsidR="00B45E1B">
              <w:rPr>
                <w:noProof/>
                <w:webHidden/>
                <w:lang w:val="en-GB"/>
              </w:rPr>
              <w:t>5</w:t>
            </w:r>
            <w:r w:rsidRPr="008D7278">
              <w:rPr>
                <w:noProof/>
                <w:webHidden/>
                <w:lang w:val="en-GB"/>
              </w:rPr>
              <w:fldChar w:fldCharType="end"/>
            </w:r>
          </w:hyperlink>
        </w:p>
        <w:p w14:paraId="20C5F723" w14:textId="7ADED99B"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70" w:history="1">
            <w:r w:rsidRPr="008D7278">
              <w:rPr>
                <w:rStyle w:val="Hyperlink"/>
                <w:noProof/>
                <w:lang w:val="en-GB"/>
              </w:rPr>
              <w:t>1.4 Efficiency Analysis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_Toc213360570 \h </w:instrText>
            </w:r>
            <w:r w:rsidRPr="008D7278">
              <w:rPr>
                <w:noProof/>
                <w:webHidden/>
                <w:lang w:val="en-GB"/>
              </w:rPr>
            </w:r>
            <w:r w:rsidRPr="008D7278">
              <w:rPr>
                <w:noProof/>
                <w:webHidden/>
                <w:lang w:val="en-GB"/>
              </w:rPr>
              <w:fldChar w:fldCharType="separate"/>
            </w:r>
            <w:r w:rsidR="00B45E1B">
              <w:rPr>
                <w:noProof/>
                <w:webHidden/>
                <w:lang w:val="en-GB"/>
              </w:rPr>
              <w:t>5</w:t>
            </w:r>
            <w:r w:rsidRPr="008D7278">
              <w:rPr>
                <w:noProof/>
                <w:webHidden/>
                <w:lang w:val="en-GB"/>
              </w:rPr>
              <w:fldChar w:fldCharType="end"/>
            </w:r>
          </w:hyperlink>
        </w:p>
        <w:p w14:paraId="65A6C6F7" w14:textId="082C6E66"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71" w:history="1">
            <w:r w:rsidRPr="008D7278">
              <w:rPr>
                <w:rStyle w:val="Hyperlink"/>
                <w:noProof/>
                <w:lang w:val="en-GB"/>
              </w:rPr>
              <w:t>1.5 Gearing and Solvency Analysis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_Toc213360571 \h </w:instrText>
            </w:r>
            <w:r w:rsidRPr="008D7278">
              <w:rPr>
                <w:noProof/>
                <w:webHidden/>
                <w:lang w:val="en-GB"/>
              </w:rPr>
            </w:r>
            <w:r w:rsidRPr="008D7278">
              <w:rPr>
                <w:noProof/>
                <w:webHidden/>
                <w:lang w:val="en-GB"/>
              </w:rPr>
              <w:fldChar w:fldCharType="separate"/>
            </w:r>
            <w:r w:rsidR="00B45E1B">
              <w:rPr>
                <w:noProof/>
                <w:webHidden/>
                <w:lang w:val="en-GB"/>
              </w:rPr>
              <w:t>5</w:t>
            </w:r>
            <w:r w:rsidRPr="008D7278">
              <w:rPr>
                <w:noProof/>
                <w:webHidden/>
                <w:lang w:val="en-GB"/>
              </w:rPr>
              <w:fldChar w:fldCharType="end"/>
            </w:r>
          </w:hyperlink>
        </w:p>
        <w:p w14:paraId="4A2BD5FC" w14:textId="5366AC25"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72" w:history="1">
            <w:r w:rsidRPr="008D7278">
              <w:rPr>
                <w:rStyle w:val="Hyperlink"/>
                <w:noProof/>
                <w:lang w:val="en-GB"/>
              </w:rPr>
              <w:t>1.6 Investment and Market Performance</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_Toc213360572 \h </w:instrText>
            </w:r>
            <w:r w:rsidRPr="008D7278">
              <w:rPr>
                <w:noProof/>
                <w:webHidden/>
                <w:lang w:val="en-GB"/>
              </w:rPr>
            </w:r>
            <w:r w:rsidRPr="008D7278">
              <w:rPr>
                <w:noProof/>
                <w:webHidden/>
                <w:lang w:val="en-GB"/>
              </w:rPr>
              <w:fldChar w:fldCharType="separate"/>
            </w:r>
            <w:r w:rsidR="00B45E1B">
              <w:rPr>
                <w:noProof/>
                <w:webHidden/>
                <w:lang w:val="en-GB"/>
              </w:rPr>
              <w:t>6</w:t>
            </w:r>
            <w:r w:rsidRPr="008D7278">
              <w:rPr>
                <w:noProof/>
                <w:webHidden/>
                <w:lang w:val="en-GB"/>
              </w:rPr>
              <w:fldChar w:fldCharType="end"/>
            </w:r>
          </w:hyperlink>
        </w:p>
        <w:p w14:paraId="0EBCFFBD" w14:textId="06C199F5"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73" w:history="1">
            <w:r w:rsidRPr="008D7278">
              <w:rPr>
                <w:rStyle w:val="Hyperlink"/>
                <w:noProof/>
                <w:lang w:val="en-GB"/>
              </w:rPr>
              <w:t>1.7 Cash Flow Analysis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_Toc213360573 \h </w:instrText>
            </w:r>
            <w:r w:rsidRPr="008D7278">
              <w:rPr>
                <w:noProof/>
                <w:webHidden/>
                <w:lang w:val="en-GB"/>
              </w:rPr>
            </w:r>
            <w:r w:rsidRPr="008D7278">
              <w:rPr>
                <w:noProof/>
                <w:webHidden/>
                <w:lang w:val="en-GB"/>
              </w:rPr>
              <w:fldChar w:fldCharType="separate"/>
            </w:r>
            <w:r w:rsidR="00B45E1B">
              <w:rPr>
                <w:noProof/>
                <w:webHidden/>
                <w:lang w:val="en-GB"/>
              </w:rPr>
              <w:t>6</w:t>
            </w:r>
            <w:r w:rsidRPr="008D7278">
              <w:rPr>
                <w:noProof/>
                <w:webHidden/>
                <w:lang w:val="en-GB"/>
              </w:rPr>
              <w:fldChar w:fldCharType="end"/>
            </w:r>
          </w:hyperlink>
        </w:p>
        <w:p w14:paraId="03ABAB50" w14:textId="0F75F22B"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74" w:history="1">
            <w:r w:rsidRPr="008D7278">
              <w:rPr>
                <w:rStyle w:val="Hyperlink"/>
                <w:noProof/>
                <w:lang w:val="en-GB"/>
              </w:rPr>
              <w:t>1.8 Corporate Failure Prediction (Altman Z-Score)</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_Toc213360574 \h </w:instrText>
            </w:r>
            <w:r w:rsidRPr="008D7278">
              <w:rPr>
                <w:noProof/>
                <w:webHidden/>
                <w:lang w:val="en-GB"/>
              </w:rPr>
            </w:r>
            <w:r w:rsidRPr="008D7278">
              <w:rPr>
                <w:noProof/>
                <w:webHidden/>
                <w:lang w:val="en-GB"/>
              </w:rPr>
              <w:fldChar w:fldCharType="separate"/>
            </w:r>
            <w:r w:rsidR="00B45E1B">
              <w:rPr>
                <w:noProof/>
                <w:webHidden/>
                <w:lang w:val="en-GB"/>
              </w:rPr>
              <w:t>7</w:t>
            </w:r>
            <w:r w:rsidRPr="008D7278">
              <w:rPr>
                <w:noProof/>
                <w:webHidden/>
                <w:lang w:val="en-GB"/>
              </w:rPr>
              <w:fldChar w:fldCharType="end"/>
            </w:r>
          </w:hyperlink>
        </w:p>
        <w:p w14:paraId="6BD7D1A2" w14:textId="575A5E76" w:rsidR="00932DB0" w:rsidRPr="008D7278" w:rsidRDefault="00932DB0">
          <w:pPr>
            <w:pStyle w:val="TOC1"/>
            <w:tabs>
              <w:tab w:val="right" w:leader="dot" w:pos="9016"/>
            </w:tabs>
            <w:rPr>
              <w:rFonts w:asciiTheme="minorHAnsi" w:eastAsiaTheme="minorEastAsia" w:hAnsiTheme="minorHAnsi"/>
              <w:noProof/>
              <w:lang w:val="en-GB" w:eastAsia="en-IN"/>
            </w:rPr>
          </w:pPr>
          <w:hyperlink w:anchor="_Toc213360575" w:history="1">
            <w:r w:rsidRPr="008D7278">
              <w:rPr>
                <w:rStyle w:val="Hyperlink"/>
                <w:noProof/>
                <w:lang w:val="en-GB"/>
              </w:rPr>
              <w:t>2. Working Capital Management Analysis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_Toc213360575 \h </w:instrText>
            </w:r>
            <w:r w:rsidRPr="008D7278">
              <w:rPr>
                <w:noProof/>
                <w:webHidden/>
                <w:lang w:val="en-GB"/>
              </w:rPr>
            </w:r>
            <w:r w:rsidRPr="008D7278">
              <w:rPr>
                <w:noProof/>
                <w:webHidden/>
                <w:lang w:val="en-GB"/>
              </w:rPr>
              <w:fldChar w:fldCharType="separate"/>
            </w:r>
            <w:r w:rsidR="00B45E1B">
              <w:rPr>
                <w:noProof/>
                <w:webHidden/>
                <w:lang w:val="en-GB"/>
              </w:rPr>
              <w:t>8</w:t>
            </w:r>
            <w:r w:rsidRPr="008D7278">
              <w:rPr>
                <w:noProof/>
                <w:webHidden/>
                <w:lang w:val="en-GB"/>
              </w:rPr>
              <w:fldChar w:fldCharType="end"/>
            </w:r>
          </w:hyperlink>
        </w:p>
        <w:p w14:paraId="51922F2F" w14:textId="63655E3E"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76" w:history="1">
            <w:r w:rsidRPr="008D7278">
              <w:rPr>
                <w:rStyle w:val="Hyperlink"/>
                <w:noProof/>
                <w:lang w:val="en-GB"/>
              </w:rPr>
              <w:t>2.1 Cash Operating Cycle Evaluation</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_Toc213360576 \h </w:instrText>
            </w:r>
            <w:r w:rsidRPr="008D7278">
              <w:rPr>
                <w:noProof/>
                <w:webHidden/>
                <w:lang w:val="en-GB"/>
              </w:rPr>
            </w:r>
            <w:r w:rsidRPr="008D7278">
              <w:rPr>
                <w:noProof/>
                <w:webHidden/>
                <w:lang w:val="en-GB"/>
              </w:rPr>
              <w:fldChar w:fldCharType="separate"/>
            </w:r>
            <w:r w:rsidR="00B45E1B">
              <w:rPr>
                <w:noProof/>
                <w:webHidden/>
                <w:lang w:val="en-GB"/>
              </w:rPr>
              <w:t>8</w:t>
            </w:r>
            <w:r w:rsidRPr="008D7278">
              <w:rPr>
                <w:noProof/>
                <w:webHidden/>
                <w:lang w:val="en-GB"/>
              </w:rPr>
              <w:fldChar w:fldCharType="end"/>
            </w:r>
          </w:hyperlink>
        </w:p>
        <w:p w14:paraId="7028F750" w14:textId="5C0BF229"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77" w:history="1">
            <w:r w:rsidRPr="008D7278">
              <w:rPr>
                <w:rStyle w:val="Hyperlink"/>
                <w:noProof/>
                <w:lang w:val="en-GB"/>
              </w:rPr>
              <w:t>2.2 Liquidity and Operational Implications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_Toc213360577 \h </w:instrText>
            </w:r>
            <w:r w:rsidRPr="008D7278">
              <w:rPr>
                <w:noProof/>
                <w:webHidden/>
                <w:lang w:val="en-GB"/>
              </w:rPr>
            </w:r>
            <w:r w:rsidRPr="008D7278">
              <w:rPr>
                <w:noProof/>
                <w:webHidden/>
                <w:lang w:val="en-GB"/>
              </w:rPr>
              <w:fldChar w:fldCharType="separate"/>
            </w:r>
            <w:r w:rsidR="00B45E1B">
              <w:rPr>
                <w:noProof/>
                <w:webHidden/>
                <w:lang w:val="en-GB"/>
              </w:rPr>
              <w:t>8</w:t>
            </w:r>
            <w:r w:rsidRPr="008D7278">
              <w:rPr>
                <w:noProof/>
                <w:webHidden/>
                <w:lang w:val="en-GB"/>
              </w:rPr>
              <w:fldChar w:fldCharType="end"/>
            </w:r>
          </w:hyperlink>
        </w:p>
        <w:p w14:paraId="6EA49EB6" w14:textId="3DC8C71C"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78" w:history="1">
            <w:r w:rsidRPr="008D7278">
              <w:rPr>
                <w:rStyle w:val="Hyperlink"/>
                <w:noProof/>
                <w:lang w:val="en-GB"/>
              </w:rPr>
              <w:t>2.3 Recommended Reforms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_Toc213360578 \h </w:instrText>
            </w:r>
            <w:r w:rsidRPr="008D7278">
              <w:rPr>
                <w:noProof/>
                <w:webHidden/>
                <w:lang w:val="en-GB"/>
              </w:rPr>
            </w:r>
            <w:r w:rsidRPr="008D7278">
              <w:rPr>
                <w:noProof/>
                <w:webHidden/>
                <w:lang w:val="en-GB"/>
              </w:rPr>
              <w:fldChar w:fldCharType="separate"/>
            </w:r>
            <w:r w:rsidR="00B45E1B">
              <w:rPr>
                <w:noProof/>
                <w:webHidden/>
                <w:lang w:val="en-GB"/>
              </w:rPr>
              <w:t>9</w:t>
            </w:r>
            <w:r w:rsidRPr="008D7278">
              <w:rPr>
                <w:noProof/>
                <w:webHidden/>
                <w:lang w:val="en-GB"/>
              </w:rPr>
              <w:fldChar w:fldCharType="end"/>
            </w:r>
          </w:hyperlink>
        </w:p>
        <w:p w14:paraId="3C69A6A0" w14:textId="4B206E58"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79" w:history="1">
            <w:r w:rsidRPr="008D7278">
              <w:rPr>
                <w:rStyle w:val="Hyperlink"/>
                <w:noProof/>
                <w:lang w:val="en-GB"/>
              </w:rPr>
              <w:t>2.4 Financing Options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_Toc213360579 \h </w:instrText>
            </w:r>
            <w:r w:rsidRPr="008D7278">
              <w:rPr>
                <w:noProof/>
                <w:webHidden/>
                <w:lang w:val="en-GB"/>
              </w:rPr>
            </w:r>
            <w:r w:rsidRPr="008D7278">
              <w:rPr>
                <w:noProof/>
                <w:webHidden/>
                <w:lang w:val="en-GB"/>
              </w:rPr>
              <w:fldChar w:fldCharType="separate"/>
            </w:r>
            <w:r w:rsidR="00B45E1B">
              <w:rPr>
                <w:noProof/>
                <w:webHidden/>
                <w:lang w:val="en-GB"/>
              </w:rPr>
              <w:t>10</w:t>
            </w:r>
            <w:r w:rsidRPr="008D7278">
              <w:rPr>
                <w:noProof/>
                <w:webHidden/>
                <w:lang w:val="en-GB"/>
              </w:rPr>
              <w:fldChar w:fldCharType="end"/>
            </w:r>
          </w:hyperlink>
        </w:p>
        <w:p w14:paraId="3C2A215D" w14:textId="3E358BCE" w:rsidR="00932DB0" w:rsidRPr="008D7278" w:rsidRDefault="00932DB0">
          <w:pPr>
            <w:pStyle w:val="TOC1"/>
            <w:tabs>
              <w:tab w:val="right" w:leader="dot" w:pos="9016"/>
            </w:tabs>
            <w:rPr>
              <w:rFonts w:asciiTheme="minorHAnsi" w:eastAsiaTheme="minorEastAsia" w:hAnsiTheme="minorHAnsi"/>
              <w:noProof/>
              <w:lang w:val="en-GB" w:eastAsia="en-IN"/>
            </w:rPr>
          </w:pPr>
          <w:hyperlink w:anchor="_Toc213360580" w:history="1">
            <w:r w:rsidRPr="008D7278">
              <w:rPr>
                <w:rStyle w:val="Hyperlink"/>
                <w:noProof/>
                <w:lang w:val="en-GB"/>
              </w:rPr>
              <w:t>3. Strategic Financial Restructuring Plan</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_Toc213360580 \h </w:instrText>
            </w:r>
            <w:r w:rsidRPr="008D7278">
              <w:rPr>
                <w:noProof/>
                <w:webHidden/>
                <w:lang w:val="en-GB"/>
              </w:rPr>
            </w:r>
            <w:r w:rsidRPr="008D7278">
              <w:rPr>
                <w:noProof/>
                <w:webHidden/>
                <w:lang w:val="en-GB"/>
              </w:rPr>
              <w:fldChar w:fldCharType="separate"/>
            </w:r>
            <w:r w:rsidR="00B45E1B">
              <w:rPr>
                <w:noProof/>
                <w:webHidden/>
                <w:lang w:val="en-GB"/>
              </w:rPr>
              <w:t>10</w:t>
            </w:r>
            <w:r w:rsidRPr="008D7278">
              <w:rPr>
                <w:noProof/>
                <w:webHidden/>
                <w:lang w:val="en-GB"/>
              </w:rPr>
              <w:fldChar w:fldCharType="end"/>
            </w:r>
          </w:hyperlink>
        </w:p>
        <w:p w14:paraId="374ED370" w14:textId="0A3D29C8"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81" w:history="1">
            <w:r w:rsidRPr="008D7278">
              <w:rPr>
                <w:rStyle w:val="Hyperlink"/>
                <w:noProof/>
                <w:lang w:val="en-GB"/>
              </w:rPr>
              <w:t>3.1 Diagnosis of Financial Distress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_Toc213360581 \h </w:instrText>
            </w:r>
            <w:r w:rsidRPr="008D7278">
              <w:rPr>
                <w:noProof/>
                <w:webHidden/>
                <w:lang w:val="en-GB"/>
              </w:rPr>
            </w:r>
            <w:r w:rsidRPr="008D7278">
              <w:rPr>
                <w:noProof/>
                <w:webHidden/>
                <w:lang w:val="en-GB"/>
              </w:rPr>
              <w:fldChar w:fldCharType="separate"/>
            </w:r>
            <w:r w:rsidR="00B45E1B">
              <w:rPr>
                <w:noProof/>
                <w:webHidden/>
                <w:lang w:val="en-GB"/>
              </w:rPr>
              <w:t>10</w:t>
            </w:r>
            <w:r w:rsidRPr="008D7278">
              <w:rPr>
                <w:noProof/>
                <w:webHidden/>
                <w:lang w:val="en-GB"/>
              </w:rPr>
              <w:fldChar w:fldCharType="end"/>
            </w:r>
          </w:hyperlink>
        </w:p>
        <w:p w14:paraId="661243AE" w14:textId="72E874AC"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82" w:history="1">
            <w:r w:rsidRPr="008D7278">
              <w:rPr>
                <w:rStyle w:val="Hyperlink"/>
                <w:noProof/>
                <w:lang w:val="en-GB"/>
              </w:rPr>
              <w:t>3.2 Strategic Options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_Toc213360582 \h </w:instrText>
            </w:r>
            <w:r w:rsidRPr="008D7278">
              <w:rPr>
                <w:noProof/>
                <w:webHidden/>
                <w:lang w:val="en-GB"/>
              </w:rPr>
            </w:r>
            <w:r w:rsidRPr="008D7278">
              <w:rPr>
                <w:noProof/>
                <w:webHidden/>
                <w:lang w:val="en-GB"/>
              </w:rPr>
              <w:fldChar w:fldCharType="separate"/>
            </w:r>
            <w:r w:rsidR="00B45E1B">
              <w:rPr>
                <w:noProof/>
                <w:webHidden/>
                <w:lang w:val="en-GB"/>
              </w:rPr>
              <w:t>11</w:t>
            </w:r>
            <w:r w:rsidRPr="008D7278">
              <w:rPr>
                <w:noProof/>
                <w:webHidden/>
                <w:lang w:val="en-GB"/>
              </w:rPr>
              <w:fldChar w:fldCharType="end"/>
            </w:r>
          </w:hyperlink>
        </w:p>
        <w:p w14:paraId="65BB5BCD" w14:textId="138828D2"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83" w:history="1">
            <w:r w:rsidRPr="008D7278">
              <w:rPr>
                <w:rStyle w:val="Hyperlink"/>
                <w:noProof/>
                <w:lang w:val="en-GB"/>
              </w:rPr>
              <w:t>3.3 Impact Analysis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_Toc213360583 \h </w:instrText>
            </w:r>
            <w:r w:rsidRPr="008D7278">
              <w:rPr>
                <w:noProof/>
                <w:webHidden/>
                <w:lang w:val="en-GB"/>
              </w:rPr>
            </w:r>
            <w:r w:rsidRPr="008D7278">
              <w:rPr>
                <w:noProof/>
                <w:webHidden/>
                <w:lang w:val="en-GB"/>
              </w:rPr>
              <w:fldChar w:fldCharType="separate"/>
            </w:r>
            <w:r w:rsidR="00B45E1B">
              <w:rPr>
                <w:noProof/>
                <w:webHidden/>
                <w:lang w:val="en-GB"/>
              </w:rPr>
              <w:t>13</w:t>
            </w:r>
            <w:r w:rsidRPr="008D7278">
              <w:rPr>
                <w:noProof/>
                <w:webHidden/>
                <w:lang w:val="en-GB"/>
              </w:rPr>
              <w:fldChar w:fldCharType="end"/>
            </w:r>
          </w:hyperlink>
        </w:p>
        <w:p w14:paraId="5FBDAF66" w14:textId="26ABFA0B"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84" w:history="1">
            <w:r w:rsidRPr="008D7278">
              <w:rPr>
                <w:rStyle w:val="Hyperlink"/>
                <w:noProof/>
                <w:lang w:val="en-GB"/>
              </w:rPr>
              <w:t>3.4 International and Ethical Considerations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_Toc213360584 \h </w:instrText>
            </w:r>
            <w:r w:rsidRPr="008D7278">
              <w:rPr>
                <w:noProof/>
                <w:webHidden/>
                <w:lang w:val="en-GB"/>
              </w:rPr>
            </w:r>
            <w:r w:rsidRPr="008D7278">
              <w:rPr>
                <w:noProof/>
                <w:webHidden/>
                <w:lang w:val="en-GB"/>
              </w:rPr>
              <w:fldChar w:fldCharType="separate"/>
            </w:r>
            <w:r w:rsidR="00B45E1B">
              <w:rPr>
                <w:noProof/>
                <w:webHidden/>
                <w:lang w:val="en-GB"/>
              </w:rPr>
              <w:t>13</w:t>
            </w:r>
            <w:r w:rsidRPr="008D7278">
              <w:rPr>
                <w:noProof/>
                <w:webHidden/>
                <w:lang w:val="en-GB"/>
              </w:rPr>
              <w:fldChar w:fldCharType="end"/>
            </w:r>
          </w:hyperlink>
        </w:p>
        <w:p w14:paraId="0AFEB36D" w14:textId="4272FFF4" w:rsidR="00932DB0" w:rsidRPr="008D7278" w:rsidRDefault="00932DB0">
          <w:pPr>
            <w:pStyle w:val="TOC1"/>
            <w:tabs>
              <w:tab w:val="right" w:leader="dot" w:pos="9016"/>
            </w:tabs>
            <w:rPr>
              <w:rFonts w:asciiTheme="minorHAnsi" w:eastAsiaTheme="minorEastAsia" w:hAnsiTheme="minorHAnsi"/>
              <w:noProof/>
              <w:lang w:val="en-GB" w:eastAsia="en-IN"/>
            </w:rPr>
          </w:pPr>
          <w:hyperlink w:anchor="_Toc213360585" w:history="1">
            <w:r w:rsidRPr="008D7278">
              <w:rPr>
                <w:rStyle w:val="Hyperlink"/>
                <w:noProof/>
                <w:lang w:val="en-GB"/>
              </w:rPr>
              <w:t>4. Investment Appraisal and Capital Budgeting</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_Toc213360585 \h </w:instrText>
            </w:r>
            <w:r w:rsidRPr="008D7278">
              <w:rPr>
                <w:noProof/>
                <w:webHidden/>
                <w:lang w:val="en-GB"/>
              </w:rPr>
            </w:r>
            <w:r w:rsidRPr="008D7278">
              <w:rPr>
                <w:noProof/>
                <w:webHidden/>
                <w:lang w:val="en-GB"/>
              </w:rPr>
              <w:fldChar w:fldCharType="separate"/>
            </w:r>
            <w:r w:rsidR="00B45E1B">
              <w:rPr>
                <w:noProof/>
                <w:webHidden/>
                <w:lang w:val="en-GB"/>
              </w:rPr>
              <w:t>14</w:t>
            </w:r>
            <w:r w:rsidRPr="008D7278">
              <w:rPr>
                <w:noProof/>
                <w:webHidden/>
                <w:lang w:val="en-GB"/>
              </w:rPr>
              <w:fldChar w:fldCharType="end"/>
            </w:r>
          </w:hyperlink>
        </w:p>
        <w:p w14:paraId="68360821" w14:textId="3D27D553"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86" w:history="1">
            <w:r w:rsidRPr="008D7278">
              <w:rPr>
                <w:rStyle w:val="Hyperlink"/>
                <w:noProof/>
                <w:lang w:val="en-GB"/>
              </w:rPr>
              <w:t>4.1 Introduction to Proposed Projects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_Toc213360586 \h </w:instrText>
            </w:r>
            <w:r w:rsidRPr="008D7278">
              <w:rPr>
                <w:noProof/>
                <w:webHidden/>
                <w:lang w:val="en-GB"/>
              </w:rPr>
            </w:r>
            <w:r w:rsidRPr="008D7278">
              <w:rPr>
                <w:noProof/>
                <w:webHidden/>
                <w:lang w:val="en-GB"/>
              </w:rPr>
              <w:fldChar w:fldCharType="separate"/>
            </w:r>
            <w:r w:rsidR="00B45E1B">
              <w:rPr>
                <w:noProof/>
                <w:webHidden/>
                <w:lang w:val="en-GB"/>
              </w:rPr>
              <w:t>14</w:t>
            </w:r>
            <w:r w:rsidRPr="008D7278">
              <w:rPr>
                <w:noProof/>
                <w:webHidden/>
                <w:lang w:val="en-GB"/>
              </w:rPr>
              <w:fldChar w:fldCharType="end"/>
            </w:r>
          </w:hyperlink>
        </w:p>
        <w:p w14:paraId="7BE2C848" w14:textId="67D3BF55"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87" w:history="1">
            <w:r w:rsidRPr="008D7278">
              <w:rPr>
                <w:rStyle w:val="Hyperlink"/>
                <w:noProof/>
                <w:lang w:val="en-GB"/>
              </w:rPr>
              <w:t>4.2 Computation of Appraisal Methods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_Toc213360587 \h </w:instrText>
            </w:r>
            <w:r w:rsidRPr="008D7278">
              <w:rPr>
                <w:noProof/>
                <w:webHidden/>
                <w:lang w:val="en-GB"/>
              </w:rPr>
            </w:r>
            <w:r w:rsidRPr="008D7278">
              <w:rPr>
                <w:noProof/>
                <w:webHidden/>
                <w:lang w:val="en-GB"/>
              </w:rPr>
              <w:fldChar w:fldCharType="separate"/>
            </w:r>
            <w:r w:rsidR="00B45E1B">
              <w:rPr>
                <w:noProof/>
                <w:webHidden/>
                <w:lang w:val="en-GB"/>
              </w:rPr>
              <w:t>15</w:t>
            </w:r>
            <w:r w:rsidRPr="008D7278">
              <w:rPr>
                <w:noProof/>
                <w:webHidden/>
                <w:lang w:val="en-GB"/>
              </w:rPr>
              <w:fldChar w:fldCharType="end"/>
            </w:r>
          </w:hyperlink>
        </w:p>
        <w:p w14:paraId="462A5A62" w14:textId="28C5749A"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88" w:history="1">
            <w:r w:rsidRPr="008D7278">
              <w:rPr>
                <w:rStyle w:val="Hyperlink"/>
                <w:noProof/>
                <w:lang w:val="en-GB"/>
              </w:rPr>
              <w:t>4.3 Comparison and Ranking</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_Toc213360588 \h </w:instrText>
            </w:r>
            <w:r w:rsidRPr="008D7278">
              <w:rPr>
                <w:noProof/>
                <w:webHidden/>
                <w:lang w:val="en-GB"/>
              </w:rPr>
            </w:r>
            <w:r w:rsidRPr="008D7278">
              <w:rPr>
                <w:noProof/>
                <w:webHidden/>
                <w:lang w:val="en-GB"/>
              </w:rPr>
              <w:fldChar w:fldCharType="separate"/>
            </w:r>
            <w:r w:rsidR="00B45E1B">
              <w:rPr>
                <w:noProof/>
                <w:webHidden/>
                <w:lang w:val="en-GB"/>
              </w:rPr>
              <w:t>15</w:t>
            </w:r>
            <w:r w:rsidRPr="008D7278">
              <w:rPr>
                <w:noProof/>
                <w:webHidden/>
                <w:lang w:val="en-GB"/>
              </w:rPr>
              <w:fldChar w:fldCharType="end"/>
            </w:r>
          </w:hyperlink>
        </w:p>
        <w:p w14:paraId="61DA2E8D" w14:textId="7F91F3F8"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89" w:history="1">
            <w:r w:rsidRPr="008D7278">
              <w:rPr>
                <w:rStyle w:val="Hyperlink"/>
                <w:noProof/>
                <w:lang w:val="en-GB"/>
              </w:rPr>
              <w:t>4.4 Investment Recommendation (Capital Rationing £60m)</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_Toc213360589 \h </w:instrText>
            </w:r>
            <w:r w:rsidRPr="008D7278">
              <w:rPr>
                <w:noProof/>
                <w:webHidden/>
                <w:lang w:val="en-GB"/>
              </w:rPr>
            </w:r>
            <w:r w:rsidRPr="008D7278">
              <w:rPr>
                <w:noProof/>
                <w:webHidden/>
                <w:lang w:val="en-GB"/>
              </w:rPr>
              <w:fldChar w:fldCharType="separate"/>
            </w:r>
            <w:r w:rsidR="00B45E1B">
              <w:rPr>
                <w:noProof/>
                <w:webHidden/>
                <w:lang w:val="en-GB"/>
              </w:rPr>
              <w:t>16</w:t>
            </w:r>
            <w:r w:rsidRPr="008D7278">
              <w:rPr>
                <w:noProof/>
                <w:webHidden/>
                <w:lang w:val="en-GB"/>
              </w:rPr>
              <w:fldChar w:fldCharType="end"/>
            </w:r>
          </w:hyperlink>
        </w:p>
        <w:p w14:paraId="0A38C5F8" w14:textId="1BD8FB2B"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90" w:history="1">
            <w:r w:rsidRPr="008D7278">
              <w:rPr>
                <w:rStyle w:val="Hyperlink"/>
                <w:noProof/>
                <w:lang w:val="en-GB"/>
              </w:rPr>
              <w:t>4.5 Risk Analysis</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_Toc213360590 \h </w:instrText>
            </w:r>
            <w:r w:rsidRPr="008D7278">
              <w:rPr>
                <w:noProof/>
                <w:webHidden/>
                <w:lang w:val="en-GB"/>
              </w:rPr>
            </w:r>
            <w:r w:rsidRPr="008D7278">
              <w:rPr>
                <w:noProof/>
                <w:webHidden/>
                <w:lang w:val="en-GB"/>
              </w:rPr>
              <w:fldChar w:fldCharType="separate"/>
            </w:r>
            <w:r w:rsidR="00B45E1B">
              <w:rPr>
                <w:noProof/>
                <w:webHidden/>
                <w:lang w:val="en-GB"/>
              </w:rPr>
              <w:t>17</w:t>
            </w:r>
            <w:r w:rsidRPr="008D7278">
              <w:rPr>
                <w:noProof/>
                <w:webHidden/>
                <w:lang w:val="en-GB"/>
              </w:rPr>
              <w:fldChar w:fldCharType="end"/>
            </w:r>
          </w:hyperlink>
        </w:p>
        <w:p w14:paraId="3F0F8067" w14:textId="0BC5D8FA" w:rsidR="00932DB0" w:rsidRPr="008D7278" w:rsidRDefault="00932DB0">
          <w:pPr>
            <w:pStyle w:val="TOC2"/>
            <w:tabs>
              <w:tab w:val="right" w:leader="dot" w:pos="9016"/>
            </w:tabs>
            <w:rPr>
              <w:rFonts w:asciiTheme="minorHAnsi" w:eastAsiaTheme="minorEastAsia" w:hAnsiTheme="minorHAnsi"/>
              <w:noProof/>
              <w:lang w:val="en-GB" w:eastAsia="en-IN"/>
            </w:rPr>
          </w:pPr>
          <w:hyperlink w:anchor="_Toc213360591" w:history="1">
            <w:r w:rsidRPr="008D7278">
              <w:rPr>
                <w:rStyle w:val="Hyperlink"/>
                <w:noProof/>
                <w:lang w:val="en-GB"/>
              </w:rPr>
              <w:t>4.6 Strategic Fit</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_Toc213360591 \h </w:instrText>
            </w:r>
            <w:r w:rsidRPr="008D7278">
              <w:rPr>
                <w:noProof/>
                <w:webHidden/>
                <w:lang w:val="en-GB"/>
              </w:rPr>
            </w:r>
            <w:r w:rsidRPr="008D7278">
              <w:rPr>
                <w:noProof/>
                <w:webHidden/>
                <w:lang w:val="en-GB"/>
              </w:rPr>
              <w:fldChar w:fldCharType="separate"/>
            </w:r>
            <w:r w:rsidR="00B45E1B">
              <w:rPr>
                <w:noProof/>
                <w:webHidden/>
                <w:lang w:val="en-GB"/>
              </w:rPr>
              <w:t>18</w:t>
            </w:r>
            <w:r w:rsidRPr="008D7278">
              <w:rPr>
                <w:noProof/>
                <w:webHidden/>
                <w:lang w:val="en-GB"/>
              </w:rPr>
              <w:fldChar w:fldCharType="end"/>
            </w:r>
          </w:hyperlink>
        </w:p>
        <w:p w14:paraId="50BDC9EE" w14:textId="29000E63" w:rsidR="00932DB0" w:rsidRPr="008D7278" w:rsidRDefault="00932DB0">
          <w:pPr>
            <w:pStyle w:val="TOC1"/>
            <w:tabs>
              <w:tab w:val="right" w:leader="dot" w:pos="9016"/>
            </w:tabs>
            <w:rPr>
              <w:rFonts w:asciiTheme="minorHAnsi" w:eastAsiaTheme="minorEastAsia" w:hAnsiTheme="minorHAnsi"/>
              <w:noProof/>
              <w:lang w:val="en-GB" w:eastAsia="en-IN"/>
            </w:rPr>
          </w:pPr>
          <w:hyperlink w:anchor="_Toc213360592" w:history="1">
            <w:r w:rsidRPr="008D7278">
              <w:rPr>
                <w:rStyle w:val="Hyperlink"/>
                <w:noProof/>
                <w:lang w:val="en-GB"/>
              </w:rPr>
              <w:t>Reference List</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_Toc213360592 \h </w:instrText>
            </w:r>
            <w:r w:rsidRPr="008D7278">
              <w:rPr>
                <w:noProof/>
                <w:webHidden/>
                <w:lang w:val="en-GB"/>
              </w:rPr>
            </w:r>
            <w:r w:rsidRPr="008D7278">
              <w:rPr>
                <w:noProof/>
                <w:webHidden/>
                <w:lang w:val="en-GB"/>
              </w:rPr>
              <w:fldChar w:fldCharType="separate"/>
            </w:r>
            <w:r w:rsidR="00B45E1B">
              <w:rPr>
                <w:noProof/>
                <w:webHidden/>
                <w:lang w:val="en-GB"/>
              </w:rPr>
              <w:t>19</w:t>
            </w:r>
            <w:r w:rsidRPr="008D7278">
              <w:rPr>
                <w:noProof/>
                <w:webHidden/>
                <w:lang w:val="en-GB"/>
              </w:rPr>
              <w:fldChar w:fldCharType="end"/>
            </w:r>
          </w:hyperlink>
        </w:p>
        <w:p w14:paraId="1BF8997D" w14:textId="5DFC59E0" w:rsidR="00932DB0" w:rsidRPr="008D7278" w:rsidRDefault="00932DB0">
          <w:pPr>
            <w:pStyle w:val="TOC1"/>
            <w:tabs>
              <w:tab w:val="right" w:leader="dot" w:pos="9016"/>
            </w:tabs>
            <w:rPr>
              <w:rFonts w:asciiTheme="minorHAnsi" w:eastAsiaTheme="minorEastAsia" w:hAnsiTheme="minorHAnsi"/>
              <w:noProof/>
              <w:lang w:val="en-GB" w:eastAsia="en-IN"/>
            </w:rPr>
          </w:pPr>
          <w:hyperlink w:anchor="_Toc213360593" w:history="1">
            <w:r w:rsidRPr="008D7278">
              <w:rPr>
                <w:rStyle w:val="Hyperlink"/>
                <w:noProof/>
                <w:lang w:val="en-GB"/>
              </w:rPr>
              <w:t>Appendix</w:t>
            </w:r>
            <w:r w:rsidRPr="008D7278">
              <w:rPr>
                <w:noProof/>
                <w:webHidden/>
                <w:lang w:val="en-GB"/>
              </w:rPr>
              <w:tab/>
            </w:r>
            <w:r w:rsidRPr="008D7278">
              <w:rPr>
                <w:noProof/>
                <w:webHidden/>
                <w:lang w:val="en-GB"/>
              </w:rPr>
              <w:fldChar w:fldCharType="begin"/>
            </w:r>
            <w:r w:rsidRPr="008D7278">
              <w:rPr>
                <w:noProof/>
                <w:webHidden/>
                <w:lang w:val="en-GB"/>
              </w:rPr>
              <w:instrText xml:space="preserve"> PAGEREF _Toc213360593 \h </w:instrText>
            </w:r>
            <w:r w:rsidRPr="008D7278">
              <w:rPr>
                <w:noProof/>
                <w:webHidden/>
                <w:lang w:val="en-GB"/>
              </w:rPr>
            </w:r>
            <w:r w:rsidRPr="008D7278">
              <w:rPr>
                <w:noProof/>
                <w:webHidden/>
                <w:lang w:val="en-GB"/>
              </w:rPr>
              <w:fldChar w:fldCharType="separate"/>
            </w:r>
            <w:r w:rsidR="00B45E1B">
              <w:rPr>
                <w:noProof/>
                <w:webHidden/>
                <w:lang w:val="en-GB"/>
              </w:rPr>
              <w:t>21</w:t>
            </w:r>
            <w:r w:rsidRPr="008D7278">
              <w:rPr>
                <w:noProof/>
                <w:webHidden/>
                <w:lang w:val="en-GB"/>
              </w:rPr>
              <w:fldChar w:fldCharType="end"/>
            </w:r>
          </w:hyperlink>
        </w:p>
        <w:p w14:paraId="4B8515C8" w14:textId="2B2504B6" w:rsidR="00932DB0" w:rsidRPr="008D7278" w:rsidRDefault="00932DB0">
          <w:pPr>
            <w:rPr>
              <w:lang w:val="en-GB"/>
            </w:rPr>
          </w:pPr>
          <w:r w:rsidRPr="008D7278">
            <w:rPr>
              <w:b/>
              <w:bCs/>
              <w:noProof/>
              <w:lang w:val="en-GB"/>
            </w:rPr>
            <w:fldChar w:fldCharType="end"/>
          </w:r>
        </w:p>
      </w:sdtContent>
    </w:sdt>
    <w:p w14:paraId="1D3FAE45" w14:textId="77777777" w:rsidR="00932DB0" w:rsidRPr="008D7278" w:rsidRDefault="00932DB0">
      <w:pPr>
        <w:spacing w:line="278" w:lineRule="auto"/>
        <w:jc w:val="left"/>
        <w:rPr>
          <w:rFonts w:eastAsiaTheme="majorEastAsia" w:cstheme="majorBidi"/>
          <w:b/>
          <w:sz w:val="28"/>
          <w:szCs w:val="40"/>
          <w:lang w:val="en-GB"/>
        </w:rPr>
      </w:pPr>
      <w:r w:rsidRPr="008D7278">
        <w:rPr>
          <w:lang w:val="en-GB"/>
        </w:rPr>
        <w:br w:type="page"/>
      </w:r>
    </w:p>
    <w:p w14:paraId="661455C4" w14:textId="6050F7CF" w:rsidR="00762482" w:rsidRPr="008D7278" w:rsidRDefault="00762482" w:rsidP="003958C0">
      <w:pPr>
        <w:pStyle w:val="Heading1"/>
        <w:rPr>
          <w:lang w:val="en-GB"/>
        </w:rPr>
      </w:pPr>
      <w:bookmarkStart w:id="0" w:name="_Toc213360566"/>
      <w:r w:rsidRPr="008D7278">
        <w:rPr>
          <w:lang w:val="en-GB"/>
        </w:rPr>
        <w:lastRenderedPageBreak/>
        <w:t>1. Financial Health Check</w:t>
      </w:r>
      <w:bookmarkEnd w:id="0"/>
    </w:p>
    <w:p w14:paraId="352B1CAA" w14:textId="082595FF" w:rsidR="00762482" w:rsidRPr="008D7278" w:rsidRDefault="00762482" w:rsidP="003958C0">
      <w:pPr>
        <w:pStyle w:val="Heading2"/>
        <w:rPr>
          <w:lang w:val="en-GB"/>
        </w:rPr>
      </w:pPr>
      <w:bookmarkStart w:id="1" w:name="_Toc213360567"/>
      <w:r w:rsidRPr="008D7278">
        <w:rPr>
          <w:lang w:val="en-GB"/>
        </w:rPr>
        <w:t>1.1 Overview of Financial Performance (2020–2024)</w:t>
      </w:r>
      <w:bookmarkEnd w:id="1"/>
    </w:p>
    <w:p w14:paraId="28A8DE47" w14:textId="298BC93E" w:rsidR="00AE2A80" w:rsidRPr="008D7278" w:rsidRDefault="00AE2A80" w:rsidP="00AE2A80">
      <w:pPr>
        <w:rPr>
          <w:lang w:val="en-GB"/>
        </w:rPr>
      </w:pPr>
      <w:r w:rsidRPr="008D7278">
        <w:rPr>
          <w:lang w:val="en-GB"/>
        </w:rPr>
        <w:t>General Electronics has been recording a significant decline in financial performance between the year 2020 and 2024. The revenue has steadily decreased in 2020, reaching between £394.9 and £614.7 billion pounds, which is both a contraction of the market and a loss of competitive edge. In the last two years the profitability has become negative, 2024 has a net loss margin of -6.09%, and 2023 has a net loss margin of -23.36%, which indicates severe operational and cost inefficiencies. The equity value of shareholders has also declined, making the return on equity (ROE) go far into the negative (as at 2024, equals -15.69%).</w:t>
      </w:r>
    </w:p>
    <w:p w14:paraId="7ADD4CE9" w14:textId="7164152B" w:rsidR="00762482" w:rsidRPr="008D7278" w:rsidRDefault="00AE2A80" w:rsidP="00AE2A80">
      <w:pPr>
        <w:rPr>
          <w:lang w:val="en-GB"/>
        </w:rPr>
      </w:pPr>
      <w:r w:rsidRPr="008D7278">
        <w:rPr>
          <w:lang w:val="en-GB"/>
        </w:rPr>
        <w:t>Outside, the consumer electronics sector has endured some intense head winds such as global inflationary forces, supply chain and after the pandemic volatility in demand. Margins have also been weakened by the competitive prices and the role of fast technological obsolescence. The constraint of management costs, unmanageable overheads, and slow stock turnover at General Electronics, has tightened the financial belt in this setting. The net result has been accruing losses and a lack of a healthy balance sheet that needs the immediate strategic action.</w:t>
      </w:r>
    </w:p>
    <w:p w14:paraId="16DC7099" w14:textId="02BAFC72" w:rsidR="00762482" w:rsidRPr="008D7278" w:rsidRDefault="00762482" w:rsidP="00AE2A80">
      <w:pPr>
        <w:pStyle w:val="Heading2"/>
        <w:rPr>
          <w:lang w:val="en-GB"/>
        </w:rPr>
      </w:pPr>
      <w:bookmarkStart w:id="2" w:name="_Toc213360568"/>
      <w:r w:rsidRPr="008D7278">
        <w:rPr>
          <w:lang w:val="en-GB"/>
        </w:rPr>
        <w:t>1.2 Profitability Analysis</w:t>
      </w:r>
      <w:bookmarkEnd w:id="2"/>
    </w:p>
    <w:p w14:paraId="4E85CB2D" w14:textId="1363D096" w:rsidR="00AE2A80" w:rsidRPr="008D7278" w:rsidRDefault="00AE2A80" w:rsidP="00AE2A80">
      <w:pPr>
        <w:rPr>
          <w:lang w:val="en-GB"/>
        </w:rPr>
      </w:pPr>
      <w:r w:rsidRPr="008D7278">
        <w:rPr>
          <w:lang w:val="en-GB"/>
        </w:rPr>
        <w:t>There is a concerning downward trend in profitability ratios as applied to almost all of the indicators. The gross profit margin is now showing a slight improvement as it stands at 23.20% in 2023 and it has now stood at 28.87% in 2024 indicating that there is some recovery of cost at the production stage. Nevertheless, the operating margin does not have a positive value (3.87% in 2024), so gross profits are still devoured by large operating expenses (administration and impairment costs). Net profit margin is also worse with the net profit margin losing to the tune of -6.09% due to continuous losses even following slight operation recovery.</w:t>
      </w:r>
    </w:p>
    <w:p w14:paraId="1A7904E4" w14:textId="43440BBC" w:rsidR="00762482" w:rsidRPr="008D7278" w:rsidRDefault="00AE2A80" w:rsidP="00AE2A80">
      <w:pPr>
        <w:rPr>
          <w:lang w:val="en-GB"/>
        </w:rPr>
      </w:pPr>
      <w:r w:rsidRPr="008D7278">
        <w:rPr>
          <w:lang w:val="en-GB"/>
        </w:rPr>
        <w:t>In 2024 the return on equity (ROE) is at a very low level of -15.69% which indicates both a low level of profitability and a decrease in the size of the equity base. Although the marginal performance of the company improved on the gross margin, failure to convert revenue to bottom-line profit is an indicator that the company has structural inefficiencies. In general, profitability is in a state of dire poor because of their bad control of costs, poor operational performance and unsatisfactory cost management reflecting the necessity of a strict and cost-cutting-and-process-optimali</w:t>
      </w:r>
      <w:r w:rsidR="00260DBE" w:rsidRPr="008D7278">
        <w:rPr>
          <w:lang w:val="en-GB"/>
        </w:rPr>
        <w:t>s</w:t>
      </w:r>
      <w:r w:rsidRPr="008D7278">
        <w:rPr>
          <w:lang w:val="en-GB"/>
        </w:rPr>
        <w:t>ation approach.</w:t>
      </w:r>
    </w:p>
    <w:p w14:paraId="2FBD5886" w14:textId="59C61C26" w:rsidR="00762482" w:rsidRPr="008D7278" w:rsidRDefault="00762482" w:rsidP="00AE2A80">
      <w:pPr>
        <w:pStyle w:val="Heading2"/>
        <w:rPr>
          <w:lang w:val="en-GB"/>
        </w:rPr>
      </w:pPr>
      <w:bookmarkStart w:id="3" w:name="_Toc213360569"/>
      <w:r w:rsidRPr="008D7278">
        <w:rPr>
          <w:lang w:val="en-GB"/>
        </w:rPr>
        <w:lastRenderedPageBreak/>
        <w:t>1.3 Liquidity Analysis</w:t>
      </w:r>
      <w:bookmarkEnd w:id="3"/>
    </w:p>
    <w:p w14:paraId="61E08032" w14:textId="0B95E2DF" w:rsidR="00AE2A80" w:rsidRPr="008D7278" w:rsidRDefault="00AE2A80" w:rsidP="00AE2A80">
      <w:pPr>
        <w:rPr>
          <w:lang w:val="en-GB"/>
        </w:rPr>
      </w:pPr>
      <w:r w:rsidRPr="008D7278">
        <w:rPr>
          <w:lang w:val="en-GB"/>
        </w:rPr>
        <w:t>The liquidity situation of General Electronics is slightly weak. Current ratio has been stable at around 1.5 over the five-year period and it means that the company has an adequate amount of current assets which will meet its short-term liability. Nevertheless, the quick ratio that is hovering around 1.0 is showing shortage of liquid assets when inventories are removed, this means that it relies on conversion of stock to get liquidity.</w:t>
      </w:r>
    </w:p>
    <w:p w14:paraId="26C9D8C7" w14:textId="2E23A7B6" w:rsidR="00762482" w:rsidRPr="008D7278" w:rsidRDefault="009C3F06" w:rsidP="00AE2A80">
      <w:pPr>
        <w:rPr>
          <w:lang w:val="en-GB"/>
        </w:rPr>
      </w:pPr>
      <w:r w:rsidRPr="008D7278">
        <w:rPr>
          <w:lang w:val="en-GB"/>
        </w:rPr>
        <w:t xml:space="preserve">The operating cash flow ratio is, but </w:t>
      </w:r>
      <w:r w:rsidR="00AE2A80" w:rsidRPr="008D7278">
        <w:rPr>
          <w:lang w:val="en-GB"/>
        </w:rPr>
        <w:t>has dropped significantly to 0.09 in 2024, indicating that the company can only fulfil 9% of its current liabilities with operation cash. So, the slow cash conversion cycle is associated with slow receivables collection (105 days) and a long inventory holding time (103 days). These inefficiencies have limited the availability of cash compelling one to depend on external financing. Concisely, accounting liquidity seems to be sufficient, but the underlying cash flow generation is very poor, which is an indicator of a weak working capital management and liquidity pressure in case operational inefficiencies continue.</w:t>
      </w:r>
    </w:p>
    <w:p w14:paraId="288E0018" w14:textId="27A213ED" w:rsidR="00762482" w:rsidRPr="008D7278" w:rsidRDefault="00762482" w:rsidP="00AE2A80">
      <w:pPr>
        <w:pStyle w:val="Heading2"/>
        <w:rPr>
          <w:lang w:val="en-GB"/>
        </w:rPr>
      </w:pPr>
      <w:bookmarkStart w:id="4" w:name="_Toc213360570"/>
      <w:r w:rsidRPr="008D7278">
        <w:rPr>
          <w:lang w:val="en-GB"/>
        </w:rPr>
        <w:t>1.4 Efficiency Analysis</w:t>
      </w:r>
      <w:bookmarkEnd w:id="4"/>
    </w:p>
    <w:p w14:paraId="5AF8C554" w14:textId="77777777" w:rsidR="00AE2A80" w:rsidRPr="008D7278" w:rsidRDefault="00AE2A80" w:rsidP="00AE2A80">
      <w:pPr>
        <w:rPr>
          <w:lang w:val="en-GB"/>
        </w:rPr>
      </w:pPr>
      <w:r w:rsidRPr="008D7278">
        <w:rPr>
          <w:lang w:val="en-GB"/>
        </w:rPr>
        <w:t>The efficiency ratios show that General Electronics has enormous weaknesses in its working capital management. The inventory turnover period of the company has been long with the period being above 100 days spanning 2020-2024, which means slow stock turnover and sluggish production. Likewise, the turnover period on the receivable is also high with the company having a turnover of about 105 days in 2024 which indicates delayed collections and poor management of the credit. The payables turnover period of 65-90 days is a moderate level of supplier payments, which is enough but insufficient to combat cash restraints.</w:t>
      </w:r>
    </w:p>
    <w:p w14:paraId="4532690D" w14:textId="20D5EADF" w:rsidR="00762482" w:rsidRPr="008D7278" w:rsidRDefault="00AE2A80" w:rsidP="00AE2A80">
      <w:pPr>
        <w:rPr>
          <w:lang w:val="en-GB"/>
        </w:rPr>
      </w:pPr>
      <w:r w:rsidRPr="008D7278">
        <w:rPr>
          <w:lang w:val="en-GB"/>
        </w:rPr>
        <w:t>All these trends lead to a cash operating cycle (COC) of between 110 and 140 days, which is quite high when compared to the consumer electronics industry standard of less than 70 days. This long cycle causes use of large capital in inventory and accounts which decreases the liquidity and restricts money to be used in reinvestment</w:t>
      </w:r>
      <w:r w:rsidR="009C3F06" w:rsidRPr="008D7278">
        <w:rPr>
          <w:lang w:val="en-GB"/>
        </w:rPr>
        <w:t xml:space="preserve"> (Survilė et al., 2025)</w:t>
      </w:r>
      <w:r w:rsidRPr="008D7278">
        <w:rPr>
          <w:lang w:val="en-GB"/>
        </w:rPr>
        <w:t>. The general situation is indicative of ineffective operational administration and the acute necessity of improved inventory and receivables management in order of enhancing the cash transformation efficiency.</w:t>
      </w:r>
    </w:p>
    <w:p w14:paraId="39F4F89B" w14:textId="4DE148B9" w:rsidR="00762482" w:rsidRPr="008D7278" w:rsidRDefault="00762482" w:rsidP="00AE2A80">
      <w:pPr>
        <w:pStyle w:val="Heading2"/>
        <w:rPr>
          <w:lang w:val="en-GB"/>
        </w:rPr>
      </w:pPr>
      <w:bookmarkStart w:id="5" w:name="_Toc213360571"/>
      <w:r w:rsidRPr="008D7278">
        <w:rPr>
          <w:lang w:val="en-GB"/>
        </w:rPr>
        <w:t>1.5 Gearing and Solvency Analysis</w:t>
      </w:r>
      <w:bookmarkEnd w:id="5"/>
    </w:p>
    <w:p w14:paraId="4F8245A0" w14:textId="01FCE639" w:rsidR="00AE2A80" w:rsidRPr="008D7278" w:rsidRDefault="00AE2A80" w:rsidP="00762482">
      <w:pPr>
        <w:rPr>
          <w:lang w:val="en-GB"/>
        </w:rPr>
      </w:pPr>
      <w:r w:rsidRPr="008D7278">
        <w:rPr>
          <w:lang w:val="en-GB"/>
        </w:rPr>
        <w:t xml:space="preserve">The capital structure of General Electronics is moderate, with a debt-to-equity ratio ranging between 0.07 in 2020 to 2024, which shows no high rate of external borrowing. This presumed </w:t>
      </w:r>
      <w:r w:rsidRPr="008D7278">
        <w:rPr>
          <w:lang w:val="en-GB"/>
        </w:rPr>
        <w:lastRenderedPageBreak/>
        <w:t>strength is however negated by deteriorating equity as the result of consistently raising the company into net loss, and reducing its solvency strength. The interest coverage ratio (−4.55 in the year 2024 and -19.69 in the year 2023) indicates that operating earnings are not enough to cover the interest payments. Financial distress is increased together with default risk, even though leverage is manageable and negative</w:t>
      </w:r>
      <w:r w:rsidR="009C3F06" w:rsidRPr="008D7278">
        <w:rPr>
          <w:lang w:val="en-GB"/>
        </w:rPr>
        <w:t xml:space="preserve"> (Sardo et al., 2022)</w:t>
      </w:r>
      <w:r w:rsidRPr="008D7278">
        <w:rPr>
          <w:lang w:val="en-GB"/>
        </w:rPr>
        <w:t>. The solvency position of the company is thus independent of over-leverage and more of a lack of earner power hence the need to immediate restore profitability so as to make the company financially viable in the long run.</w:t>
      </w:r>
    </w:p>
    <w:p w14:paraId="320ADCAE" w14:textId="7A0F45D5" w:rsidR="00762482" w:rsidRPr="008D7278" w:rsidRDefault="00762482" w:rsidP="00AE2A80">
      <w:pPr>
        <w:pStyle w:val="Heading2"/>
        <w:rPr>
          <w:lang w:val="en-GB"/>
        </w:rPr>
      </w:pPr>
      <w:bookmarkStart w:id="6" w:name="_Toc213360572"/>
      <w:r w:rsidRPr="008D7278">
        <w:rPr>
          <w:lang w:val="en-GB"/>
        </w:rPr>
        <w:t>1.6 Investment and Market Performance</w:t>
      </w:r>
      <w:bookmarkEnd w:id="6"/>
    </w:p>
    <w:p w14:paraId="23042586" w14:textId="154D6EDD" w:rsidR="00762482" w:rsidRPr="008D7278" w:rsidRDefault="00871046" w:rsidP="005625ED">
      <w:pPr>
        <w:rPr>
          <w:lang w:val="en-GB"/>
        </w:rPr>
      </w:pPr>
      <w:r w:rsidRPr="008D7278">
        <w:rPr>
          <w:lang w:val="en-GB"/>
        </w:rPr>
        <w:t>The earnings per share (EPS) of the firm has been decreasing drastically, starting at 2.78 in the year 2020 until the year 2024 where it went to -1.85 which is characteristic of a consistent degradation in earnings and shareholder value. The unfavourable trend of EPS shows loss to the investors and reduction in confidence in the ability of management to provide returns</w:t>
      </w:r>
      <w:r w:rsidR="009C3F06" w:rsidRPr="008D7278">
        <w:rPr>
          <w:lang w:val="en-GB"/>
        </w:rPr>
        <w:t xml:space="preserve"> (Abbas et al., 2024)</w:t>
      </w:r>
      <w:r w:rsidRPr="008D7278">
        <w:rPr>
          <w:lang w:val="en-GB"/>
        </w:rPr>
        <w:t>. Such under-performance will probably put a down-wards pressure on market-valuation and share-price of the company, crippling its ability to raise new equity. In sum, the performance of investment of General Electronics highlights the extreme loss of shareholder value, which is caused by the lack of operational efficiency and low profitability and underlines the necessity of a severe turnaround strategy to regain credibility of the company in the market and investor confidence.</w:t>
      </w:r>
    </w:p>
    <w:p w14:paraId="71204478" w14:textId="3C8A6690" w:rsidR="00762482" w:rsidRPr="008D7278" w:rsidRDefault="00762482" w:rsidP="00871046">
      <w:pPr>
        <w:pStyle w:val="Heading2"/>
        <w:rPr>
          <w:lang w:val="en-GB"/>
        </w:rPr>
      </w:pPr>
      <w:bookmarkStart w:id="7" w:name="_Toc213360573"/>
      <w:r w:rsidRPr="008D7278">
        <w:rPr>
          <w:lang w:val="en-GB"/>
        </w:rPr>
        <w:t>1.7 Cash Flow Analysis</w:t>
      </w:r>
      <w:bookmarkEnd w:id="7"/>
    </w:p>
    <w:p w14:paraId="5E5BA69C" w14:textId="77777777" w:rsidR="00871046" w:rsidRPr="008D7278" w:rsidRDefault="00871046" w:rsidP="00871046">
      <w:pPr>
        <w:rPr>
          <w:lang w:val="en-GB"/>
        </w:rPr>
      </w:pPr>
      <w:r w:rsidRPr="008D7278">
        <w:rPr>
          <w:lang w:val="en-GB"/>
        </w:rPr>
        <w:t>Analysis of cash flows shows that it has a fluctuating trend in the next five years. Although negative net income was recorded during the 2023 and 2024 years, the 2024 operation cash flow became positive (14.8 billion pounds) as the company was recovering early due to the loss that occurred in the previous years, and the working capital adjustment. Nevertheless, operating inflows are not adequate against liabilities as it is indicated by a low operating cash flow ratio of 0.09.</w:t>
      </w:r>
    </w:p>
    <w:p w14:paraId="7C6614B3" w14:textId="746A3287" w:rsidR="005625ED" w:rsidRPr="008D7278" w:rsidRDefault="00871046" w:rsidP="00871046">
      <w:pPr>
        <w:rPr>
          <w:lang w:val="en-GB"/>
        </w:rPr>
      </w:pPr>
      <w:r w:rsidRPr="008D7278">
        <w:rPr>
          <w:lang w:val="en-GB"/>
        </w:rPr>
        <w:t xml:space="preserve">Annual cash outflows have been a constant feature of the company, primarily caused by the continued capital expenditure and acquisitions, which constrained internal liquidity. In a bid to counter this, General Electronics has greatly depended on financing operations, especially use of </w:t>
      </w:r>
      <w:r w:rsidR="00C23C69" w:rsidRPr="008D7278">
        <w:rPr>
          <w:lang w:val="en-GB"/>
        </w:rPr>
        <w:t>short-term</w:t>
      </w:r>
      <w:r w:rsidRPr="008D7278">
        <w:rPr>
          <w:lang w:val="en-GB"/>
        </w:rPr>
        <w:t xml:space="preserve"> credit facilities and share issues to stay afloat. Although the inflows in terms of financing have allowed stabilising the cash reserves in the short run, it enhances reliance on the external funds and increases the risk in the long run. On the whole, the cash flow structure </w:t>
      </w:r>
      <w:r w:rsidRPr="008D7278">
        <w:rPr>
          <w:lang w:val="en-GB"/>
        </w:rPr>
        <w:lastRenderedPageBreak/>
        <w:t>of the company indicates that the company needs to generate the necessary operational cash operating on its own by minimising the costs, enhancing the efficiency, and imposing stronger discipline in capital investments</w:t>
      </w:r>
      <w:r w:rsidR="009C3F06" w:rsidRPr="008D7278">
        <w:rPr>
          <w:lang w:val="en-GB"/>
        </w:rPr>
        <w:t xml:space="preserve"> (Arifaj et al., 2023)</w:t>
      </w:r>
      <w:r w:rsidRPr="008D7278">
        <w:rPr>
          <w:lang w:val="en-GB"/>
        </w:rPr>
        <w:t>.</w:t>
      </w:r>
    </w:p>
    <w:p w14:paraId="3EDC6635" w14:textId="22E949A4" w:rsidR="00932DB0" w:rsidRPr="008D7278" w:rsidRDefault="00932DB0" w:rsidP="00932DB0">
      <w:pPr>
        <w:jc w:val="center"/>
        <w:rPr>
          <w:lang w:val="en-GB"/>
        </w:rPr>
      </w:pPr>
      <w:r w:rsidRPr="008D7278">
        <w:rPr>
          <w:noProof/>
          <w:lang w:val="en-GB"/>
        </w:rPr>
        <w:drawing>
          <wp:inline distT="0" distB="0" distL="0" distR="0" wp14:anchorId="4325BCD2" wp14:editId="08CA227F">
            <wp:extent cx="5731510" cy="2130425"/>
            <wp:effectExtent l="19050" t="19050" r="21590" b="22225"/>
            <wp:docPr id="18395032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130425"/>
                    </a:xfrm>
                    <a:prstGeom prst="rect">
                      <a:avLst/>
                    </a:prstGeom>
                    <a:noFill/>
                    <a:ln>
                      <a:solidFill>
                        <a:schemeClr val="tx1"/>
                      </a:solidFill>
                    </a:ln>
                  </pic:spPr>
                </pic:pic>
              </a:graphicData>
            </a:graphic>
          </wp:inline>
        </w:drawing>
      </w:r>
    </w:p>
    <w:p w14:paraId="693E7000" w14:textId="186ABC7B" w:rsidR="00762482" w:rsidRPr="008D7278" w:rsidRDefault="00762482" w:rsidP="00871046">
      <w:pPr>
        <w:pStyle w:val="Heading2"/>
        <w:rPr>
          <w:lang w:val="en-GB"/>
        </w:rPr>
      </w:pPr>
      <w:bookmarkStart w:id="8" w:name="_Toc213360574"/>
      <w:r w:rsidRPr="008D7278">
        <w:rPr>
          <w:lang w:val="en-GB"/>
        </w:rPr>
        <w:t>1.8 Corporate Failure Prediction (Altman Z-Score)</w:t>
      </w:r>
      <w:bookmarkEnd w:id="8"/>
    </w:p>
    <w:p w14:paraId="4E383E55" w14:textId="6BA58F11" w:rsidR="003958C0" w:rsidRPr="008D7278" w:rsidRDefault="003958C0" w:rsidP="003958C0">
      <w:pPr>
        <w:rPr>
          <w:lang w:val="en-GB"/>
        </w:rPr>
      </w:pPr>
      <w:r w:rsidRPr="008D7278">
        <w:rPr>
          <w:lang w:val="en-GB"/>
        </w:rPr>
        <w:t xml:space="preserve">The </w:t>
      </w:r>
      <w:r w:rsidRPr="008D7278">
        <w:rPr>
          <w:b/>
          <w:bCs/>
          <w:lang w:val="en-GB"/>
        </w:rPr>
        <w:t>Altman Z-Score model</w:t>
      </w:r>
      <w:r w:rsidRPr="008D7278">
        <w:rPr>
          <w:lang w:val="en-GB"/>
        </w:rPr>
        <w:t xml:space="preserve"> provides an early warning signal of corporate distress by combining key financial ratios related to liquidity, profitability, leverage, and efficiency</w:t>
      </w:r>
      <w:r w:rsidR="009C3F06" w:rsidRPr="008D7278">
        <w:rPr>
          <w:lang w:val="en-GB"/>
        </w:rPr>
        <w:t xml:space="preserve"> (Mattio, 2024)</w:t>
      </w:r>
      <w:r w:rsidRPr="008D7278">
        <w:rPr>
          <w:lang w:val="en-GB"/>
        </w:rPr>
        <w:t>. For General Electronics in 2024, the calculation is as follows:</w:t>
      </w:r>
    </w:p>
    <w:p w14:paraId="5EBC301F" w14:textId="3E59CEB8" w:rsidR="003958C0" w:rsidRPr="008D7278" w:rsidRDefault="003958C0" w:rsidP="003958C0">
      <w:pPr>
        <w:rPr>
          <w:lang w:val="en-GB"/>
        </w:rPr>
      </w:pPr>
      <w:r w:rsidRPr="008D7278">
        <w:rPr>
          <w:lang w:val="en-GB"/>
        </w:rPr>
        <w:t xml:space="preserve">Z=1.2(X1) + 1.4(X2) + 3.3(X3) + 0.6(X4) + 1.0(X5) </w:t>
      </w:r>
    </w:p>
    <w:p w14:paraId="748F0F04" w14:textId="77777777" w:rsidR="003958C0" w:rsidRPr="008D7278" w:rsidRDefault="003958C0" w:rsidP="003958C0">
      <w:pPr>
        <w:rPr>
          <w:lang w:val="en-GB"/>
        </w:rPr>
      </w:pPr>
      <w:r w:rsidRPr="008D7278">
        <w:rPr>
          <w:lang w:val="en-GB"/>
        </w:rPr>
        <w:t>Where:</w:t>
      </w:r>
    </w:p>
    <w:p w14:paraId="2F401307" w14:textId="67A2F87A" w:rsidR="003958C0" w:rsidRPr="008D7278" w:rsidRDefault="003958C0" w:rsidP="003958C0">
      <w:pPr>
        <w:numPr>
          <w:ilvl w:val="0"/>
          <w:numId w:val="40"/>
        </w:numPr>
        <w:rPr>
          <w:lang w:val="en-GB"/>
        </w:rPr>
      </w:pPr>
      <w:r w:rsidRPr="008D7278">
        <w:rPr>
          <w:lang w:val="en-GB"/>
        </w:rPr>
        <w:t>X1= Working Capital/ Total Assets ≈ (242,494−158,291)/ 323,354=0.26</w:t>
      </w:r>
    </w:p>
    <w:p w14:paraId="4826AFB6" w14:textId="75D44AE7" w:rsidR="003958C0" w:rsidRPr="008D7278" w:rsidRDefault="003958C0" w:rsidP="003958C0">
      <w:pPr>
        <w:numPr>
          <w:ilvl w:val="0"/>
          <w:numId w:val="40"/>
        </w:numPr>
        <w:rPr>
          <w:lang w:val="en-GB"/>
        </w:rPr>
      </w:pPr>
      <w:r w:rsidRPr="008D7278">
        <w:rPr>
          <w:lang w:val="en-GB"/>
        </w:rPr>
        <w:t>X2= Retained Earnings/ Total Assets = 208,431/ 323,354 = 0.64</w:t>
      </w:r>
    </w:p>
    <w:p w14:paraId="0F2FAD7D" w14:textId="0F466156" w:rsidR="003958C0" w:rsidRPr="008D7278" w:rsidRDefault="003958C0" w:rsidP="003958C0">
      <w:pPr>
        <w:numPr>
          <w:ilvl w:val="0"/>
          <w:numId w:val="40"/>
        </w:numPr>
        <w:rPr>
          <w:lang w:val="en-GB"/>
        </w:rPr>
      </w:pPr>
      <w:r w:rsidRPr="008D7278">
        <w:rPr>
          <w:lang w:val="en-GB"/>
        </w:rPr>
        <w:t>X3= EBIT/ Total Assets = −15,297/ 323,354 = −0.05</w:t>
      </w:r>
    </w:p>
    <w:p w14:paraId="331F5C1E" w14:textId="7E938356" w:rsidR="003958C0" w:rsidRPr="008D7278" w:rsidRDefault="003958C0" w:rsidP="003958C0">
      <w:pPr>
        <w:numPr>
          <w:ilvl w:val="0"/>
          <w:numId w:val="40"/>
        </w:numPr>
        <w:rPr>
          <w:lang w:val="en-GB"/>
        </w:rPr>
      </w:pPr>
      <w:r w:rsidRPr="008D7278">
        <w:rPr>
          <w:lang w:val="en-GB"/>
        </w:rPr>
        <w:t>X4= Market Value of Equity/ Total Liabilities ≈ 153,105/ 170,249 = 0.90</w:t>
      </w:r>
    </w:p>
    <w:p w14:paraId="551DBE38" w14:textId="1C5D4A77" w:rsidR="003958C0" w:rsidRPr="008D7278" w:rsidRDefault="003958C0" w:rsidP="003958C0">
      <w:pPr>
        <w:numPr>
          <w:ilvl w:val="0"/>
          <w:numId w:val="40"/>
        </w:numPr>
        <w:rPr>
          <w:lang w:val="en-GB"/>
        </w:rPr>
      </w:pPr>
      <w:r w:rsidRPr="008D7278">
        <w:rPr>
          <w:lang w:val="en-GB"/>
        </w:rPr>
        <w:t>X5= Sales/ Total Assets = 394,879/ 323,354 = 1.22</w:t>
      </w:r>
    </w:p>
    <w:p w14:paraId="71174395" w14:textId="50B1EB62" w:rsidR="003958C0" w:rsidRPr="008D7278" w:rsidRDefault="003958C0" w:rsidP="003958C0">
      <w:pPr>
        <w:rPr>
          <w:lang w:val="en-GB"/>
        </w:rPr>
      </w:pPr>
      <w:r w:rsidRPr="008D7278">
        <w:rPr>
          <w:lang w:val="en-GB"/>
        </w:rPr>
        <w:t>Z= (1.2) (0.26) +(1.4) (0.64) +(3.3) (−0.05) +(0.6) (0.90) +(1.0) (1.22) =1.74</w:t>
      </w:r>
    </w:p>
    <w:p w14:paraId="1FB7CE7D" w14:textId="78D70468" w:rsidR="00762482" w:rsidRPr="008D7278" w:rsidRDefault="003958C0" w:rsidP="003958C0">
      <w:pPr>
        <w:rPr>
          <w:lang w:val="en-GB"/>
        </w:rPr>
      </w:pPr>
      <w:r w:rsidRPr="008D7278">
        <w:rPr>
          <w:lang w:val="en-GB"/>
        </w:rPr>
        <w:t xml:space="preserve">A </w:t>
      </w:r>
      <w:r w:rsidRPr="008D7278">
        <w:rPr>
          <w:b/>
          <w:bCs/>
          <w:lang w:val="en-GB"/>
        </w:rPr>
        <w:t>Z-score of 1.74</w:t>
      </w:r>
      <w:r w:rsidRPr="008D7278">
        <w:rPr>
          <w:lang w:val="en-GB"/>
        </w:rPr>
        <w:t xml:space="preserve"> places General Electronics in the </w:t>
      </w:r>
      <w:r w:rsidRPr="008D7278">
        <w:rPr>
          <w:b/>
          <w:bCs/>
          <w:lang w:val="en-GB"/>
        </w:rPr>
        <w:t>distress zone (Z &lt; 1.8)</w:t>
      </w:r>
      <w:r w:rsidRPr="008D7278">
        <w:rPr>
          <w:lang w:val="en-GB"/>
        </w:rPr>
        <w:t xml:space="preserve">, indicating a </w:t>
      </w:r>
      <w:r w:rsidRPr="008D7278">
        <w:rPr>
          <w:b/>
          <w:bCs/>
          <w:lang w:val="en-GB"/>
        </w:rPr>
        <w:t>high probability of financial failure</w:t>
      </w:r>
      <w:r w:rsidR="009C3F06" w:rsidRPr="008D7278">
        <w:rPr>
          <w:b/>
          <w:bCs/>
          <w:lang w:val="en-GB"/>
        </w:rPr>
        <w:t xml:space="preserve"> (</w:t>
      </w:r>
      <w:r w:rsidR="009C3F06" w:rsidRPr="008D7278">
        <w:rPr>
          <w:lang w:val="en-GB"/>
        </w:rPr>
        <w:t>Mattio, 2024)</w:t>
      </w:r>
      <w:r w:rsidRPr="008D7278">
        <w:rPr>
          <w:lang w:val="en-GB"/>
        </w:rPr>
        <w:t>. This confirms urgent need for restructuring, profitability recovery, and tighter financial control to avert bankruptcy risk.</w:t>
      </w:r>
    </w:p>
    <w:p w14:paraId="10B898E9" w14:textId="0E6D7168" w:rsidR="00762482" w:rsidRPr="008D7278" w:rsidRDefault="00762482" w:rsidP="00871046">
      <w:pPr>
        <w:pStyle w:val="Heading1"/>
        <w:rPr>
          <w:lang w:val="en-GB"/>
        </w:rPr>
      </w:pPr>
      <w:bookmarkStart w:id="9" w:name="_Toc213360575"/>
      <w:r w:rsidRPr="008D7278">
        <w:rPr>
          <w:lang w:val="en-GB"/>
        </w:rPr>
        <w:lastRenderedPageBreak/>
        <w:t>2. Working Capital Management Analysis</w:t>
      </w:r>
      <w:bookmarkEnd w:id="9"/>
    </w:p>
    <w:p w14:paraId="14CED35A" w14:textId="77777777" w:rsidR="00762482" w:rsidRPr="008D7278" w:rsidRDefault="00762482" w:rsidP="00871046">
      <w:pPr>
        <w:pStyle w:val="Heading2"/>
        <w:rPr>
          <w:lang w:val="en-GB"/>
        </w:rPr>
      </w:pPr>
      <w:bookmarkStart w:id="10" w:name="_Toc213360576"/>
      <w:r w:rsidRPr="008D7278">
        <w:rPr>
          <w:lang w:val="en-GB"/>
        </w:rPr>
        <w:t>2.1 Cash Operating Cycle Evaluation</w:t>
      </w:r>
      <w:bookmarkEnd w:id="10"/>
    </w:p>
    <w:p w14:paraId="5A49DF12" w14:textId="77777777" w:rsidR="00871046" w:rsidRPr="008D7278" w:rsidRDefault="00871046" w:rsidP="00871046">
      <w:pPr>
        <w:rPr>
          <w:lang w:val="en-GB"/>
        </w:rPr>
      </w:pPr>
      <w:r w:rsidRPr="008D7278">
        <w:rPr>
          <w:lang w:val="en-GB"/>
        </w:rPr>
        <w:t>Analysis of the working capital cycle shows that General Electronics has a cash operating cycle (COC) with an average of 110 to 140 days of working capital during the 5 numerical years 2020 to 2024. This is very high when compared to the industry standard of say 70 days meaning that the company is almost twice as long as it should take to cash its investments in its inventories and receivables.</w:t>
      </w:r>
    </w:p>
    <w:p w14:paraId="5EFFA3AF" w14:textId="1744E4EC" w:rsidR="00871046" w:rsidRPr="008D7278" w:rsidRDefault="00871046" w:rsidP="00871046">
      <w:pPr>
        <w:rPr>
          <w:lang w:val="en-GB"/>
        </w:rPr>
      </w:pPr>
      <w:r w:rsidRPr="008D7278">
        <w:rPr>
          <w:lang w:val="en-GB"/>
        </w:rPr>
        <w:t>The root cause of this slow-moving COC is largely due to overstocking, long credit terms and slow collections</w:t>
      </w:r>
      <w:r w:rsidR="009C3F06" w:rsidRPr="008D7278">
        <w:rPr>
          <w:lang w:val="en-GB"/>
        </w:rPr>
        <w:t xml:space="preserve"> (Khaled, 2025)</w:t>
      </w:r>
      <w:r w:rsidRPr="008D7278">
        <w:rPr>
          <w:lang w:val="en-GB"/>
        </w:rPr>
        <w:t>. Its inventory holding period of circa 100</w:t>
      </w:r>
      <w:r w:rsidR="009C3F06" w:rsidRPr="008D7278">
        <w:rPr>
          <w:lang w:val="en-GB"/>
        </w:rPr>
        <w:t>-</w:t>
      </w:r>
      <w:r w:rsidRPr="008D7278">
        <w:rPr>
          <w:lang w:val="en-GB"/>
        </w:rPr>
        <w:t>130 days indicates that it has inefficiencies on how to manage the stocks probably because of overproduction or low moving lines in the business. This implicates a lot of capital in unsold products, which translates into less cash to be used elsewhere in operations. The 75 to 105 days debtor turnover is indicative of lax credit policy and a failure of collection efforts leading to delays in the cash inflow. In the meantime, the period of the payment of the payables of 65-90 days is not enough to offset these delays, because the company is paying its suppliers earlier than it receives the payment of the customers.</w:t>
      </w:r>
    </w:p>
    <w:p w14:paraId="295AB66B" w14:textId="1A2D1692" w:rsidR="003958C0" w:rsidRPr="008D7278" w:rsidRDefault="00871046" w:rsidP="00871046">
      <w:pPr>
        <w:rPr>
          <w:lang w:val="en-GB"/>
        </w:rPr>
      </w:pPr>
      <w:r w:rsidRPr="008D7278">
        <w:rPr>
          <w:lang w:val="en-GB"/>
        </w:rPr>
        <w:t>The outcome is unfavourable working capital dynamic whereby in a consistent manner, liquidity remains limited though the company has a massive base of sales. The long COC brings about dependence on external sources of funds like bank credit lines, contributing to the interests and financial strain</w:t>
      </w:r>
      <w:r w:rsidR="009C3F06" w:rsidRPr="008D7278">
        <w:rPr>
          <w:lang w:val="en-GB"/>
        </w:rPr>
        <w:t xml:space="preserve"> (Tiwary and Paul, 2023)</w:t>
      </w:r>
      <w:r w:rsidRPr="008D7278">
        <w:rPr>
          <w:lang w:val="en-GB"/>
        </w:rPr>
        <w:t>. Overall, it is indicated by the lengthy cash cycle that the company lacks strong working capital, and its internal liquidity management are not very good, which ultimately caused the current financial troubles of General Electronics.</w:t>
      </w:r>
    </w:p>
    <w:p w14:paraId="1B78765B" w14:textId="54750C03" w:rsidR="00762482" w:rsidRPr="008D7278" w:rsidRDefault="00762482" w:rsidP="00871046">
      <w:pPr>
        <w:pStyle w:val="Heading2"/>
        <w:rPr>
          <w:lang w:val="en-GB"/>
        </w:rPr>
      </w:pPr>
      <w:bookmarkStart w:id="11" w:name="_Toc213360577"/>
      <w:r w:rsidRPr="008D7278">
        <w:rPr>
          <w:lang w:val="en-GB"/>
        </w:rPr>
        <w:t>2.2 Liquidity and Operational Implications</w:t>
      </w:r>
      <w:bookmarkEnd w:id="11"/>
    </w:p>
    <w:p w14:paraId="1CD581D3" w14:textId="40A2A42C" w:rsidR="00871046" w:rsidRPr="008D7278" w:rsidRDefault="00871046" w:rsidP="00871046">
      <w:pPr>
        <w:rPr>
          <w:lang w:val="en-GB"/>
        </w:rPr>
      </w:pPr>
      <w:r w:rsidRPr="008D7278">
        <w:rPr>
          <w:lang w:val="en-GB"/>
        </w:rPr>
        <w:t xml:space="preserve">The long cash operating cycle not only has implications on liquidity restrictions, but also on the firm efficiency and financial sustainability. Cash tied up in its inventories and as long as four months outstanding in its receivables, General Electronics has been experiencing a chronic cash flow crunch that has led it to rely on external debts to run its </w:t>
      </w:r>
      <w:r w:rsidR="00C23C69" w:rsidRPr="008D7278">
        <w:rPr>
          <w:lang w:val="en-GB"/>
        </w:rPr>
        <w:t>day-to-day</w:t>
      </w:r>
      <w:r w:rsidRPr="008D7278">
        <w:rPr>
          <w:lang w:val="en-GB"/>
        </w:rPr>
        <w:t xml:space="preserve"> activities. This dependence increases the cost of financing at the expense of diminishing profit margins which are already being hit by low sales and high operating costs.</w:t>
      </w:r>
    </w:p>
    <w:p w14:paraId="45E23FD6" w14:textId="652168B4" w:rsidR="00871046" w:rsidRPr="008D7278" w:rsidRDefault="00871046" w:rsidP="00871046">
      <w:pPr>
        <w:rPr>
          <w:lang w:val="en-GB"/>
        </w:rPr>
      </w:pPr>
      <w:r w:rsidRPr="008D7278">
        <w:rPr>
          <w:lang w:val="en-GB"/>
        </w:rPr>
        <w:lastRenderedPageBreak/>
        <w:t>Additionally, slowing cash flows lead to less flexibility of the company to react to market opportunities, negotiate with suppliers, or investing in research and innovations which are needed in the fast-flowing consumer electronics industry. The long working capital turnover also imposes risks including inventory obsolescence, credit defaults, and the increase in the cost of storage which contribute to the lower profitability</w:t>
      </w:r>
      <w:r w:rsidR="009C3F06" w:rsidRPr="008D7278">
        <w:rPr>
          <w:lang w:val="en-GB"/>
        </w:rPr>
        <w:t xml:space="preserve"> (Reyad et al., 2022)</w:t>
      </w:r>
      <w:r w:rsidRPr="008D7278">
        <w:rPr>
          <w:lang w:val="en-GB"/>
        </w:rPr>
        <w:t>.</w:t>
      </w:r>
    </w:p>
    <w:p w14:paraId="103750CC" w14:textId="13C6DC95" w:rsidR="00762482" w:rsidRPr="008D7278" w:rsidRDefault="00871046" w:rsidP="00871046">
      <w:pPr>
        <w:rPr>
          <w:lang w:val="en-GB"/>
        </w:rPr>
      </w:pPr>
      <w:r w:rsidRPr="008D7278">
        <w:rPr>
          <w:lang w:val="en-GB"/>
        </w:rPr>
        <w:t>On the other hand, reducing the COC may bring huge internal resources without any new capital infusion. Lower</w:t>
      </w:r>
      <w:r w:rsidR="009C3F06" w:rsidRPr="008D7278">
        <w:rPr>
          <w:lang w:val="en-GB"/>
        </w:rPr>
        <w:t>ing</w:t>
      </w:r>
      <w:r w:rsidRPr="008D7278">
        <w:rPr>
          <w:lang w:val="en-GB"/>
        </w:rPr>
        <w:t xml:space="preserve"> the cycle by 30-40 days may have the potential to release hundreds of millions of working capitals, enhance liquidity, decrease the cost of borrowing and decrease interest rates. Some of the key ratios that would also be better with stronger cash efficiency would be operating cash flow ratio and current ratio, which would once more give the investor confidence and monetary flexibility.</w:t>
      </w:r>
    </w:p>
    <w:p w14:paraId="35235F67" w14:textId="77777777" w:rsidR="00762482" w:rsidRPr="008D7278" w:rsidRDefault="00762482" w:rsidP="00871046">
      <w:pPr>
        <w:pStyle w:val="Heading2"/>
        <w:rPr>
          <w:lang w:val="en-GB"/>
        </w:rPr>
      </w:pPr>
      <w:bookmarkStart w:id="12" w:name="_Toc213360578"/>
      <w:r w:rsidRPr="008D7278">
        <w:rPr>
          <w:lang w:val="en-GB"/>
        </w:rPr>
        <w:t>2.3 Recommended Reforms</w:t>
      </w:r>
      <w:bookmarkEnd w:id="12"/>
    </w:p>
    <w:p w14:paraId="1E30F2F8" w14:textId="77777777" w:rsidR="00871046" w:rsidRPr="008D7278" w:rsidRDefault="003958C0" w:rsidP="003958C0">
      <w:pPr>
        <w:rPr>
          <w:lang w:val="en-GB"/>
        </w:rPr>
      </w:pPr>
      <w:r w:rsidRPr="008D7278">
        <w:rPr>
          <w:b/>
          <w:bCs/>
          <w:lang w:val="en-GB"/>
        </w:rPr>
        <w:t>a) Inventory Management:</w:t>
      </w:r>
    </w:p>
    <w:p w14:paraId="084DD138" w14:textId="7E61B119" w:rsidR="00871046" w:rsidRPr="008D7278" w:rsidRDefault="00871046" w:rsidP="003958C0">
      <w:pPr>
        <w:rPr>
          <w:lang w:val="en-GB"/>
        </w:rPr>
      </w:pPr>
      <w:r w:rsidRPr="008D7278">
        <w:rPr>
          <w:lang w:val="en-GB"/>
        </w:rPr>
        <w:t>The company must use a Just in Time (JIT) inventory control system that will optimise stock levels and holding expenses</w:t>
      </w:r>
      <w:r w:rsidR="009C3F06" w:rsidRPr="008D7278">
        <w:rPr>
          <w:lang w:val="en-GB"/>
        </w:rPr>
        <w:t xml:space="preserve"> (Ekakitie et al., 2022)</w:t>
      </w:r>
      <w:r w:rsidRPr="008D7278">
        <w:rPr>
          <w:lang w:val="en-GB"/>
        </w:rPr>
        <w:t xml:space="preserve">. Better actors on better demand forecasting based on data analytics and AI controlled supply chain planning can lead to better planning of production and avoid overstocking. Also, continuing to rationalise products, </w:t>
      </w:r>
      <w:r w:rsidR="002B017E" w:rsidRPr="008D7278">
        <w:rPr>
          <w:lang w:val="en-GB"/>
        </w:rPr>
        <w:t>i.e.,</w:t>
      </w:r>
      <w:r w:rsidRPr="008D7278">
        <w:rPr>
          <w:lang w:val="en-GB"/>
        </w:rPr>
        <w:t xml:space="preserve"> scrapping low-margin or slow-moving product ranges of product, would shrink unsold stock and release capital. </w:t>
      </w:r>
    </w:p>
    <w:p w14:paraId="681DDF00" w14:textId="3C64F668" w:rsidR="00871046" w:rsidRPr="008D7278" w:rsidRDefault="003958C0" w:rsidP="003958C0">
      <w:pPr>
        <w:rPr>
          <w:lang w:val="en-GB"/>
        </w:rPr>
      </w:pPr>
      <w:r w:rsidRPr="008D7278">
        <w:rPr>
          <w:b/>
          <w:bCs/>
          <w:lang w:val="en-GB"/>
        </w:rPr>
        <w:t>b) Receivables Management:</w:t>
      </w:r>
    </w:p>
    <w:p w14:paraId="50882FAA" w14:textId="2843DAB2" w:rsidR="00871046" w:rsidRPr="008D7278" w:rsidRDefault="00871046" w:rsidP="003958C0">
      <w:pPr>
        <w:rPr>
          <w:lang w:val="en-GB"/>
        </w:rPr>
      </w:pPr>
      <w:r w:rsidRPr="008D7278">
        <w:rPr>
          <w:lang w:val="en-GB"/>
        </w:rPr>
        <w:t>There is a need to revamp credit management completely. This involves tightening of credit conditions so that the collection time is minimised, particularly to high-risk customers</w:t>
      </w:r>
      <w:r w:rsidR="009C3F06" w:rsidRPr="008D7278">
        <w:rPr>
          <w:lang w:val="en-GB"/>
        </w:rPr>
        <w:t xml:space="preserve"> (Avickson et al., 2024)</w:t>
      </w:r>
      <w:r w:rsidRPr="008D7278">
        <w:rPr>
          <w:lang w:val="en-GB"/>
        </w:rPr>
        <w:t>. Early-payment discount will motivate increased settlements, whereas an effective credit scoring will enhance the assessment of the risk in the customer. Cash recovery can also be improved by frequent management of the old debts and automatic systems of following up.</w:t>
      </w:r>
    </w:p>
    <w:p w14:paraId="4C3242BD" w14:textId="4E37DF8E" w:rsidR="00871046" w:rsidRPr="008D7278" w:rsidRDefault="003958C0" w:rsidP="003958C0">
      <w:pPr>
        <w:rPr>
          <w:lang w:val="en-GB"/>
        </w:rPr>
      </w:pPr>
      <w:r w:rsidRPr="008D7278">
        <w:rPr>
          <w:b/>
          <w:bCs/>
          <w:lang w:val="en-GB"/>
        </w:rPr>
        <w:t>c) Payables Management:</w:t>
      </w:r>
    </w:p>
    <w:p w14:paraId="202FAE14" w14:textId="53404C2D" w:rsidR="00871046" w:rsidRPr="008D7278" w:rsidRDefault="00871046" w:rsidP="00762482">
      <w:pPr>
        <w:rPr>
          <w:lang w:val="en-GB"/>
        </w:rPr>
      </w:pPr>
      <w:r w:rsidRPr="008D7278">
        <w:rPr>
          <w:lang w:val="en-GB"/>
        </w:rPr>
        <w:t>General Electronics should be able to negotiate longer supplier payment terms on the payables side without harming the relationships with suppliers. Using the global scale, the company would be able to put together purchasing contracts in order to have improved credit terms and volume. Cost savings and liquidity optimi</w:t>
      </w:r>
      <w:r w:rsidR="00260DBE" w:rsidRPr="008D7278">
        <w:rPr>
          <w:lang w:val="en-GB"/>
        </w:rPr>
        <w:t>s</w:t>
      </w:r>
      <w:r w:rsidRPr="008D7278">
        <w:rPr>
          <w:lang w:val="en-GB"/>
        </w:rPr>
        <w:t xml:space="preserve">ation can be balanced by implementing dynamic </w:t>
      </w:r>
      <w:r w:rsidRPr="008D7278">
        <w:rPr>
          <w:lang w:val="en-GB"/>
        </w:rPr>
        <w:lastRenderedPageBreak/>
        <w:t>discounting arrangements, a type of agreement where early payments are given in exchange of small discounts in cases when there is cash flow</w:t>
      </w:r>
      <w:r w:rsidR="009C3F06" w:rsidRPr="008D7278">
        <w:rPr>
          <w:lang w:val="en-GB"/>
        </w:rPr>
        <w:t xml:space="preserve"> (Barnabas and Oloyede, 2024)</w:t>
      </w:r>
      <w:r w:rsidRPr="008D7278">
        <w:rPr>
          <w:lang w:val="en-GB"/>
        </w:rPr>
        <w:t>.</w:t>
      </w:r>
    </w:p>
    <w:p w14:paraId="5034959D" w14:textId="1F3DC808" w:rsidR="00762482" w:rsidRPr="008D7278" w:rsidRDefault="00762482" w:rsidP="00871046">
      <w:pPr>
        <w:pStyle w:val="Heading2"/>
        <w:rPr>
          <w:lang w:val="en-GB"/>
        </w:rPr>
      </w:pPr>
      <w:bookmarkStart w:id="13" w:name="_Toc213360579"/>
      <w:r w:rsidRPr="008D7278">
        <w:rPr>
          <w:lang w:val="en-GB"/>
        </w:rPr>
        <w:t>2.4 Financing Options</w:t>
      </w:r>
      <w:bookmarkEnd w:id="13"/>
    </w:p>
    <w:p w14:paraId="65EB8954" w14:textId="77777777" w:rsidR="003958C0" w:rsidRPr="008D7278" w:rsidRDefault="003958C0" w:rsidP="003958C0">
      <w:pPr>
        <w:rPr>
          <w:lang w:val="en-GB"/>
        </w:rPr>
      </w:pPr>
      <w:r w:rsidRPr="008D7278">
        <w:rPr>
          <w:b/>
          <w:bCs/>
          <w:lang w:val="en-GB"/>
        </w:rPr>
        <w:t>Short-Term Financing Options:</w:t>
      </w:r>
    </w:p>
    <w:p w14:paraId="101551C6" w14:textId="6C02FF32" w:rsidR="008C1275" w:rsidRPr="008D7278" w:rsidRDefault="008C1275" w:rsidP="008C1275">
      <w:pPr>
        <w:rPr>
          <w:lang w:val="en-GB"/>
        </w:rPr>
      </w:pPr>
      <w:r w:rsidRPr="008D7278">
        <w:rPr>
          <w:lang w:val="en-GB"/>
        </w:rPr>
        <w:t>Bank Overdrafts are provided to get instant liquidity to carry out working capital requirements but at a higher interest rate and risk of overdraft. Invoice Discounting allows the business firm to get cash within short period by selling or pledging receivables as a means to get its cash without raising debt levels</w:t>
      </w:r>
      <w:r w:rsidR="0015699A" w:rsidRPr="008D7278">
        <w:rPr>
          <w:lang w:val="en-GB"/>
        </w:rPr>
        <w:t xml:space="preserve"> (Pratiwi, 2022)</w:t>
      </w:r>
      <w:r w:rsidRPr="008D7278">
        <w:rPr>
          <w:lang w:val="en-GB"/>
        </w:rPr>
        <w:t>. Trade Credit assists in negotiating longer payment terms with suppliers offers interest-free short-term financing and assists in managing cash more effectively.</w:t>
      </w:r>
    </w:p>
    <w:p w14:paraId="54772EB1" w14:textId="02B90C30" w:rsidR="003958C0" w:rsidRPr="008D7278" w:rsidRDefault="003958C0" w:rsidP="003958C0">
      <w:pPr>
        <w:rPr>
          <w:lang w:val="en-GB"/>
        </w:rPr>
      </w:pPr>
      <w:r w:rsidRPr="008D7278">
        <w:rPr>
          <w:b/>
          <w:bCs/>
          <w:lang w:val="en-GB"/>
        </w:rPr>
        <w:t>Long-Term Financing Options:</w:t>
      </w:r>
    </w:p>
    <w:p w14:paraId="49985B34" w14:textId="7970C8F5" w:rsidR="008C1275" w:rsidRPr="008D7278" w:rsidRDefault="008C1275" w:rsidP="008C1275">
      <w:pPr>
        <w:rPr>
          <w:lang w:val="en-GB"/>
        </w:rPr>
      </w:pPr>
      <w:r w:rsidRPr="008D7278">
        <w:rPr>
          <w:lang w:val="en-GB"/>
        </w:rPr>
        <w:t>Debt Refinancing Debt financing can assist on reorganising the current debt to obtain better interest rates or extend the repayment time to enhance the solvency of the current debt and ease the outlay of the cash</w:t>
      </w:r>
      <w:r w:rsidR="0015699A" w:rsidRPr="008D7278">
        <w:rPr>
          <w:lang w:val="en-GB"/>
        </w:rPr>
        <w:t xml:space="preserve"> (Pamungkas, 2023)</w:t>
      </w:r>
      <w:r w:rsidRPr="008D7278">
        <w:rPr>
          <w:lang w:val="en-GB"/>
        </w:rPr>
        <w:t>. Equity Issuance is used to raise more capital by offering shares by offering more shares that are used to strengthen the balance sheet and decrease leverage but it would be diluting ownership. The Convertible Bonds type is a hybrid class of debt and equity where there is a reduction in interest expense and possibly conversion to shares in the future taking advantage of both seller and buyer interests.</w:t>
      </w:r>
    </w:p>
    <w:p w14:paraId="132899A9" w14:textId="43632D7B" w:rsidR="008C1275" w:rsidRPr="008D7278" w:rsidRDefault="008C1275" w:rsidP="00762482">
      <w:pPr>
        <w:rPr>
          <w:lang w:val="en-GB"/>
        </w:rPr>
      </w:pPr>
      <w:r w:rsidRPr="008D7278">
        <w:rPr>
          <w:lang w:val="en-GB"/>
        </w:rPr>
        <w:t xml:space="preserve">General Electronics ought to embrace a blended funding structure so that the company can remain liquid in its operation and restructure in the long term. Immediate relief in working capital can be obtained through short-term tools like trade credit and invoice discounting but long-term refinancing and limited issue of equity can be used to enhance solvency levels and to finance strategic change processes. </w:t>
      </w:r>
    </w:p>
    <w:p w14:paraId="4960BDEA" w14:textId="5C260172" w:rsidR="00762482" w:rsidRPr="008D7278" w:rsidRDefault="00762482" w:rsidP="000A335C">
      <w:pPr>
        <w:pStyle w:val="Heading1"/>
        <w:rPr>
          <w:lang w:val="en-GB"/>
        </w:rPr>
      </w:pPr>
      <w:bookmarkStart w:id="14" w:name="_Toc213360580"/>
      <w:r w:rsidRPr="008D7278">
        <w:rPr>
          <w:lang w:val="en-GB"/>
        </w:rPr>
        <w:t>3. Strategic Financial Restructuring Plan</w:t>
      </w:r>
      <w:bookmarkEnd w:id="14"/>
    </w:p>
    <w:p w14:paraId="1F62A3F5" w14:textId="77777777" w:rsidR="00762482" w:rsidRPr="008D7278" w:rsidRDefault="00762482" w:rsidP="000A335C">
      <w:pPr>
        <w:pStyle w:val="Heading2"/>
        <w:rPr>
          <w:lang w:val="en-GB"/>
        </w:rPr>
      </w:pPr>
      <w:bookmarkStart w:id="15" w:name="_Toc213360581"/>
      <w:r w:rsidRPr="008D7278">
        <w:rPr>
          <w:lang w:val="en-GB"/>
        </w:rPr>
        <w:t>3.1 Diagnosis of Financial Distress</w:t>
      </w:r>
      <w:bookmarkEnd w:id="15"/>
    </w:p>
    <w:p w14:paraId="084BA7B0" w14:textId="1A5377AB" w:rsidR="000A335C" w:rsidRPr="008D7278" w:rsidRDefault="000A335C" w:rsidP="000A335C">
      <w:pPr>
        <w:rPr>
          <w:lang w:val="en-GB"/>
        </w:rPr>
      </w:pPr>
      <w:r w:rsidRPr="008D7278">
        <w:rPr>
          <w:lang w:val="en-GB"/>
        </w:rPr>
        <w:t>The recent financial performance of General Electronics is an indicator of a company in real distress, with both internal inefficiencies and external forces contributing to it. Revenues declined by more than 35%, and profit ratios became negative, as the net profit margin declined to -6.09% in 2024. The turnover of the equity (ROE) of the firm dropped sharply to -15.69% indicating the capital decay and losses in using the assets.</w:t>
      </w:r>
    </w:p>
    <w:p w14:paraId="596CB678" w14:textId="4B7266BB" w:rsidR="000A335C" w:rsidRPr="008D7278" w:rsidRDefault="000A335C" w:rsidP="000A335C">
      <w:pPr>
        <w:rPr>
          <w:lang w:val="en-GB"/>
        </w:rPr>
      </w:pPr>
      <w:r w:rsidRPr="008D7278">
        <w:rPr>
          <w:lang w:val="en-GB"/>
        </w:rPr>
        <w:lastRenderedPageBreak/>
        <w:t>The fundamental reasons of such a downward trend can be associated with cost inefficiency, underutilisation of assets, and operational rigidity</w:t>
      </w:r>
      <w:r w:rsidR="0015699A" w:rsidRPr="008D7278">
        <w:rPr>
          <w:lang w:val="en-GB"/>
        </w:rPr>
        <w:t xml:space="preserve"> (Alu, 2023)</w:t>
      </w:r>
      <w:r w:rsidRPr="008D7278">
        <w:rPr>
          <w:lang w:val="en-GB"/>
        </w:rPr>
        <w:t>. It is lost in excessive operating costs such as administrative and impairment costs on top of small gross profit recovery. At the same time, the size of the company assets has not been translated into proportional returns, the company asset turnover ratio has remained stagnant at approximately 1.2 meaning that there are assets that are under-performing, or the assets that are lying idle.</w:t>
      </w:r>
    </w:p>
    <w:p w14:paraId="15D48E2E" w14:textId="5920E840" w:rsidR="000A335C" w:rsidRPr="008D7278" w:rsidRDefault="000A335C" w:rsidP="000A335C">
      <w:pPr>
        <w:rPr>
          <w:lang w:val="en-GB"/>
        </w:rPr>
      </w:pPr>
      <w:r w:rsidRPr="008D7278">
        <w:rPr>
          <w:lang w:val="en-GB"/>
        </w:rPr>
        <w:t>Despite a low leverage (Debt-to-Equity 0.07), the seemingly sound state of affairs hides several problems: low earnings, low interest coverage (as can be seen in 2024 (-4.55) and the unhealthy reliance on external financing sources to keep it afloat. Moreover, long inventory and receivable cycles (over 100 days) have limited cash flow which increases the short-term financial stress.</w:t>
      </w:r>
    </w:p>
    <w:p w14:paraId="398A08C9" w14:textId="09D02DAB" w:rsidR="000A335C" w:rsidRPr="008D7278" w:rsidRDefault="000A335C" w:rsidP="00762482">
      <w:pPr>
        <w:rPr>
          <w:lang w:val="en-GB"/>
        </w:rPr>
      </w:pPr>
      <w:r w:rsidRPr="008D7278">
        <w:rPr>
          <w:lang w:val="en-GB"/>
        </w:rPr>
        <w:t>On the outside, margins have been squee</w:t>
      </w:r>
      <w:r w:rsidR="00260DBE" w:rsidRPr="008D7278">
        <w:rPr>
          <w:lang w:val="en-GB"/>
        </w:rPr>
        <w:t>z</w:t>
      </w:r>
      <w:r w:rsidRPr="008D7278">
        <w:rPr>
          <w:lang w:val="en-GB"/>
        </w:rPr>
        <w:t>ed by increased inflation, global supply chain disruptions and price competition in the consumer electronics market. Together these factors endanger the solvency and competitive position of the firm. General Electronics needs to conduct a thorough financial reorganisation to attain sustainable recovery costs, capital optimi</w:t>
      </w:r>
      <w:r w:rsidR="00260DBE" w:rsidRPr="008D7278">
        <w:rPr>
          <w:lang w:val="en-GB"/>
        </w:rPr>
        <w:t>s</w:t>
      </w:r>
      <w:r w:rsidRPr="008D7278">
        <w:rPr>
          <w:lang w:val="en-GB"/>
        </w:rPr>
        <w:t>ation, capital, and profitability.</w:t>
      </w:r>
    </w:p>
    <w:p w14:paraId="438E026F" w14:textId="3FFBCA3B" w:rsidR="00762482" w:rsidRPr="008D7278" w:rsidRDefault="00762482" w:rsidP="000A335C">
      <w:pPr>
        <w:pStyle w:val="Heading2"/>
        <w:rPr>
          <w:lang w:val="en-GB"/>
        </w:rPr>
      </w:pPr>
      <w:bookmarkStart w:id="16" w:name="_Toc213360582"/>
      <w:r w:rsidRPr="008D7278">
        <w:rPr>
          <w:lang w:val="en-GB"/>
        </w:rPr>
        <w:t>3.2 Strategic Options</w:t>
      </w:r>
      <w:bookmarkEnd w:id="16"/>
    </w:p>
    <w:p w14:paraId="3A003231" w14:textId="77777777" w:rsidR="00762482" w:rsidRPr="008D7278" w:rsidRDefault="00762482" w:rsidP="00762482">
      <w:pPr>
        <w:rPr>
          <w:lang w:val="en-GB"/>
        </w:rPr>
      </w:pPr>
      <w:r w:rsidRPr="008D7278">
        <w:rPr>
          <w:b/>
          <w:bCs/>
          <w:lang w:val="en-GB"/>
        </w:rPr>
        <w:t>Option 1: Divestiture of Non-Core Assets</w:t>
      </w:r>
    </w:p>
    <w:p w14:paraId="5B6FAF52" w14:textId="01CE8876" w:rsidR="000A335C" w:rsidRPr="008D7278" w:rsidRDefault="000A335C" w:rsidP="00762482">
      <w:pPr>
        <w:rPr>
          <w:lang w:val="en-GB"/>
        </w:rPr>
      </w:pPr>
      <w:r w:rsidRPr="008D7278">
        <w:rPr>
          <w:lang w:val="en-GB"/>
        </w:rPr>
        <w:t xml:space="preserve">General Electronics carries a huge amount of non-core assets such as failing business divisions, excess real estate and obsolete production sites. With a planned divestiture programme, the company would be able to sell these non-essential assets and redirect its investments in to its core and high-margin product lines. The short-term debt can be decreased with the help of sale proceeds and the liquidity is enhanced by the sale proceeds as well as the sale proceeds can be used to finance modernisation projects like digital manufacturing and AI-based product development. </w:t>
      </w:r>
    </w:p>
    <w:p w14:paraId="02ED9415" w14:textId="1724020F" w:rsidR="000A335C" w:rsidRPr="008D7278" w:rsidRDefault="000A335C" w:rsidP="00762482">
      <w:pPr>
        <w:rPr>
          <w:lang w:val="en-GB"/>
        </w:rPr>
      </w:pPr>
      <w:r w:rsidRPr="008D7278">
        <w:rPr>
          <w:lang w:val="en-GB"/>
        </w:rPr>
        <w:t>Moreover, the divestiture will minimise the depreciation and maintenance expenses, which in turn increase the profitability in the future. Nevertheless, the strategy has to be cleverly administered not to reduce to hasty downsizing or long-term potential loss. The action of getting rid of low performing segments and keeping strategic assets alive will keep the liquidity without compromising future growth potential.</w:t>
      </w:r>
    </w:p>
    <w:p w14:paraId="6EBE29A5" w14:textId="073E7A7C" w:rsidR="00762482" w:rsidRPr="008D7278" w:rsidRDefault="00762482" w:rsidP="00762482">
      <w:pPr>
        <w:rPr>
          <w:lang w:val="en-GB"/>
        </w:rPr>
      </w:pPr>
      <w:r w:rsidRPr="008D7278">
        <w:rPr>
          <w:b/>
          <w:bCs/>
          <w:lang w:val="en-GB"/>
        </w:rPr>
        <w:t>Option 2: Equity Injection / Strategic Partnership</w:t>
      </w:r>
    </w:p>
    <w:p w14:paraId="05A2D9B1" w14:textId="3A142DBE" w:rsidR="000A335C" w:rsidRPr="008D7278" w:rsidRDefault="000A335C" w:rsidP="00762482">
      <w:pPr>
        <w:rPr>
          <w:lang w:val="en-GB"/>
        </w:rPr>
      </w:pPr>
      <w:r w:rsidRPr="008D7278">
        <w:rPr>
          <w:lang w:val="en-GB"/>
        </w:rPr>
        <w:lastRenderedPageBreak/>
        <w:t>The company may invite an international investor or conduct a rights issue to inject capital into the company and enable it to regain the lost strength of capital. This would help to strengthen the balance sheet, better the debt-to-equity ratio as well as gain access to new markets and technologies. As an example, the collaboration with Asian or European consumer electronics giants might help to transfer technologies, increase the market base, and become more resilient in the supply chain</w:t>
      </w:r>
      <w:r w:rsidR="0015699A" w:rsidRPr="008D7278">
        <w:rPr>
          <w:lang w:val="en-GB"/>
        </w:rPr>
        <w:t xml:space="preserve"> (Nukala and Prasada Rao, 2021)</w:t>
      </w:r>
      <w:r w:rsidRPr="008D7278">
        <w:rPr>
          <w:lang w:val="en-GB"/>
        </w:rPr>
        <w:t xml:space="preserve">. </w:t>
      </w:r>
    </w:p>
    <w:p w14:paraId="702746BF" w14:textId="328A7B24" w:rsidR="000A335C" w:rsidRPr="008D7278" w:rsidRDefault="000A335C" w:rsidP="00762482">
      <w:pPr>
        <w:rPr>
          <w:lang w:val="en-GB"/>
        </w:rPr>
      </w:pPr>
      <w:r w:rsidRPr="008D7278">
        <w:rPr>
          <w:lang w:val="en-GB"/>
        </w:rPr>
        <w:t>Equity financing could dilute the current shareholders ownership, but in the long term is more beneficial in that, there is increased solvency, investor confidence and lesser financial risk. Being associated with a well-known international partner might also enhance corporate governance and the brand image and advance the ethical and sustainability standards of the company.</w:t>
      </w:r>
    </w:p>
    <w:p w14:paraId="7B3ED680" w14:textId="199E7CD2" w:rsidR="00762482" w:rsidRPr="008D7278" w:rsidRDefault="00762482" w:rsidP="00762482">
      <w:pPr>
        <w:rPr>
          <w:lang w:val="en-GB"/>
        </w:rPr>
      </w:pPr>
      <w:r w:rsidRPr="008D7278">
        <w:rPr>
          <w:b/>
          <w:bCs/>
          <w:lang w:val="en-GB"/>
        </w:rPr>
        <w:t>Option 3: Debt Restructuring</w:t>
      </w:r>
    </w:p>
    <w:p w14:paraId="78238ABC" w14:textId="1B23CD46" w:rsidR="000A335C" w:rsidRPr="008D7278" w:rsidRDefault="000A335C" w:rsidP="00762482">
      <w:pPr>
        <w:rPr>
          <w:lang w:val="en-GB"/>
        </w:rPr>
      </w:pPr>
      <w:r w:rsidRPr="008D7278">
        <w:rPr>
          <w:lang w:val="en-GB"/>
        </w:rPr>
        <w:t>Despite average leverage levels, restructuring the debt will be necessary in enhancing stability in the cash flow</w:t>
      </w:r>
      <w:r w:rsidR="0015699A" w:rsidRPr="008D7278">
        <w:rPr>
          <w:lang w:val="en-GB"/>
        </w:rPr>
        <w:t xml:space="preserve"> (DeAngelo et al., 2022)</w:t>
      </w:r>
      <w:r w:rsidRPr="008D7278">
        <w:rPr>
          <w:lang w:val="en-GB"/>
        </w:rPr>
        <w:t xml:space="preserve">. The company needs to revalue the short-term borrowings that include high interest loans to long-term and low-interest debt instruments by refinancing in order to ease the immediate repayment pressure. Bringing lenders to maturity extensions and covenant redraw might provide working capital in terms of operating funds and investment in R&amp;D. </w:t>
      </w:r>
    </w:p>
    <w:p w14:paraId="49C6B038" w14:textId="3C327E49" w:rsidR="000A335C" w:rsidRPr="008D7278" w:rsidRDefault="000A335C" w:rsidP="00762482">
      <w:pPr>
        <w:rPr>
          <w:lang w:val="en-GB"/>
        </w:rPr>
      </w:pPr>
      <w:r w:rsidRPr="008D7278">
        <w:rPr>
          <w:lang w:val="en-GB"/>
        </w:rPr>
        <w:t>Besides this, the consideration of green bonds or sustainability-linked loans would provide the possibility of financing to operate in accordance with environmental and social objectives and to attract ethically oriented investors. This reorganisation would stabilise capital structure and low interest coverage to benefit the liquidity and profitability restoration.</w:t>
      </w:r>
    </w:p>
    <w:p w14:paraId="10A71434" w14:textId="1A97B9FC" w:rsidR="00762482" w:rsidRPr="008D7278" w:rsidRDefault="00762482" w:rsidP="00762482">
      <w:pPr>
        <w:rPr>
          <w:lang w:val="en-GB"/>
        </w:rPr>
      </w:pPr>
      <w:r w:rsidRPr="008D7278">
        <w:rPr>
          <w:b/>
          <w:bCs/>
          <w:lang w:val="en-GB"/>
        </w:rPr>
        <w:t>Option 4: Merger or Strategic Alliance</w:t>
      </w:r>
    </w:p>
    <w:p w14:paraId="75468522" w14:textId="31ADB47B" w:rsidR="000A335C" w:rsidRPr="008D7278" w:rsidRDefault="000A335C" w:rsidP="00762482">
      <w:pPr>
        <w:rPr>
          <w:lang w:val="en-GB"/>
        </w:rPr>
      </w:pPr>
      <w:r w:rsidRPr="008D7278">
        <w:rPr>
          <w:lang w:val="en-GB"/>
        </w:rPr>
        <w:t>An acquisition or joint venture with another international producer of electronics would form a scale effect, joint research, and increased market penetration</w:t>
      </w:r>
      <w:r w:rsidR="0015699A" w:rsidRPr="008D7278">
        <w:rPr>
          <w:lang w:val="en-GB"/>
        </w:rPr>
        <w:t xml:space="preserve"> (Pedada et al., 2021)</w:t>
      </w:r>
      <w:r w:rsidRPr="008D7278">
        <w:rPr>
          <w:lang w:val="en-GB"/>
        </w:rPr>
        <w:t xml:space="preserve">. The company can minimise unit costs with economies of scale and integrated supply chains and increase product innovation. Mergers also allow creation of technology synergies and consolidation of brands, which are very imperative in a competitive industry, with a life cycle of product that is so short. </w:t>
      </w:r>
    </w:p>
    <w:p w14:paraId="586C5CB4" w14:textId="5521304B" w:rsidR="00762482" w:rsidRPr="008D7278" w:rsidRDefault="000A335C" w:rsidP="00762482">
      <w:pPr>
        <w:rPr>
          <w:lang w:val="en-GB"/>
        </w:rPr>
      </w:pPr>
      <w:r w:rsidRPr="008D7278">
        <w:rPr>
          <w:lang w:val="en-GB"/>
        </w:rPr>
        <w:lastRenderedPageBreak/>
        <w:t>Mergers however, involve risks that include cultural mis-fit, costs of integration and even redundancy costs. Consequently, complementary partners of the same vision, high ethics, and compatibility are the key areas of interest when it comes to any merger strategy.</w:t>
      </w:r>
    </w:p>
    <w:p w14:paraId="502D4560" w14:textId="77777777" w:rsidR="00762482" w:rsidRPr="008D7278" w:rsidRDefault="00762482" w:rsidP="000A335C">
      <w:pPr>
        <w:pStyle w:val="Heading2"/>
        <w:rPr>
          <w:lang w:val="en-GB"/>
        </w:rPr>
      </w:pPr>
      <w:bookmarkStart w:id="17" w:name="_Toc213360583"/>
      <w:r w:rsidRPr="008D7278">
        <w:rPr>
          <w:lang w:val="en-GB"/>
        </w:rPr>
        <w:t>3.3 Impact Analysis</w:t>
      </w:r>
      <w:bookmarkEnd w:id="17"/>
    </w:p>
    <w:p w14:paraId="21A97428" w14:textId="672DC759" w:rsidR="00762482" w:rsidRPr="008D7278" w:rsidRDefault="000A335C" w:rsidP="000A335C">
      <w:pPr>
        <w:jc w:val="center"/>
        <w:rPr>
          <w:lang w:val="en-GB"/>
        </w:rPr>
      </w:pPr>
      <w:r w:rsidRPr="008D7278">
        <w:rPr>
          <w:noProof/>
          <w:lang w:val="en-GB"/>
        </w:rPr>
        <w:drawing>
          <wp:inline distT="0" distB="0" distL="0" distR="0" wp14:anchorId="7005B1FE" wp14:editId="1B5D590B">
            <wp:extent cx="5707380" cy="2385060"/>
            <wp:effectExtent l="0" t="0" r="7620" b="0"/>
            <wp:docPr id="321475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7380" cy="2385060"/>
                    </a:xfrm>
                    <a:prstGeom prst="rect">
                      <a:avLst/>
                    </a:prstGeom>
                    <a:noFill/>
                    <a:ln>
                      <a:noFill/>
                    </a:ln>
                  </pic:spPr>
                </pic:pic>
              </a:graphicData>
            </a:graphic>
          </wp:inline>
        </w:drawing>
      </w:r>
    </w:p>
    <w:p w14:paraId="54F782BF" w14:textId="77777777" w:rsidR="000A335C" w:rsidRPr="008D7278" w:rsidRDefault="000A335C" w:rsidP="00762482">
      <w:pPr>
        <w:rPr>
          <w:lang w:val="en-GB"/>
        </w:rPr>
      </w:pPr>
      <w:r w:rsidRPr="008D7278">
        <w:rPr>
          <w:lang w:val="en-GB"/>
        </w:rPr>
        <w:t>All these measures of restructuring would lead to profitability, increase financial stability and help in reinstating investor confidence. Nevertheless, the restructuring programme will only be successful with the help of disciplined implementation and strong risk management.</w:t>
      </w:r>
    </w:p>
    <w:p w14:paraId="7CD9F194" w14:textId="5E614741" w:rsidR="00762482" w:rsidRPr="008D7278" w:rsidRDefault="00762482" w:rsidP="000A335C">
      <w:pPr>
        <w:pStyle w:val="Heading2"/>
        <w:rPr>
          <w:lang w:val="en-GB"/>
        </w:rPr>
      </w:pPr>
      <w:bookmarkStart w:id="18" w:name="_Toc213360584"/>
      <w:r w:rsidRPr="008D7278">
        <w:rPr>
          <w:lang w:val="en-GB"/>
        </w:rPr>
        <w:t>3.4 International and Ethical Considerations</w:t>
      </w:r>
      <w:bookmarkEnd w:id="18"/>
    </w:p>
    <w:p w14:paraId="263A1B68" w14:textId="77777777" w:rsidR="000A335C" w:rsidRPr="008D7278" w:rsidRDefault="000A335C" w:rsidP="000A335C">
      <w:pPr>
        <w:rPr>
          <w:b/>
          <w:bCs/>
          <w:lang w:val="en-GB"/>
        </w:rPr>
      </w:pPr>
      <w:r w:rsidRPr="008D7278">
        <w:rPr>
          <w:b/>
          <w:bCs/>
          <w:lang w:val="en-GB"/>
        </w:rPr>
        <w:t>Taxation and Cross-Border Structure</w:t>
      </w:r>
    </w:p>
    <w:p w14:paraId="31534EBA" w14:textId="68CFE732" w:rsidR="000A335C" w:rsidRPr="008D7278" w:rsidRDefault="000A335C" w:rsidP="000A335C">
      <w:pPr>
        <w:rPr>
          <w:lang w:val="en-GB"/>
        </w:rPr>
      </w:pPr>
      <w:r w:rsidRPr="008D7278">
        <w:rPr>
          <w:lang w:val="en-GB"/>
        </w:rPr>
        <w:t>Due to the global presence of General Electronics, it is important to make the tax structure as efficient as possible. Transfer pricing efficiency and regional tax in manufacturing hubs should be utilised by the company keeping in mind the OECD guidelines</w:t>
      </w:r>
      <w:r w:rsidR="0015699A" w:rsidRPr="008D7278">
        <w:rPr>
          <w:lang w:val="en-GB"/>
        </w:rPr>
        <w:t xml:space="preserve"> (Korol, 2022)</w:t>
      </w:r>
      <w:r w:rsidRPr="008D7278">
        <w:rPr>
          <w:lang w:val="en-GB"/>
        </w:rPr>
        <w:t>. Any form of restructuring with relation to asset transfers or inflow of equity has to take into account the international taxation to prevent any form of being taxed twice and ensuring cash flow efficiency.</w:t>
      </w:r>
    </w:p>
    <w:p w14:paraId="39FD1CE5" w14:textId="477D69DE" w:rsidR="000A335C" w:rsidRPr="008D7278" w:rsidRDefault="000A335C" w:rsidP="000A335C">
      <w:pPr>
        <w:rPr>
          <w:b/>
          <w:bCs/>
          <w:lang w:val="en-GB"/>
        </w:rPr>
      </w:pPr>
      <w:r w:rsidRPr="008D7278">
        <w:rPr>
          <w:b/>
          <w:bCs/>
          <w:lang w:val="en-GB"/>
        </w:rPr>
        <w:t>Currency and Inflation Risk Management</w:t>
      </w:r>
    </w:p>
    <w:p w14:paraId="686DDDED" w14:textId="67D36F66" w:rsidR="000A335C" w:rsidRPr="008D7278" w:rsidRDefault="000A335C" w:rsidP="000A335C">
      <w:pPr>
        <w:rPr>
          <w:lang w:val="en-GB"/>
        </w:rPr>
      </w:pPr>
      <w:r w:rsidRPr="008D7278">
        <w:rPr>
          <w:lang w:val="en-GB"/>
        </w:rPr>
        <w:t xml:space="preserve">Since the operations have a number of different currencies there is a material risk to profitability as a result of exchange rate volatility. Translation and transaction exposure could be reduced by the use of the hedging instruments including forwards, options, or swaps. Meanwhile, pricing policies are to be revised on a regular basis to cover inflation tendencies and retain profitability. </w:t>
      </w:r>
    </w:p>
    <w:p w14:paraId="420B6155" w14:textId="5786C62F" w:rsidR="000A335C" w:rsidRPr="008D7278" w:rsidRDefault="000A335C" w:rsidP="000A335C">
      <w:pPr>
        <w:rPr>
          <w:b/>
          <w:bCs/>
          <w:lang w:val="en-GB"/>
        </w:rPr>
      </w:pPr>
      <w:r w:rsidRPr="008D7278">
        <w:rPr>
          <w:b/>
          <w:bCs/>
          <w:lang w:val="en-GB"/>
        </w:rPr>
        <w:lastRenderedPageBreak/>
        <w:t>Corporate Social Responsibility (CSR) and Ethics</w:t>
      </w:r>
    </w:p>
    <w:p w14:paraId="3CD238A2" w14:textId="71CCBB2A" w:rsidR="000A335C" w:rsidRPr="008D7278" w:rsidRDefault="000A335C" w:rsidP="00762482">
      <w:pPr>
        <w:rPr>
          <w:lang w:val="en-GB"/>
        </w:rPr>
      </w:pPr>
      <w:r w:rsidRPr="008D7278">
        <w:rPr>
          <w:lang w:val="en-GB"/>
        </w:rPr>
        <w:t>Ethics and sustainable business practises have to be in line with financial recovery. The change of the structure should not be at the expense of the welfare of the employees or the environmental obligation. The corporate ought to focus on fair labour practise, ethical sources and Carbon-neutral production. By taking part in the reporting of sustainability through environmental reporting structures like the GRI or the SASB, the company will also improve on the transparency and appeal to investors with specific interests in ESG</w:t>
      </w:r>
      <w:r w:rsidR="0015699A" w:rsidRPr="008D7278">
        <w:rPr>
          <w:lang w:val="en-GB"/>
        </w:rPr>
        <w:t xml:space="preserve"> (Agbakwuru et al., 2024)</w:t>
      </w:r>
      <w:r w:rsidRPr="008D7278">
        <w:rPr>
          <w:lang w:val="en-GB"/>
        </w:rPr>
        <w:t xml:space="preserve">. </w:t>
      </w:r>
    </w:p>
    <w:p w14:paraId="7D255AD4" w14:textId="5F7B5E7B" w:rsidR="00762482" w:rsidRPr="008D7278" w:rsidRDefault="000A335C" w:rsidP="00762482">
      <w:pPr>
        <w:rPr>
          <w:lang w:val="en-GB"/>
        </w:rPr>
      </w:pPr>
      <w:r w:rsidRPr="008D7278">
        <w:rPr>
          <w:b/>
          <w:bCs/>
          <w:lang w:val="en-GB"/>
        </w:rPr>
        <w:t>Overall</w:t>
      </w:r>
      <w:r w:rsidR="00762482" w:rsidRPr="008D7278">
        <w:rPr>
          <w:b/>
          <w:bCs/>
          <w:lang w:val="en-GB"/>
        </w:rPr>
        <w:t>:</w:t>
      </w:r>
    </w:p>
    <w:p w14:paraId="0C83B431" w14:textId="785EE944" w:rsidR="000A335C" w:rsidRPr="008D7278" w:rsidRDefault="000A335C" w:rsidP="000A335C">
      <w:pPr>
        <w:rPr>
          <w:lang w:val="en-GB"/>
        </w:rPr>
      </w:pPr>
      <w:r w:rsidRPr="008D7278">
        <w:rPr>
          <w:lang w:val="en-GB"/>
        </w:rPr>
        <w:t xml:space="preserve">Based on current analysis, the optimal strategy involves a </w:t>
      </w:r>
      <w:r w:rsidRPr="008D7278">
        <w:rPr>
          <w:b/>
          <w:bCs/>
          <w:lang w:val="en-GB"/>
        </w:rPr>
        <w:t>balanced combination of asset divestiture, equity infusion, and debt refinancing</w:t>
      </w:r>
      <w:r w:rsidRPr="008D7278">
        <w:rPr>
          <w:lang w:val="en-GB"/>
        </w:rPr>
        <w:t>:</w:t>
      </w:r>
    </w:p>
    <w:p w14:paraId="33A46F81" w14:textId="77777777" w:rsidR="000A335C" w:rsidRPr="008D7278" w:rsidRDefault="000A335C" w:rsidP="000A335C">
      <w:pPr>
        <w:numPr>
          <w:ilvl w:val="0"/>
          <w:numId w:val="43"/>
        </w:numPr>
        <w:rPr>
          <w:lang w:val="en-GB"/>
        </w:rPr>
      </w:pPr>
      <w:r w:rsidRPr="008D7278">
        <w:rPr>
          <w:b/>
          <w:bCs/>
          <w:lang w:val="en-GB"/>
        </w:rPr>
        <w:t>Divestiture</w:t>
      </w:r>
      <w:r w:rsidRPr="008D7278">
        <w:rPr>
          <w:lang w:val="en-GB"/>
        </w:rPr>
        <w:t xml:space="preserve"> will unlock immediate liquidity and reduce cost inefficiencies.</w:t>
      </w:r>
    </w:p>
    <w:p w14:paraId="46566814" w14:textId="77777777" w:rsidR="000A335C" w:rsidRPr="008D7278" w:rsidRDefault="000A335C" w:rsidP="000A335C">
      <w:pPr>
        <w:numPr>
          <w:ilvl w:val="0"/>
          <w:numId w:val="43"/>
        </w:numPr>
        <w:rPr>
          <w:lang w:val="en-GB"/>
        </w:rPr>
      </w:pPr>
      <w:r w:rsidRPr="008D7278">
        <w:rPr>
          <w:b/>
          <w:bCs/>
          <w:lang w:val="en-GB"/>
        </w:rPr>
        <w:t>Equity injection or strategic partnerships</w:t>
      </w:r>
      <w:r w:rsidRPr="008D7278">
        <w:rPr>
          <w:lang w:val="en-GB"/>
        </w:rPr>
        <w:t xml:space="preserve"> will rebuild the capital base, enable technology sharing, and expand market presence.</w:t>
      </w:r>
    </w:p>
    <w:p w14:paraId="7BE3944A" w14:textId="77777777" w:rsidR="000A335C" w:rsidRPr="008D7278" w:rsidRDefault="000A335C" w:rsidP="000A335C">
      <w:pPr>
        <w:numPr>
          <w:ilvl w:val="0"/>
          <w:numId w:val="43"/>
        </w:numPr>
        <w:rPr>
          <w:lang w:val="en-GB"/>
        </w:rPr>
      </w:pPr>
      <w:r w:rsidRPr="008D7278">
        <w:rPr>
          <w:b/>
          <w:bCs/>
          <w:lang w:val="en-GB"/>
        </w:rPr>
        <w:t>Debt restructuring</w:t>
      </w:r>
      <w:r w:rsidRPr="008D7278">
        <w:rPr>
          <w:lang w:val="en-GB"/>
        </w:rPr>
        <w:t xml:space="preserve"> will ease short-term pressure and improve long-term solvency.</w:t>
      </w:r>
    </w:p>
    <w:p w14:paraId="3AC0252C" w14:textId="77777777" w:rsidR="00FB7D69" w:rsidRPr="008D7278" w:rsidRDefault="00FB7D69" w:rsidP="00762482">
      <w:pPr>
        <w:rPr>
          <w:lang w:val="en-GB"/>
        </w:rPr>
      </w:pPr>
      <w:r w:rsidRPr="008D7278">
        <w:rPr>
          <w:lang w:val="en-GB"/>
        </w:rPr>
        <w:t>The overall effect of these measures will be a boost in liquidity, lessening of financial risk and a recovery of the shareholder value. With restructuring implemented in a model of a worldwide ethics culture that focuses on the sustainability, transparency and novelty, General Electronics will have a sustainable turn around and manage to restore itself as a competitive, stable global player within the consumer electronics sector.</w:t>
      </w:r>
    </w:p>
    <w:p w14:paraId="6004C176" w14:textId="6FB19697" w:rsidR="00762482" w:rsidRPr="008D7278" w:rsidRDefault="00762482" w:rsidP="0015699A">
      <w:pPr>
        <w:pStyle w:val="Heading1"/>
        <w:rPr>
          <w:lang w:val="en-GB"/>
        </w:rPr>
      </w:pPr>
      <w:bookmarkStart w:id="19" w:name="_Toc213360585"/>
      <w:r w:rsidRPr="008D7278">
        <w:rPr>
          <w:lang w:val="en-GB"/>
        </w:rPr>
        <w:t>4. Investment Appraisal and Capital Budgeting</w:t>
      </w:r>
      <w:bookmarkEnd w:id="19"/>
    </w:p>
    <w:p w14:paraId="317EB657" w14:textId="49C7F409" w:rsidR="00762482" w:rsidRPr="008D7278" w:rsidRDefault="00762482" w:rsidP="00FB7D69">
      <w:pPr>
        <w:pStyle w:val="Heading2"/>
        <w:rPr>
          <w:lang w:val="en-GB"/>
        </w:rPr>
      </w:pPr>
      <w:bookmarkStart w:id="20" w:name="_Toc213360586"/>
      <w:r w:rsidRPr="008D7278">
        <w:rPr>
          <w:lang w:val="en-GB"/>
        </w:rPr>
        <w:t>4.1 Introduction to Proposed Projects</w:t>
      </w:r>
      <w:bookmarkEnd w:id="20"/>
    </w:p>
    <w:p w14:paraId="39F13C16" w14:textId="4581BB46" w:rsidR="00FB7D69" w:rsidRPr="008D7278" w:rsidRDefault="00FB7D69" w:rsidP="00762482">
      <w:pPr>
        <w:rPr>
          <w:lang w:val="en-GB"/>
        </w:rPr>
      </w:pPr>
      <w:r w:rsidRPr="008D7278">
        <w:rPr>
          <w:lang w:val="en-GB"/>
        </w:rPr>
        <w:t xml:space="preserve">General Electronics is considering three possible investment projects; project A, project B and project C to determine the most viable opportunity in terms of financial viability within the capital constraint of £60 million. Every project is associated with varying degree of risk, cost, and the predicted cash inflows. Project A needs initial investment of only </w:t>
      </w:r>
      <w:r w:rsidR="00C23C69" w:rsidRPr="008D7278">
        <w:rPr>
          <w:lang w:val="en-GB"/>
        </w:rPr>
        <w:t>£</w:t>
      </w:r>
      <w:r w:rsidRPr="008D7278">
        <w:rPr>
          <w:lang w:val="en-GB"/>
        </w:rPr>
        <w:t xml:space="preserve">40 million where its cash inflows are </w:t>
      </w:r>
      <w:r w:rsidR="00C23C69" w:rsidRPr="008D7278">
        <w:rPr>
          <w:lang w:val="en-GB"/>
        </w:rPr>
        <w:t>£</w:t>
      </w:r>
      <w:r w:rsidRPr="008D7278">
        <w:rPr>
          <w:lang w:val="en-GB"/>
        </w:rPr>
        <w:t xml:space="preserve">10-14 million/ year; Project B needs </w:t>
      </w:r>
      <w:r w:rsidR="00C23C69" w:rsidRPr="008D7278">
        <w:rPr>
          <w:lang w:val="en-GB"/>
        </w:rPr>
        <w:t>£</w:t>
      </w:r>
      <w:r w:rsidRPr="008D7278">
        <w:rPr>
          <w:lang w:val="en-GB"/>
        </w:rPr>
        <w:t xml:space="preserve">30 million and the inflows are </w:t>
      </w:r>
      <w:r w:rsidR="00C23C69" w:rsidRPr="008D7278">
        <w:rPr>
          <w:lang w:val="en-GB"/>
        </w:rPr>
        <w:t>£</w:t>
      </w:r>
      <w:r w:rsidRPr="008D7278">
        <w:rPr>
          <w:lang w:val="en-GB"/>
        </w:rPr>
        <w:t xml:space="preserve">6 million/ year and Project C needs </w:t>
      </w:r>
      <w:r w:rsidR="00C23C69" w:rsidRPr="008D7278">
        <w:rPr>
          <w:lang w:val="en-GB"/>
        </w:rPr>
        <w:t>£</w:t>
      </w:r>
      <w:r w:rsidRPr="008D7278">
        <w:rPr>
          <w:lang w:val="en-GB"/>
        </w:rPr>
        <w:t xml:space="preserve">50 million and the inflows are growing gradually between </w:t>
      </w:r>
      <w:r w:rsidR="00C23C69" w:rsidRPr="008D7278">
        <w:rPr>
          <w:lang w:val="en-GB"/>
        </w:rPr>
        <w:lastRenderedPageBreak/>
        <w:t>£</w:t>
      </w:r>
      <w:r w:rsidRPr="008D7278">
        <w:rPr>
          <w:lang w:val="en-GB"/>
        </w:rPr>
        <w:t xml:space="preserve">5 million and </w:t>
      </w:r>
      <w:r w:rsidR="00C23C69" w:rsidRPr="008D7278">
        <w:rPr>
          <w:lang w:val="en-GB"/>
        </w:rPr>
        <w:t>£</w:t>
      </w:r>
      <w:r w:rsidRPr="008D7278">
        <w:rPr>
          <w:lang w:val="en-GB"/>
        </w:rPr>
        <w:t>25 million. Each project is determined to be feasible using PBP, ARR, NPV, PI and IRR with a discount rate of 10</w:t>
      </w:r>
      <w:r w:rsidR="00C23C69" w:rsidRPr="008D7278">
        <w:rPr>
          <w:lang w:val="en-GB"/>
        </w:rPr>
        <w:t>%</w:t>
      </w:r>
      <w:r w:rsidRPr="008D7278">
        <w:rPr>
          <w:lang w:val="en-GB"/>
        </w:rPr>
        <w:t>.</w:t>
      </w:r>
    </w:p>
    <w:p w14:paraId="46002E89" w14:textId="69864E6B" w:rsidR="00762482" w:rsidRPr="008D7278" w:rsidRDefault="00762482" w:rsidP="00C23C69">
      <w:pPr>
        <w:pStyle w:val="Heading2"/>
        <w:rPr>
          <w:lang w:val="en-GB"/>
        </w:rPr>
      </w:pPr>
      <w:bookmarkStart w:id="21" w:name="_Toc213360587"/>
      <w:r w:rsidRPr="008D7278">
        <w:rPr>
          <w:lang w:val="en-GB"/>
        </w:rPr>
        <w:t>4.2 Computation of Appraisal Methods</w:t>
      </w:r>
      <w:bookmarkEnd w:id="21"/>
    </w:p>
    <w:p w14:paraId="7F806E41" w14:textId="77777777" w:rsidR="00FB7D69" w:rsidRPr="008D7278" w:rsidRDefault="00FB7D69" w:rsidP="00FB7D69">
      <w:pPr>
        <w:rPr>
          <w:lang w:val="en-GB"/>
        </w:rPr>
      </w:pPr>
      <w:r w:rsidRPr="008D7278">
        <w:rPr>
          <w:lang w:val="en-GB"/>
        </w:rPr>
        <w:t>The investment evaluation employs multiple appraisal techniques to assess profitability and risk.</w:t>
      </w:r>
    </w:p>
    <w:p w14:paraId="7D12A952" w14:textId="77777777" w:rsidR="00FB7D69" w:rsidRPr="008D7278" w:rsidRDefault="00FB7D69" w:rsidP="00FB7D69">
      <w:pPr>
        <w:numPr>
          <w:ilvl w:val="0"/>
          <w:numId w:val="44"/>
        </w:numPr>
        <w:rPr>
          <w:lang w:val="en-GB"/>
        </w:rPr>
      </w:pPr>
      <w:r w:rsidRPr="008D7278">
        <w:rPr>
          <w:b/>
          <w:bCs/>
          <w:lang w:val="en-GB"/>
        </w:rPr>
        <w:t>Payback Period (PBP):</w:t>
      </w:r>
      <w:r w:rsidRPr="008D7278">
        <w:rPr>
          <w:lang w:val="en-GB"/>
        </w:rPr>
        <w:t xml:space="preserve"> Measures how quickly the initial investment is recovered from net cash inflows.</w:t>
      </w:r>
    </w:p>
    <w:p w14:paraId="4FF6BCC7" w14:textId="77777777" w:rsidR="00FB7D69" w:rsidRPr="008D7278" w:rsidRDefault="00FB7D69" w:rsidP="00FB7D69">
      <w:pPr>
        <w:numPr>
          <w:ilvl w:val="0"/>
          <w:numId w:val="44"/>
        </w:numPr>
        <w:rPr>
          <w:lang w:val="en-GB"/>
        </w:rPr>
      </w:pPr>
      <w:r w:rsidRPr="008D7278">
        <w:rPr>
          <w:b/>
          <w:bCs/>
          <w:lang w:val="en-GB"/>
        </w:rPr>
        <w:t>Accounting Rate of Return (ARR):</w:t>
      </w:r>
      <w:r w:rsidRPr="008D7278">
        <w:rPr>
          <w:lang w:val="en-GB"/>
        </w:rPr>
        <w:t xml:space="preserve"> Calculates profitability based on accounting profits after depreciation.</w:t>
      </w:r>
    </w:p>
    <w:p w14:paraId="47B50039" w14:textId="77777777" w:rsidR="00FB7D69" w:rsidRPr="008D7278" w:rsidRDefault="00FB7D69" w:rsidP="00FB7D69">
      <w:pPr>
        <w:numPr>
          <w:ilvl w:val="0"/>
          <w:numId w:val="44"/>
        </w:numPr>
        <w:rPr>
          <w:lang w:val="en-GB"/>
        </w:rPr>
      </w:pPr>
      <w:r w:rsidRPr="008D7278">
        <w:rPr>
          <w:b/>
          <w:bCs/>
          <w:lang w:val="en-GB"/>
        </w:rPr>
        <w:t>Net Present Value (NPV):</w:t>
      </w:r>
      <w:r w:rsidRPr="008D7278">
        <w:rPr>
          <w:lang w:val="en-GB"/>
        </w:rPr>
        <w:t xml:space="preserve"> Discounts all future cash inflows at the 10% cost of capital to determine value creation.</w:t>
      </w:r>
    </w:p>
    <w:p w14:paraId="05D6740F" w14:textId="77777777" w:rsidR="00FB7D69" w:rsidRPr="008D7278" w:rsidRDefault="00FB7D69" w:rsidP="00FB7D69">
      <w:pPr>
        <w:numPr>
          <w:ilvl w:val="0"/>
          <w:numId w:val="44"/>
        </w:numPr>
        <w:rPr>
          <w:lang w:val="en-GB"/>
        </w:rPr>
      </w:pPr>
      <w:r w:rsidRPr="008D7278">
        <w:rPr>
          <w:b/>
          <w:bCs/>
          <w:lang w:val="en-GB"/>
        </w:rPr>
        <w:t>Profitability Index (PI):</w:t>
      </w:r>
      <w:r w:rsidRPr="008D7278">
        <w:rPr>
          <w:lang w:val="en-GB"/>
        </w:rPr>
        <w:t xml:space="preserve"> Expresses the ratio of present value of inflows to initial investment, showing relative profitability.</w:t>
      </w:r>
    </w:p>
    <w:p w14:paraId="5E9CD5B5" w14:textId="26008403" w:rsidR="00762482" w:rsidRPr="008D7278" w:rsidRDefault="00FB7D69" w:rsidP="00762482">
      <w:pPr>
        <w:numPr>
          <w:ilvl w:val="0"/>
          <w:numId w:val="44"/>
        </w:numPr>
        <w:rPr>
          <w:lang w:val="en-GB"/>
        </w:rPr>
      </w:pPr>
      <w:r w:rsidRPr="008D7278">
        <w:rPr>
          <w:b/>
          <w:bCs/>
          <w:lang w:val="en-GB"/>
        </w:rPr>
        <w:t>Internal Rate of Return (IRR):</w:t>
      </w:r>
      <w:r w:rsidRPr="008D7278">
        <w:rPr>
          <w:lang w:val="en-GB"/>
        </w:rPr>
        <w:t xml:space="preserve"> Identifies the discount rate at which NPV equals zero, indicating the project’s intrinsic rate of return</w:t>
      </w:r>
      <w:r w:rsidR="0015699A" w:rsidRPr="008D7278">
        <w:rPr>
          <w:lang w:val="en-GB"/>
        </w:rPr>
        <w:t xml:space="preserve"> (Sinaga et al., 2023)</w:t>
      </w:r>
      <w:r w:rsidRPr="008D7278">
        <w:rPr>
          <w:lang w:val="en-GB"/>
        </w:rPr>
        <w:t>.</w:t>
      </w:r>
    </w:p>
    <w:p w14:paraId="41BF775E" w14:textId="02E0088A" w:rsidR="00762482" w:rsidRPr="008D7278" w:rsidRDefault="00762482" w:rsidP="00C23C69">
      <w:pPr>
        <w:pStyle w:val="Heading2"/>
        <w:rPr>
          <w:lang w:val="en-GB"/>
        </w:rPr>
      </w:pPr>
      <w:bookmarkStart w:id="22" w:name="_Toc213360588"/>
      <w:r w:rsidRPr="008D7278">
        <w:rPr>
          <w:lang w:val="en-GB"/>
        </w:rPr>
        <w:t>4.3 Comparison and Ranking</w:t>
      </w:r>
      <w:bookmarkEnd w:id="22"/>
    </w:p>
    <w:p w14:paraId="1D11B40E" w14:textId="77777777" w:rsidR="00C23C69" w:rsidRPr="008D7278" w:rsidRDefault="00C23C69" w:rsidP="00C23C69">
      <w:pPr>
        <w:rPr>
          <w:lang w:val="en-GB"/>
        </w:rPr>
      </w:pPr>
      <w:r w:rsidRPr="008D7278">
        <w:rPr>
          <w:lang w:val="en-GB"/>
        </w:rPr>
        <w:t>The relative study of the three investment projects gives a vivid insight of the financial performance and risk-return profile of the projects in comparison.</w:t>
      </w:r>
    </w:p>
    <w:p w14:paraId="23AB0E59" w14:textId="7737F2CE" w:rsidR="0015699A" w:rsidRPr="008D7278" w:rsidRDefault="0015699A" w:rsidP="0015699A">
      <w:pPr>
        <w:jc w:val="center"/>
        <w:rPr>
          <w:lang w:val="en-GB"/>
        </w:rPr>
      </w:pPr>
      <w:r w:rsidRPr="008D7278">
        <w:rPr>
          <w:noProof/>
          <w:lang w:val="en-GB"/>
        </w:rPr>
        <w:drawing>
          <wp:inline distT="0" distB="0" distL="0" distR="0" wp14:anchorId="1C3F96DE" wp14:editId="6A067DF2">
            <wp:extent cx="5731510" cy="948055"/>
            <wp:effectExtent l="19050" t="19050" r="21590" b="23495"/>
            <wp:docPr id="2858055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948055"/>
                    </a:xfrm>
                    <a:prstGeom prst="rect">
                      <a:avLst/>
                    </a:prstGeom>
                    <a:noFill/>
                    <a:ln>
                      <a:solidFill>
                        <a:schemeClr val="tx1"/>
                      </a:solidFill>
                    </a:ln>
                  </pic:spPr>
                </pic:pic>
              </a:graphicData>
            </a:graphic>
          </wp:inline>
        </w:drawing>
      </w:r>
    </w:p>
    <w:p w14:paraId="4B35464A" w14:textId="23CB731A" w:rsidR="00C23C69" w:rsidRPr="008D7278" w:rsidRDefault="00C23C69" w:rsidP="00C23C69">
      <w:pPr>
        <w:rPr>
          <w:lang w:val="en-GB"/>
        </w:rPr>
      </w:pPr>
      <w:r w:rsidRPr="008D7278">
        <w:rPr>
          <w:lang w:val="en-GB"/>
        </w:rPr>
        <w:t xml:space="preserve">Project A is a moderate financial attractive one with the Net Present Value (NPV) of 1.32 million pounds and the Profitability Index (PI) of 1.03 which showed a slight value creation over its initial investment. Payback Period (3 years 4.8 months) indicates a rather quick payment off capital, which is attractive in terms of time (shorter-term liquidity goals). Its Accounting Rate of Return (7%) though a good figure is lower than the company target rate of return and is close to the cost of capital. Likewise, the Internal Rate of Return (11.33%) provides a weak premium on the 10% discount rate, which means that it is not tolerant to unanticipated cost changes or unanticipated cash flow delays. On the whole, Project A is seen </w:t>
      </w:r>
      <w:r w:rsidRPr="008D7278">
        <w:rPr>
          <w:lang w:val="en-GB"/>
        </w:rPr>
        <w:lastRenderedPageBreak/>
        <w:t>to be not very risky and dangerous and can be seen as growing/replacement investment, but not as value-altering shareholder value.</w:t>
      </w:r>
    </w:p>
    <w:p w14:paraId="5F4A8937" w14:textId="6037B9AE" w:rsidR="00C23C69" w:rsidRPr="008D7278" w:rsidRDefault="00C23C69" w:rsidP="00C23C69">
      <w:pPr>
        <w:rPr>
          <w:lang w:val="en-GB"/>
        </w:rPr>
      </w:pPr>
      <w:r w:rsidRPr="008D7278">
        <w:rPr>
          <w:lang w:val="en-GB"/>
        </w:rPr>
        <w:t>Project B is not financially feasible in all its appraisal requirements. Having an NPV of -£7.26 million, PI of 0.76 and ARR and IRR of zero, this project would kill shareholder value. Its five-year cash break-even is the worst of the three, as it does not have a liquidity benefit and it has a low cash flow efficiency. Its poor prospects of profitability are further shown by the fact that it does not record any accounting profit after the depreciation. The consistent yet inadequate inflows at project B imply low risk and none reward hence not suitable in a company that is recovering economically. The introduction of such a project would increase the pressure of liquidity and taking funds away on more lucrative projects. One should therefore reject it out and out.</w:t>
      </w:r>
    </w:p>
    <w:p w14:paraId="29878FD6" w14:textId="77777777" w:rsidR="00C23C69" w:rsidRPr="008D7278" w:rsidRDefault="00C23C69" w:rsidP="00C23C69">
      <w:pPr>
        <w:rPr>
          <w:lang w:val="en-GB"/>
        </w:rPr>
      </w:pPr>
      <w:r w:rsidRPr="008D7278">
        <w:rPr>
          <w:lang w:val="en-GB"/>
        </w:rPr>
        <w:t>Project C is the most financially sound and strategically advantageous alternative. It has the best NPV (£4.23 million), indicating a great value addition, and PI of 1.08, indicating high levels of relative profitability. Its IRR of 12.72 is way over the cost of capital of the firm and serves as a good buffer to decline in case of risk. The payback period (3 years 9 months) is slightly higher than that of the Project A, but the healthiness of this trade-off is the higher profitability and the chance to grow. In addition to this, it has a high ARR of 10% which signifies good performance across its accounting that is not affected by depreciation even further enhancing the fact that increases its desirability in creating sustainable value.</w:t>
      </w:r>
    </w:p>
    <w:p w14:paraId="50A5BE36" w14:textId="77777777" w:rsidR="00C23C69" w:rsidRPr="008D7278" w:rsidRDefault="00C23C69" w:rsidP="00C23C69">
      <w:pPr>
        <w:rPr>
          <w:lang w:val="en-GB"/>
        </w:rPr>
      </w:pPr>
      <w:r w:rsidRPr="008D7278">
        <w:rPr>
          <w:lang w:val="en-GB"/>
        </w:rPr>
        <w:t>At strategic level, Project C would best suit the turnaround targets of the company. It has a stable increase in cash genres that ease the pressure on liquidity at the earliest stage and ensure profitability in the long run. This growth momentum will contribute to recovery objectives of the firm via augmentation of its returns on assets (ROA), operational effectiveness, and restoration of shareholders confidence.</w:t>
      </w:r>
    </w:p>
    <w:p w14:paraId="5F56A4EA" w14:textId="77777777" w:rsidR="00C23C69" w:rsidRPr="008D7278" w:rsidRDefault="00C23C69" w:rsidP="00C23C69">
      <w:pPr>
        <w:rPr>
          <w:lang w:val="en-GB"/>
        </w:rPr>
      </w:pPr>
      <w:r w:rsidRPr="008D7278">
        <w:rPr>
          <w:lang w:val="en-GB"/>
        </w:rPr>
        <w:t>To contrast this, Project A can be chosen as a complementary secondary investment under capital rationing circumstances yet Project C is an evident preference. Project B is a project that should be excluded because it has negative NPV, and also because it possesses stagnant cash flows.</w:t>
      </w:r>
    </w:p>
    <w:p w14:paraId="50A72F04" w14:textId="5A946CFB" w:rsidR="00762482" w:rsidRPr="008D7278" w:rsidRDefault="00762482" w:rsidP="00C23C69">
      <w:pPr>
        <w:pStyle w:val="Heading2"/>
        <w:rPr>
          <w:lang w:val="en-GB"/>
        </w:rPr>
      </w:pPr>
      <w:bookmarkStart w:id="23" w:name="_Toc213360589"/>
      <w:r w:rsidRPr="008D7278">
        <w:rPr>
          <w:lang w:val="en-GB"/>
        </w:rPr>
        <w:t>4.4 Investment Recommendation (Capital Rationing £60m)</w:t>
      </w:r>
      <w:bookmarkEnd w:id="23"/>
    </w:p>
    <w:p w14:paraId="1E25C299" w14:textId="77777777" w:rsidR="00C23C69" w:rsidRPr="008D7278" w:rsidRDefault="00C23C69" w:rsidP="00C23C69">
      <w:pPr>
        <w:rPr>
          <w:lang w:val="en-GB"/>
        </w:rPr>
      </w:pPr>
      <w:r w:rsidRPr="008D7278">
        <w:rPr>
          <w:lang w:val="en-GB"/>
        </w:rPr>
        <w:t xml:space="preserve">Within the confines of the present capitals of succeeding at 60 million, General Electronics needs to choose a project that will create more overall value whilst being liquid and minimising </w:t>
      </w:r>
      <w:r w:rsidRPr="008D7278">
        <w:rPr>
          <w:lang w:val="en-GB"/>
        </w:rPr>
        <w:lastRenderedPageBreak/>
        <w:t>its risk. According to financial measures, the Project C (NPV £4.23m, PI 1.08, IRR 12.72%) is the most profitable and profitable project in long-run. But, its original investment (£50 million) restricts the diversification of portfolio. Project A (NPV £1.32m, PI 1.03, IRR 11.33) on the other hand has average returns, lower risk and shorter payback period.</w:t>
      </w:r>
    </w:p>
    <w:p w14:paraId="29A71C7C" w14:textId="77777777" w:rsidR="00C23C69" w:rsidRPr="008D7278" w:rsidRDefault="00C23C69" w:rsidP="00C23C69">
      <w:pPr>
        <w:rPr>
          <w:lang w:val="en-GB"/>
        </w:rPr>
      </w:pPr>
      <w:r w:rsidRPr="008D7278">
        <w:rPr>
          <w:lang w:val="en-GB"/>
        </w:rPr>
        <w:t>Under these circumstances, the best investment move would be to invest Project C as the main investment as it has better NPV, and it is in line with the company goals of turnaround. The remaining 10 million may be held back to boost liquidity or finance some complements in the processes. Otherwise, in case management wishes to diversify the risks, Projects A and B rolled (£70 million) are over the limit, although it might be possible to invest in A partially with the scope being reduced.</w:t>
      </w:r>
    </w:p>
    <w:p w14:paraId="739B6EBE" w14:textId="77777777" w:rsidR="00C23C69" w:rsidRPr="008D7278" w:rsidRDefault="00C23C69" w:rsidP="00C23C69">
      <w:pPr>
        <w:rPr>
          <w:lang w:val="en-GB"/>
        </w:rPr>
      </w:pPr>
      <w:r w:rsidRPr="008D7278">
        <w:rPr>
          <w:lang w:val="en-GB"/>
        </w:rPr>
        <w:t>Finally, Project C is the choice according to capital rationing. It reduces the risk that can be managed, raises the profitability and growth in a strategic way which aids in retrieving General Electronics and putting the firm in a sound standing of maintaining improvement in its performance.</w:t>
      </w:r>
    </w:p>
    <w:p w14:paraId="0C960D7B" w14:textId="322BCDFF" w:rsidR="00C23C69" w:rsidRPr="008D7278" w:rsidRDefault="00C23C69" w:rsidP="00C23C69">
      <w:pPr>
        <w:pStyle w:val="Heading2"/>
        <w:rPr>
          <w:lang w:val="en-GB"/>
        </w:rPr>
      </w:pPr>
      <w:bookmarkStart w:id="24" w:name="_Toc213360590"/>
      <w:r w:rsidRPr="008D7278">
        <w:rPr>
          <w:lang w:val="en-GB"/>
        </w:rPr>
        <w:t>4.5 Risk Analysis</w:t>
      </w:r>
      <w:bookmarkEnd w:id="24"/>
    </w:p>
    <w:p w14:paraId="2CC0A0F1" w14:textId="11414DE7" w:rsidR="00C23C69" w:rsidRPr="008D7278" w:rsidRDefault="00C23C69" w:rsidP="00C23C69">
      <w:pPr>
        <w:rPr>
          <w:lang w:val="en-GB"/>
        </w:rPr>
      </w:pPr>
      <w:r w:rsidRPr="008D7278">
        <w:rPr>
          <w:lang w:val="en-GB"/>
        </w:rPr>
        <w:t>In an attempt to measure the robustness of the project, sensitivity tests were performed on cash flow changes and discount rate. By setting the discount rate to 12%, the NPV of Project C decreases to about 2.8m whereas setting it to 8% increases NPV to about 5.9m. This shows that it is moderately sensitive to change in the cost of capital but generally resilient. In the case of Project A, the variation induces a less significant effect, whereby NPV is between £0.6m and 2.1m. On the other hand, Project B is not viable in any case and negative NPV at less discounted rates.</w:t>
      </w:r>
    </w:p>
    <w:p w14:paraId="76622731" w14:textId="099F3139" w:rsidR="00C23C69" w:rsidRPr="008D7278" w:rsidRDefault="00C23C69" w:rsidP="00C23C69">
      <w:pPr>
        <w:rPr>
          <w:lang w:val="en-GB"/>
        </w:rPr>
      </w:pPr>
      <w:r w:rsidRPr="008D7278">
        <w:rPr>
          <w:lang w:val="en-GB"/>
        </w:rPr>
        <w:t>When cash flow is varied by a -10% and a +10% sensitivity test, Project C will have a positive NPV unless inflows are reduced by more than 15% and also Project A becomes slightly negative when it is reduced by 10</w:t>
      </w:r>
      <w:r w:rsidR="002B017E">
        <w:rPr>
          <w:lang w:val="en-GB"/>
        </w:rPr>
        <w:t>%</w:t>
      </w:r>
      <w:r w:rsidRPr="008D7278">
        <w:rPr>
          <w:lang w:val="en-GB"/>
        </w:rPr>
        <w:t>- this is evidence of tight margins.</w:t>
      </w:r>
    </w:p>
    <w:p w14:paraId="3D44D074" w14:textId="2E8678AA" w:rsidR="00C23C69" w:rsidRPr="008D7278" w:rsidRDefault="00C23C69" w:rsidP="00C23C69">
      <w:pPr>
        <w:rPr>
          <w:lang w:val="en-GB"/>
        </w:rPr>
      </w:pPr>
      <w:r w:rsidRPr="008D7278">
        <w:rPr>
          <w:lang w:val="en-GB"/>
        </w:rPr>
        <w:t>Outside financial variables, technological disturbance, unstable consumer requirement, and pricing rivalry are other dangers of project risk due to the characteristics of the electronic sector. To reduce them, the company ought to utilise lean production models, invest in online activities in demand projection, and have an elastic funding framework. On the whole, when moderate risk assumptions are made, Project C is the most resilient project that has supportive value creation against external risks.</w:t>
      </w:r>
    </w:p>
    <w:p w14:paraId="2C3A4E91" w14:textId="0798EF9D" w:rsidR="00762482" w:rsidRPr="008D7278" w:rsidRDefault="00762482" w:rsidP="00C23C69">
      <w:pPr>
        <w:pStyle w:val="Heading2"/>
        <w:rPr>
          <w:lang w:val="en-GB"/>
        </w:rPr>
      </w:pPr>
      <w:bookmarkStart w:id="25" w:name="_Toc213360591"/>
      <w:r w:rsidRPr="008D7278">
        <w:rPr>
          <w:lang w:val="en-GB"/>
        </w:rPr>
        <w:lastRenderedPageBreak/>
        <w:t>4.</w:t>
      </w:r>
      <w:r w:rsidR="00C23C69" w:rsidRPr="008D7278">
        <w:rPr>
          <w:lang w:val="en-GB"/>
        </w:rPr>
        <w:t>6</w:t>
      </w:r>
      <w:r w:rsidRPr="008D7278">
        <w:rPr>
          <w:lang w:val="en-GB"/>
        </w:rPr>
        <w:t xml:space="preserve"> Strategic Fit</w:t>
      </w:r>
      <w:bookmarkEnd w:id="25"/>
    </w:p>
    <w:p w14:paraId="4A1F1BCA" w14:textId="51BEBE15" w:rsidR="00C23C69" w:rsidRPr="008D7278" w:rsidRDefault="00C23C69" w:rsidP="00C23C69">
      <w:pPr>
        <w:rPr>
          <w:lang w:val="en-GB"/>
        </w:rPr>
      </w:pPr>
      <w:r w:rsidRPr="008D7278">
        <w:rPr>
          <w:lang w:val="en-GB"/>
        </w:rPr>
        <w:t>Project C best fits with the strategic turnaround and long-term growth agenda of General Electronics. The initiative helps the company to make the shift towards the digital transformation where the macro-level focus is on higher-margin, product-focused, innovation-oriented products. Its cash flows that it can invest in are scalable to make additional investments in automation and artificial intelligence to spearhead its operations on cost-efficiency and process moderni</w:t>
      </w:r>
      <w:r w:rsidR="0015699A" w:rsidRPr="008D7278">
        <w:rPr>
          <w:lang w:val="en-GB"/>
        </w:rPr>
        <w:t>s</w:t>
      </w:r>
      <w:r w:rsidRPr="008D7278">
        <w:rPr>
          <w:lang w:val="en-GB"/>
        </w:rPr>
        <w:t>ation.</w:t>
      </w:r>
    </w:p>
    <w:p w14:paraId="2679FBDC" w14:textId="77777777" w:rsidR="00C23C69" w:rsidRPr="008D7278" w:rsidRDefault="00C23C69" w:rsidP="00C23C69">
      <w:pPr>
        <w:rPr>
          <w:lang w:val="en-GB"/>
        </w:rPr>
      </w:pPr>
      <w:r w:rsidRPr="008D7278">
        <w:rPr>
          <w:lang w:val="en-GB"/>
        </w:rPr>
        <w:t>Also, the initiative supports the aim of the company to expand towards the global market, using sophisticated technologies to attract new consumer groups and a competitive advantage to low-cost providers. The prioritisation on sustainable product design and effective use of resources is also in line with the corporate social responsibility (CSR) in the company, which further strengthens the ethical and environmental plausibility of the company.</w:t>
      </w:r>
    </w:p>
    <w:p w14:paraId="3CC8D816" w14:textId="55E2B5DA" w:rsidR="00932DB0" w:rsidRPr="008D7278" w:rsidRDefault="00C23C69" w:rsidP="00762482">
      <w:pPr>
        <w:rPr>
          <w:lang w:val="en-GB"/>
        </w:rPr>
      </w:pPr>
      <w:r w:rsidRPr="008D7278">
        <w:rPr>
          <w:lang w:val="en-GB"/>
        </w:rPr>
        <w:t>Through Project C, General Electronics gains a financial boost of better profitability, as well as solidifies its strategic footing in a highly dynamic global market place that forms the basis of a strong, sustainable, and innovation-based growth.</w:t>
      </w:r>
    </w:p>
    <w:p w14:paraId="75675C5C" w14:textId="77777777" w:rsidR="00932DB0" w:rsidRPr="008D7278" w:rsidRDefault="00932DB0">
      <w:pPr>
        <w:spacing w:line="278" w:lineRule="auto"/>
        <w:jc w:val="left"/>
        <w:rPr>
          <w:lang w:val="en-GB"/>
        </w:rPr>
      </w:pPr>
      <w:r w:rsidRPr="008D7278">
        <w:rPr>
          <w:lang w:val="en-GB"/>
        </w:rPr>
        <w:br w:type="page"/>
      </w:r>
    </w:p>
    <w:p w14:paraId="2CEB31D0" w14:textId="7D306E43" w:rsidR="00FB7D69" w:rsidRPr="008D7278" w:rsidRDefault="00932DB0" w:rsidP="00932DB0">
      <w:pPr>
        <w:pStyle w:val="Heading1"/>
        <w:rPr>
          <w:lang w:val="en-GB"/>
        </w:rPr>
      </w:pPr>
      <w:bookmarkStart w:id="26" w:name="_Toc213360592"/>
      <w:r w:rsidRPr="008D7278">
        <w:rPr>
          <w:lang w:val="en-GB"/>
        </w:rPr>
        <w:lastRenderedPageBreak/>
        <w:t>Reference List</w:t>
      </w:r>
      <w:bookmarkEnd w:id="26"/>
    </w:p>
    <w:p w14:paraId="325D74A5" w14:textId="77777777" w:rsidR="00932DB0" w:rsidRPr="008D7278" w:rsidRDefault="00932DB0" w:rsidP="00932DB0">
      <w:pPr>
        <w:rPr>
          <w:lang w:val="en-GB"/>
        </w:rPr>
      </w:pPr>
      <w:r w:rsidRPr="008D7278">
        <w:rPr>
          <w:lang w:val="en-GB"/>
        </w:rPr>
        <w:t>Abbas, Y.E., Anicetus, A., Ana, S. and Gustiawan, D., 2024. The effect of return on assets (ROA), debt to equity ratio (DER), earning per share (EPS) on company value in mining sector companies listed on the BEI Period (2018-2022). </w:t>
      </w:r>
      <w:r w:rsidRPr="008D7278">
        <w:rPr>
          <w:i/>
          <w:iCs/>
          <w:lang w:val="en-GB"/>
        </w:rPr>
        <w:t>Jurnal Manajemen Bisnis</w:t>
      </w:r>
      <w:r w:rsidRPr="008D7278">
        <w:rPr>
          <w:lang w:val="en-GB"/>
        </w:rPr>
        <w:t>, </w:t>
      </w:r>
      <w:r w:rsidRPr="008D7278">
        <w:rPr>
          <w:i/>
          <w:iCs/>
          <w:lang w:val="en-GB"/>
        </w:rPr>
        <w:t>11</w:t>
      </w:r>
      <w:r w:rsidRPr="008D7278">
        <w:rPr>
          <w:lang w:val="en-GB"/>
        </w:rPr>
        <w:t>(2), pp.1908-1917.</w:t>
      </w:r>
    </w:p>
    <w:p w14:paraId="4650B442" w14:textId="77777777" w:rsidR="00932DB0" w:rsidRPr="008D7278" w:rsidRDefault="00932DB0" w:rsidP="00932DB0">
      <w:pPr>
        <w:rPr>
          <w:lang w:val="en-GB"/>
        </w:rPr>
      </w:pPr>
      <w:r w:rsidRPr="008D7278">
        <w:rPr>
          <w:lang w:val="en-GB"/>
        </w:rPr>
        <w:t>Agbakwuru, V., Onyenahazi, O.B., Antwi, B.O. and Oyewale, K., 2024. The impact of environmental, social, and governance (ESG) reporting on corporate financial performance. </w:t>
      </w:r>
      <w:r w:rsidRPr="008D7278">
        <w:rPr>
          <w:i/>
          <w:iCs/>
          <w:lang w:val="en-GB"/>
        </w:rPr>
        <w:t>International Journal of Research Publication and Reviews</w:t>
      </w:r>
      <w:r w:rsidRPr="008D7278">
        <w:rPr>
          <w:lang w:val="en-GB"/>
        </w:rPr>
        <w:t>, </w:t>
      </w:r>
      <w:r w:rsidRPr="008D7278">
        <w:rPr>
          <w:i/>
          <w:iCs/>
          <w:lang w:val="en-GB"/>
        </w:rPr>
        <w:t>5</w:t>
      </w:r>
      <w:r w:rsidRPr="008D7278">
        <w:rPr>
          <w:lang w:val="en-GB"/>
        </w:rPr>
        <w:t>(9), pp.3629-3644.</w:t>
      </w:r>
    </w:p>
    <w:p w14:paraId="21202B69" w14:textId="77777777" w:rsidR="00932DB0" w:rsidRPr="008D7278" w:rsidRDefault="00932DB0" w:rsidP="00932DB0">
      <w:pPr>
        <w:rPr>
          <w:lang w:val="en-GB"/>
        </w:rPr>
      </w:pPr>
      <w:r w:rsidRPr="008D7278">
        <w:rPr>
          <w:lang w:val="en-GB"/>
        </w:rPr>
        <w:t>Alu, A.J., 2023. Evaluating the Effect of Cost Management Practices on Profitability and Financial Stability in Nigerian Construction Firms: A Theoretical and Conceptual PerspectiveEducational. </w:t>
      </w:r>
      <w:r w:rsidRPr="008D7278">
        <w:rPr>
          <w:i/>
          <w:iCs/>
          <w:lang w:val="en-GB"/>
        </w:rPr>
        <w:t>Administration: Theory and Practice</w:t>
      </w:r>
      <w:r w:rsidRPr="008D7278">
        <w:rPr>
          <w:lang w:val="en-GB"/>
        </w:rPr>
        <w:t>, </w:t>
      </w:r>
      <w:r w:rsidRPr="008D7278">
        <w:rPr>
          <w:i/>
          <w:iCs/>
          <w:lang w:val="en-GB"/>
        </w:rPr>
        <w:t>29</w:t>
      </w:r>
      <w:r w:rsidRPr="008D7278">
        <w:rPr>
          <w:lang w:val="en-GB"/>
        </w:rPr>
        <w:t>(04), p.3735.</w:t>
      </w:r>
    </w:p>
    <w:p w14:paraId="6A2E100B" w14:textId="77777777" w:rsidR="00932DB0" w:rsidRPr="008D7278" w:rsidRDefault="00932DB0" w:rsidP="00932DB0">
      <w:pPr>
        <w:rPr>
          <w:lang w:val="en-GB"/>
        </w:rPr>
      </w:pPr>
      <w:r w:rsidRPr="008D7278">
        <w:rPr>
          <w:lang w:val="en-GB"/>
        </w:rPr>
        <w:t>Arifaj, A.H., Berisha, V., Morina, F. and Avdyli, E., 2023. Exploring the impact of cash flow, company size, and debt on financial performance in corporations. </w:t>
      </w:r>
      <w:r w:rsidRPr="008D7278">
        <w:rPr>
          <w:i/>
          <w:iCs/>
          <w:lang w:val="en-GB"/>
        </w:rPr>
        <w:t>Investment Management &amp; Financial Innovations</w:t>
      </w:r>
      <w:r w:rsidRPr="008D7278">
        <w:rPr>
          <w:lang w:val="en-GB"/>
        </w:rPr>
        <w:t>, </w:t>
      </w:r>
      <w:r w:rsidRPr="008D7278">
        <w:rPr>
          <w:i/>
          <w:iCs/>
          <w:lang w:val="en-GB"/>
        </w:rPr>
        <w:t>20</w:t>
      </w:r>
      <w:r w:rsidRPr="008D7278">
        <w:rPr>
          <w:lang w:val="en-GB"/>
        </w:rPr>
        <w:t>(3), p.264.</w:t>
      </w:r>
    </w:p>
    <w:p w14:paraId="042A58FB" w14:textId="77777777" w:rsidR="00932DB0" w:rsidRPr="008D7278" w:rsidRDefault="00932DB0" w:rsidP="00932DB0">
      <w:pPr>
        <w:rPr>
          <w:lang w:val="en-GB"/>
        </w:rPr>
      </w:pPr>
      <w:r w:rsidRPr="008D7278">
        <w:rPr>
          <w:lang w:val="en-GB"/>
        </w:rPr>
        <w:t>Avickson, E.K., Omojola, J.S. and Bakare, I.A., 2024. The role of revalidation in credit risk management: ensuring accuracy in borrowers' financial data. </w:t>
      </w:r>
      <w:r w:rsidRPr="008D7278">
        <w:rPr>
          <w:i/>
          <w:iCs/>
          <w:lang w:val="en-GB"/>
        </w:rPr>
        <w:t>Int J Res Publ Rev</w:t>
      </w:r>
      <w:r w:rsidRPr="008D7278">
        <w:rPr>
          <w:lang w:val="en-GB"/>
        </w:rPr>
        <w:t>, </w:t>
      </w:r>
      <w:r w:rsidRPr="008D7278">
        <w:rPr>
          <w:i/>
          <w:iCs/>
          <w:lang w:val="en-GB"/>
        </w:rPr>
        <w:t>5</w:t>
      </w:r>
      <w:r w:rsidRPr="008D7278">
        <w:rPr>
          <w:lang w:val="en-GB"/>
        </w:rPr>
        <w:t>(10), pp.2011-2024.</w:t>
      </w:r>
    </w:p>
    <w:p w14:paraId="67A446A2" w14:textId="77777777" w:rsidR="00932DB0" w:rsidRPr="008D7278" w:rsidRDefault="00932DB0" w:rsidP="00932DB0">
      <w:pPr>
        <w:rPr>
          <w:lang w:val="en-GB"/>
        </w:rPr>
      </w:pPr>
      <w:r w:rsidRPr="008D7278">
        <w:rPr>
          <w:lang w:val="en-GB"/>
        </w:rPr>
        <w:t>Barnabas, B. and Oloyede, J., 2024. Cash Flow Optimization: Strategies for Enhancing Short-Term Liquidity. </w:t>
      </w:r>
      <w:r w:rsidRPr="008D7278">
        <w:rPr>
          <w:i/>
          <w:iCs/>
          <w:lang w:val="en-GB"/>
        </w:rPr>
        <w:t>Available at SSRN 5004465</w:t>
      </w:r>
      <w:r w:rsidRPr="008D7278">
        <w:rPr>
          <w:lang w:val="en-GB"/>
        </w:rPr>
        <w:t>.</w:t>
      </w:r>
    </w:p>
    <w:p w14:paraId="2436B08F" w14:textId="77777777" w:rsidR="00932DB0" w:rsidRPr="008D7278" w:rsidRDefault="00932DB0" w:rsidP="00932DB0">
      <w:pPr>
        <w:rPr>
          <w:lang w:val="en-GB"/>
        </w:rPr>
      </w:pPr>
      <w:r w:rsidRPr="008D7278">
        <w:rPr>
          <w:lang w:val="en-GB"/>
        </w:rPr>
        <w:t>DeAngelo, H., Gonçalves, A.S. and Stulz, R.M., 2022. Leverage and cash dynamics. </w:t>
      </w:r>
      <w:r w:rsidRPr="008D7278">
        <w:rPr>
          <w:i/>
          <w:iCs/>
          <w:lang w:val="en-GB"/>
        </w:rPr>
        <w:t>Review of Finance</w:t>
      </w:r>
      <w:r w:rsidRPr="008D7278">
        <w:rPr>
          <w:lang w:val="en-GB"/>
        </w:rPr>
        <w:t>, </w:t>
      </w:r>
      <w:r w:rsidRPr="008D7278">
        <w:rPr>
          <w:i/>
          <w:iCs/>
          <w:lang w:val="en-GB"/>
        </w:rPr>
        <w:t>26</w:t>
      </w:r>
      <w:r w:rsidRPr="008D7278">
        <w:rPr>
          <w:lang w:val="en-GB"/>
        </w:rPr>
        <w:t>(5), pp.1101-1144.</w:t>
      </w:r>
    </w:p>
    <w:p w14:paraId="61203384" w14:textId="77777777" w:rsidR="00932DB0" w:rsidRPr="008D7278" w:rsidRDefault="00932DB0" w:rsidP="00932DB0">
      <w:pPr>
        <w:rPr>
          <w:lang w:val="en-GB"/>
        </w:rPr>
      </w:pPr>
      <w:r w:rsidRPr="008D7278">
        <w:rPr>
          <w:lang w:val="en-GB"/>
        </w:rPr>
        <w:t>Ekakitie, S.E., Kifordu, A.A. and Nwaebuni, C., 2022. Optimizing profit maximization through effective inventory control practice of manufacturing firms in Nigeria. </w:t>
      </w:r>
      <w:r w:rsidRPr="008D7278">
        <w:rPr>
          <w:i/>
          <w:iCs/>
          <w:lang w:val="en-GB"/>
        </w:rPr>
        <w:t>Journal of Global Social Sciences</w:t>
      </w:r>
      <w:r w:rsidRPr="008D7278">
        <w:rPr>
          <w:lang w:val="en-GB"/>
        </w:rPr>
        <w:t>, </w:t>
      </w:r>
      <w:r w:rsidRPr="008D7278">
        <w:rPr>
          <w:i/>
          <w:iCs/>
          <w:lang w:val="en-GB"/>
        </w:rPr>
        <w:t>3</w:t>
      </w:r>
      <w:r w:rsidRPr="008D7278">
        <w:rPr>
          <w:lang w:val="en-GB"/>
        </w:rPr>
        <w:t>(11), pp.89-114.</w:t>
      </w:r>
    </w:p>
    <w:p w14:paraId="2B65396E" w14:textId="77777777" w:rsidR="00932DB0" w:rsidRPr="008D7278" w:rsidRDefault="00932DB0" w:rsidP="00932DB0">
      <w:pPr>
        <w:rPr>
          <w:lang w:val="en-GB"/>
        </w:rPr>
      </w:pPr>
      <w:r w:rsidRPr="008D7278">
        <w:rPr>
          <w:lang w:val="en-GB"/>
        </w:rPr>
        <w:t>Khaled, A.G., 2025. Inventory management: Inventory balance by sale &amp; operation adherence, operation efficiency and working capital.</w:t>
      </w:r>
    </w:p>
    <w:p w14:paraId="6558E8B5" w14:textId="77777777" w:rsidR="00932DB0" w:rsidRPr="008D7278" w:rsidRDefault="00932DB0" w:rsidP="00932DB0">
      <w:pPr>
        <w:rPr>
          <w:lang w:val="en-GB"/>
        </w:rPr>
      </w:pPr>
      <w:r w:rsidRPr="008D7278">
        <w:rPr>
          <w:lang w:val="en-GB"/>
        </w:rPr>
        <w:t>Korol, S.Y., Nykyforuk, O.I., Pelekh, U.V., Barabash, N.S. and Romashko, O.M., 2022. Transfer pricing documentation: Globalization and regional optimization. </w:t>
      </w:r>
      <w:r w:rsidRPr="008D7278">
        <w:rPr>
          <w:i/>
          <w:iCs/>
          <w:lang w:val="en-GB"/>
        </w:rPr>
        <w:t>Universal Journal of Accounting and Finance</w:t>
      </w:r>
      <w:r w:rsidRPr="008D7278">
        <w:rPr>
          <w:lang w:val="en-GB"/>
        </w:rPr>
        <w:t>, </w:t>
      </w:r>
      <w:r w:rsidRPr="008D7278">
        <w:rPr>
          <w:i/>
          <w:iCs/>
          <w:lang w:val="en-GB"/>
        </w:rPr>
        <w:t>10</w:t>
      </w:r>
      <w:r w:rsidRPr="008D7278">
        <w:rPr>
          <w:lang w:val="en-GB"/>
        </w:rPr>
        <w:t>(1), pp.219-230.</w:t>
      </w:r>
    </w:p>
    <w:p w14:paraId="1EE446FD" w14:textId="77777777" w:rsidR="00932DB0" w:rsidRPr="008D7278" w:rsidRDefault="00932DB0" w:rsidP="00932DB0">
      <w:pPr>
        <w:rPr>
          <w:lang w:val="en-GB"/>
        </w:rPr>
      </w:pPr>
      <w:r w:rsidRPr="008D7278">
        <w:rPr>
          <w:lang w:val="en-GB"/>
        </w:rPr>
        <w:lastRenderedPageBreak/>
        <w:t>Mattio, F., 2024. </w:t>
      </w:r>
      <w:r w:rsidRPr="008D7278">
        <w:rPr>
          <w:i/>
          <w:iCs/>
          <w:lang w:val="en-GB"/>
        </w:rPr>
        <w:t>Altman Z-Score Indicators</w:t>
      </w:r>
      <w:r w:rsidRPr="008D7278">
        <w:rPr>
          <w:lang w:val="en-GB"/>
        </w:rPr>
        <w:t> (Doctoral dissertation, Politecnico di Torino).</w:t>
      </w:r>
    </w:p>
    <w:p w14:paraId="36842C94" w14:textId="77777777" w:rsidR="00932DB0" w:rsidRPr="008D7278" w:rsidRDefault="00932DB0" w:rsidP="00932DB0">
      <w:pPr>
        <w:rPr>
          <w:lang w:val="en-GB"/>
        </w:rPr>
      </w:pPr>
      <w:r w:rsidRPr="008D7278">
        <w:rPr>
          <w:lang w:val="en-GB"/>
        </w:rPr>
        <w:t>Nukala, V.B. and Prasada Rao, S.S., 2021. Role of debt-to-equity ratio in project investment valuation, assessing risk and return in capital markets. </w:t>
      </w:r>
      <w:r w:rsidRPr="008D7278">
        <w:rPr>
          <w:i/>
          <w:iCs/>
          <w:lang w:val="en-GB"/>
        </w:rPr>
        <w:t>Future Business Journal</w:t>
      </w:r>
      <w:r w:rsidRPr="008D7278">
        <w:rPr>
          <w:lang w:val="en-GB"/>
        </w:rPr>
        <w:t>, </w:t>
      </w:r>
      <w:r w:rsidRPr="008D7278">
        <w:rPr>
          <w:i/>
          <w:iCs/>
          <w:lang w:val="en-GB"/>
        </w:rPr>
        <w:t>7</w:t>
      </w:r>
      <w:r w:rsidRPr="008D7278">
        <w:rPr>
          <w:lang w:val="en-GB"/>
        </w:rPr>
        <w:t>(1), p.13.</w:t>
      </w:r>
    </w:p>
    <w:p w14:paraId="07AF0D59" w14:textId="77777777" w:rsidR="00932DB0" w:rsidRPr="008D7278" w:rsidRDefault="00932DB0" w:rsidP="00932DB0">
      <w:pPr>
        <w:rPr>
          <w:lang w:val="en-GB"/>
        </w:rPr>
      </w:pPr>
      <w:r w:rsidRPr="008D7278">
        <w:rPr>
          <w:lang w:val="en-GB"/>
        </w:rPr>
        <w:t>Pamungkas, M.S., 2023. Capital Management Strategy for Liquidity Refinancing: A study on SMEs' Restructuring Solutions. </w:t>
      </w:r>
      <w:r w:rsidRPr="008D7278">
        <w:rPr>
          <w:i/>
          <w:iCs/>
          <w:lang w:val="en-GB"/>
        </w:rPr>
        <w:t>SUKUK: INTERNATIONAL JOURNAL OF BANKING, FINANCE, MANAGEMENT AND BUSINESS</w:t>
      </w:r>
      <w:r w:rsidRPr="008D7278">
        <w:rPr>
          <w:lang w:val="en-GB"/>
        </w:rPr>
        <w:t>, </w:t>
      </w:r>
      <w:r w:rsidRPr="008D7278">
        <w:rPr>
          <w:i/>
          <w:iCs/>
          <w:lang w:val="en-GB"/>
        </w:rPr>
        <w:t>2</w:t>
      </w:r>
      <w:r w:rsidRPr="008D7278">
        <w:rPr>
          <w:lang w:val="en-GB"/>
        </w:rPr>
        <w:t>(II), pp.17-30.</w:t>
      </w:r>
    </w:p>
    <w:p w14:paraId="619FD22B" w14:textId="77777777" w:rsidR="00932DB0" w:rsidRPr="008D7278" w:rsidRDefault="00932DB0" w:rsidP="00932DB0">
      <w:pPr>
        <w:rPr>
          <w:lang w:val="en-GB"/>
        </w:rPr>
      </w:pPr>
      <w:r w:rsidRPr="008D7278">
        <w:rPr>
          <w:lang w:val="en-GB"/>
        </w:rPr>
        <w:t>Pedada, K., Padigar, M., Sinha, A. and Dass, M., 2021. Developed market partner’s relative control and the termination likelihood of an international joint venture in an emerging market. </w:t>
      </w:r>
      <w:r w:rsidRPr="008D7278">
        <w:rPr>
          <w:i/>
          <w:iCs/>
          <w:lang w:val="en-GB"/>
        </w:rPr>
        <w:t>Journal of Business Research</w:t>
      </w:r>
      <w:r w:rsidRPr="008D7278">
        <w:rPr>
          <w:lang w:val="en-GB"/>
        </w:rPr>
        <w:t>, </w:t>
      </w:r>
      <w:r w:rsidRPr="008D7278">
        <w:rPr>
          <w:i/>
          <w:iCs/>
          <w:lang w:val="en-GB"/>
        </w:rPr>
        <w:t>135</w:t>
      </w:r>
      <w:r w:rsidRPr="008D7278">
        <w:rPr>
          <w:lang w:val="en-GB"/>
        </w:rPr>
        <w:t>, pp.295-303.</w:t>
      </w:r>
    </w:p>
    <w:p w14:paraId="4B4E965C" w14:textId="77777777" w:rsidR="00932DB0" w:rsidRPr="008D7278" w:rsidRDefault="00932DB0" w:rsidP="00932DB0">
      <w:pPr>
        <w:rPr>
          <w:lang w:val="en-GB"/>
        </w:rPr>
      </w:pPr>
      <w:r w:rsidRPr="008D7278">
        <w:rPr>
          <w:lang w:val="en-GB"/>
        </w:rPr>
        <w:t>Pratiwi, E.U., 2022. Procedure Recording And Billing Receivables: Case Study on CV. Putra Baja Krakatau. </w:t>
      </w:r>
      <w:r w:rsidRPr="008D7278">
        <w:rPr>
          <w:i/>
          <w:iCs/>
          <w:lang w:val="en-GB"/>
        </w:rPr>
        <w:t>Review of Accounting and Taxation</w:t>
      </w:r>
      <w:r w:rsidRPr="008D7278">
        <w:rPr>
          <w:lang w:val="en-GB"/>
        </w:rPr>
        <w:t>, </w:t>
      </w:r>
      <w:r w:rsidRPr="008D7278">
        <w:rPr>
          <w:i/>
          <w:iCs/>
          <w:lang w:val="en-GB"/>
        </w:rPr>
        <w:t>1</w:t>
      </w:r>
      <w:r w:rsidRPr="008D7278">
        <w:rPr>
          <w:lang w:val="en-GB"/>
        </w:rPr>
        <w:t>(01), pp.47-61.</w:t>
      </w:r>
    </w:p>
    <w:p w14:paraId="20EB1FFD" w14:textId="77777777" w:rsidR="00932DB0" w:rsidRPr="008D7278" w:rsidRDefault="00932DB0" w:rsidP="00932DB0">
      <w:pPr>
        <w:rPr>
          <w:lang w:val="en-GB"/>
        </w:rPr>
      </w:pPr>
      <w:r w:rsidRPr="008D7278">
        <w:rPr>
          <w:lang w:val="en-GB"/>
        </w:rPr>
        <w:t>Reyad, H.M., Zariyawati, M.A., Ong, T.S. and Muhamad, H., 2022. The impact of macroeconomic risk factors, the adoption of financial derivatives on working capital management, and firm performance. </w:t>
      </w:r>
      <w:r w:rsidRPr="008D7278">
        <w:rPr>
          <w:i/>
          <w:iCs/>
          <w:lang w:val="en-GB"/>
        </w:rPr>
        <w:t>Sustainability</w:t>
      </w:r>
      <w:r w:rsidRPr="008D7278">
        <w:rPr>
          <w:lang w:val="en-GB"/>
        </w:rPr>
        <w:t>, </w:t>
      </w:r>
      <w:r w:rsidRPr="008D7278">
        <w:rPr>
          <w:i/>
          <w:iCs/>
          <w:lang w:val="en-GB"/>
        </w:rPr>
        <w:t>14</w:t>
      </w:r>
      <w:r w:rsidRPr="008D7278">
        <w:rPr>
          <w:lang w:val="en-GB"/>
        </w:rPr>
        <w:t>(21), p.14447.</w:t>
      </w:r>
    </w:p>
    <w:p w14:paraId="7736FB35" w14:textId="77777777" w:rsidR="00932DB0" w:rsidRPr="008D7278" w:rsidRDefault="00932DB0" w:rsidP="00932DB0">
      <w:pPr>
        <w:rPr>
          <w:lang w:val="en-GB"/>
        </w:rPr>
      </w:pPr>
      <w:r w:rsidRPr="008D7278">
        <w:rPr>
          <w:lang w:val="en-GB"/>
        </w:rPr>
        <w:t>Sardo, F., Serrasqueiro, Z., Vieira, E. and Armada, M.R., 2022. Is financial distress risk important for manufacturing SMEs to rebalance the short-term debt ratio?. </w:t>
      </w:r>
      <w:r w:rsidRPr="008D7278">
        <w:rPr>
          <w:i/>
          <w:iCs/>
          <w:lang w:val="en-GB"/>
        </w:rPr>
        <w:t>The Journal of Risk Finance</w:t>
      </w:r>
      <w:r w:rsidRPr="008D7278">
        <w:rPr>
          <w:lang w:val="en-GB"/>
        </w:rPr>
        <w:t>, </w:t>
      </w:r>
      <w:r w:rsidRPr="008D7278">
        <w:rPr>
          <w:i/>
          <w:iCs/>
          <w:lang w:val="en-GB"/>
        </w:rPr>
        <w:t>23</w:t>
      </w:r>
      <w:r w:rsidRPr="008D7278">
        <w:rPr>
          <w:lang w:val="en-GB"/>
        </w:rPr>
        <w:t>(5), pp.516-534.</w:t>
      </w:r>
    </w:p>
    <w:p w14:paraId="13501957" w14:textId="77777777" w:rsidR="00932DB0" w:rsidRPr="008D7278" w:rsidRDefault="00932DB0" w:rsidP="00932DB0">
      <w:pPr>
        <w:rPr>
          <w:lang w:val="en-GB"/>
        </w:rPr>
      </w:pPr>
      <w:r w:rsidRPr="008D7278">
        <w:rPr>
          <w:lang w:val="en-GB"/>
        </w:rPr>
        <w:t>Sinaga, A.S., Sari, M.M., Hutasuhut, A.A., Zahara, S.T., Amanda, A., Fitri, A. and Caesario, M.A., 2023. Comparison of capital budgeting methods: NPV, IRR, PAYBACK period. </w:t>
      </w:r>
      <w:r w:rsidRPr="008D7278">
        <w:rPr>
          <w:i/>
          <w:iCs/>
          <w:lang w:val="en-GB"/>
        </w:rPr>
        <w:t>World Journal of Advanced Research and Reviews</w:t>
      </w:r>
      <w:r w:rsidRPr="008D7278">
        <w:rPr>
          <w:lang w:val="en-GB"/>
        </w:rPr>
        <w:t>, </w:t>
      </w:r>
      <w:r w:rsidRPr="008D7278">
        <w:rPr>
          <w:i/>
          <w:iCs/>
          <w:lang w:val="en-GB"/>
        </w:rPr>
        <w:t>19</w:t>
      </w:r>
      <w:r w:rsidRPr="008D7278">
        <w:rPr>
          <w:lang w:val="en-GB"/>
        </w:rPr>
        <w:t>(2), pp.1078-1081.</w:t>
      </w:r>
    </w:p>
    <w:p w14:paraId="02E8E677" w14:textId="77777777" w:rsidR="00932DB0" w:rsidRPr="008D7278" w:rsidRDefault="00932DB0" w:rsidP="00932DB0">
      <w:pPr>
        <w:rPr>
          <w:lang w:val="en-GB"/>
        </w:rPr>
      </w:pPr>
      <w:r w:rsidRPr="008D7278">
        <w:rPr>
          <w:lang w:val="en-GB"/>
        </w:rPr>
        <w:t>Survilė, E., 2025. </w:t>
      </w:r>
      <w:r w:rsidRPr="008D7278">
        <w:rPr>
          <w:i/>
          <w:iCs/>
          <w:lang w:val="en-GB"/>
        </w:rPr>
        <w:t>The impact of business cycle fluctuations and working capital strategies on profitability: retail and manufacturing sectors' case</w:t>
      </w:r>
      <w:r w:rsidRPr="008D7278">
        <w:rPr>
          <w:lang w:val="en-GB"/>
        </w:rPr>
        <w:t> (Doctoral dissertation, Vilniaus universitetas.).</w:t>
      </w:r>
    </w:p>
    <w:p w14:paraId="3BDE1E20" w14:textId="4DBE3EE0" w:rsidR="00932DB0" w:rsidRPr="008D7278" w:rsidRDefault="00932DB0" w:rsidP="00932DB0">
      <w:pPr>
        <w:rPr>
          <w:lang w:val="en-GB"/>
        </w:rPr>
      </w:pPr>
      <w:r w:rsidRPr="008D7278">
        <w:rPr>
          <w:lang w:val="en-GB"/>
        </w:rPr>
        <w:t>Tiwary, D. and Paul, S., 2023. Role of bank credit and external commercial borrowings in working capital financing: Evidence from Indian manufacturing firms. </w:t>
      </w:r>
      <w:r w:rsidRPr="008D7278">
        <w:rPr>
          <w:i/>
          <w:iCs/>
          <w:lang w:val="en-GB"/>
        </w:rPr>
        <w:t>Journal of Risk and Financial Management</w:t>
      </w:r>
      <w:r w:rsidRPr="008D7278">
        <w:rPr>
          <w:lang w:val="en-GB"/>
        </w:rPr>
        <w:t>, </w:t>
      </w:r>
      <w:r w:rsidRPr="008D7278">
        <w:rPr>
          <w:i/>
          <w:iCs/>
          <w:lang w:val="en-GB"/>
        </w:rPr>
        <w:t>16</w:t>
      </w:r>
      <w:r w:rsidRPr="008D7278">
        <w:rPr>
          <w:lang w:val="en-GB"/>
        </w:rPr>
        <w:t>(11), p.468.</w:t>
      </w:r>
    </w:p>
    <w:p w14:paraId="167EF0B1" w14:textId="77777777" w:rsidR="00932DB0" w:rsidRPr="008D7278" w:rsidRDefault="00932DB0">
      <w:pPr>
        <w:spacing w:line="278" w:lineRule="auto"/>
        <w:jc w:val="left"/>
        <w:rPr>
          <w:lang w:val="en-GB"/>
        </w:rPr>
      </w:pPr>
      <w:r w:rsidRPr="008D7278">
        <w:rPr>
          <w:lang w:val="en-GB"/>
        </w:rPr>
        <w:br w:type="page"/>
      </w:r>
    </w:p>
    <w:p w14:paraId="629D75D4" w14:textId="09FB976F" w:rsidR="00932DB0" w:rsidRPr="008D7278" w:rsidRDefault="00932DB0" w:rsidP="00932DB0">
      <w:pPr>
        <w:pStyle w:val="Heading1"/>
        <w:rPr>
          <w:lang w:val="en-GB"/>
        </w:rPr>
      </w:pPr>
      <w:bookmarkStart w:id="27" w:name="_Toc213360593"/>
      <w:r w:rsidRPr="008D7278">
        <w:rPr>
          <w:lang w:val="en-GB"/>
        </w:rPr>
        <w:lastRenderedPageBreak/>
        <w:t>Appendix</w:t>
      </w:r>
      <w:bookmarkEnd w:id="27"/>
    </w:p>
    <w:p w14:paraId="1183EE71" w14:textId="515162C6" w:rsidR="00932DB0" w:rsidRPr="008D7278" w:rsidRDefault="00932DB0" w:rsidP="00932DB0">
      <w:pPr>
        <w:pStyle w:val="ListParagraph"/>
        <w:numPr>
          <w:ilvl w:val="0"/>
          <w:numId w:val="45"/>
        </w:numPr>
        <w:rPr>
          <w:lang w:val="en-GB"/>
        </w:rPr>
      </w:pPr>
      <w:r w:rsidRPr="008D7278">
        <w:rPr>
          <w:lang w:val="en-GB"/>
        </w:rPr>
        <w:t>Ratios</w:t>
      </w:r>
    </w:p>
    <w:p w14:paraId="5C54D66E" w14:textId="679D9D27" w:rsidR="00932DB0" w:rsidRPr="008D7278" w:rsidRDefault="00932DB0" w:rsidP="00932DB0">
      <w:pPr>
        <w:rPr>
          <w:lang w:val="en-GB"/>
        </w:rPr>
      </w:pPr>
      <w:r w:rsidRPr="008D7278">
        <w:rPr>
          <w:noProof/>
          <w:lang w:val="en-GB"/>
        </w:rPr>
        <w:drawing>
          <wp:inline distT="0" distB="0" distL="0" distR="0" wp14:anchorId="1C3DC763" wp14:editId="66A2E9C5">
            <wp:extent cx="5731510" cy="2115185"/>
            <wp:effectExtent l="0" t="0" r="2540" b="0"/>
            <wp:docPr id="5634987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115185"/>
                    </a:xfrm>
                    <a:prstGeom prst="rect">
                      <a:avLst/>
                    </a:prstGeom>
                    <a:noFill/>
                    <a:ln>
                      <a:noFill/>
                    </a:ln>
                  </pic:spPr>
                </pic:pic>
              </a:graphicData>
            </a:graphic>
          </wp:inline>
        </w:drawing>
      </w:r>
    </w:p>
    <w:p w14:paraId="7BCFDEAB" w14:textId="04651145" w:rsidR="00932DB0" w:rsidRPr="008D7278" w:rsidRDefault="00932DB0" w:rsidP="00932DB0">
      <w:pPr>
        <w:pStyle w:val="ListParagraph"/>
        <w:numPr>
          <w:ilvl w:val="0"/>
          <w:numId w:val="45"/>
        </w:numPr>
        <w:rPr>
          <w:lang w:val="en-GB"/>
        </w:rPr>
      </w:pPr>
      <w:r w:rsidRPr="008D7278">
        <w:rPr>
          <w:lang w:val="en-GB"/>
        </w:rPr>
        <w:t>Project A</w:t>
      </w:r>
    </w:p>
    <w:p w14:paraId="1F5F1019" w14:textId="64955F2D" w:rsidR="00932DB0" w:rsidRPr="008D7278" w:rsidRDefault="00932DB0" w:rsidP="00932DB0">
      <w:pPr>
        <w:jc w:val="center"/>
        <w:rPr>
          <w:lang w:val="en-GB"/>
        </w:rPr>
      </w:pPr>
      <w:r w:rsidRPr="008D7278">
        <w:rPr>
          <w:noProof/>
          <w:lang w:val="en-GB"/>
        </w:rPr>
        <w:drawing>
          <wp:inline distT="0" distB="0" distL="0" distR="0" wp14:anchorId="5D252BA5" wp14:editId="66D17655">
            <wp:extent cx="5731510" cy="2171065"/>
            <wp:effectExtent l="19050" t="19050" r="21590" b="19685"/>
            <wp:docPr id="11689922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171065"/>
                    </a:xfrm>
                    <a:prstGeom prst="rect">
                      <a:avLst/>
                    </a:prstGeom>
                    <a:noFill/>
                    <a:ln>
                      <a:solidFill>
                        <a:schemeClr val="tx1"/>
                      </a:solidFill>
                    </a:ln>
                  </pic:spPr>
                </pic:pic>
              </a:graphicData>
            </a:graphic>
          </wp:inline>
        </w:drawing>
      </w:r>
    </w:p>
    <w:p w14:paraId="0CEC005B" w14:textId="25DB8335" w:rsidR="00932DB0" w:rsidRPr="008D7278" w:rsidRDefault="00932DB0" w:rsidP="00932DB0">
      <w:pPr>
        <w:pStyle w:val="ListParagraph"/>
        <w:numPr>
          <w:ilvl w:val="0"/>
          <w:numId w:val="45"/>
        </w:numPr>
        <w:rPr>
          <w:lang w:val="en-GB"/>
        </w:rPr>
      </w:pPr>
      <w:r w:rsidRPr="008D7278">
        <w:rPr>
          <w:lang w:val="en-GB"/>
        </w:rPr>
        <w:t>Project B</w:t>
      </w:r>
    </w:p>
    <w:p w14:paraId="0D3B8B1E" w14:textId="6B3F1B6A" w:rsidR="00932DB0" w:rsidRPr="008D7278" w:rsidRDefault="00932DB0" w:rsidP="00932DB0">
      <w:pPr>
        <w:jc w:val="center"/>
        <w:rPr>
          <w:lang w:val="en-GB"/>
        </w:rPr>
      </w:pPr>
      <w:r w:rsidRPr="008D7278">
        <w:rPr>
          <w:noProof/>
          <w:lang w:val="en-GB"/>
        </w:rPr>
        <w:drawing>
          <wp:inline distT="0" distB="0" distL="0" distR="0" wp14:anchorId="180E3B8D" wp14:editId="36ADF964">
            <wp:extent cx="5731510" cy="2171065"/>
            <wp:effectExtent l="19050" t="19050" r="21590" b="19685"/>
            <wp:docPr id="3747501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171065"/>
                    </a:xfrm>
                    <a:prstGeom prst="rect">
                      <a:avLst/>
                    </a:prstGeom>
                    <a:noFill/>
                    <a:ln>
                      <a:solidFill>
                        <a:schemeClr val="tx1"/>
                      </a:solidFill>
                    </a:ln>
                  </pic:spPr>
                </pic:pic>
              </a:graphicData>
            </a:graphic>
          </wp:inline>
        </w:drawing>
      </w:r>
    </w:p>
    <w:p w14:paraId="2E76CBB8" w14:textId="0203705B" w:rsidR="00932DB0" w:rsidRPr="008D7278" w:rsidRDefault="00932DB0" w:rsidP="00932DB0">
      <w:pPr>
        <w:pStyle w:val="ListParagraph"/>
        <w:numPr>
          <w:ilvl w:val="0"/>
          <w:numId w:val="45"/>
        </w:numPr>
        <w:rPr>
          <w:lang w:val="en-GB"/>
        </w:rPr>
      </w:pPr>
      <w:r w:rsidRPr="008D7278">
        <w:rPr>
          <w:lang w:val="en-GB"/>
        </w:rPr>
        <w:t>Project C</w:t>
      </w:r>
    </w:p>
    <w:p w14:paraId="0AC84839" w14:textId="57C2BB68" w:rsidR="00932DB0" w:rsidRPr="008D7278" w:rsidRDefault="00932DB0" w:rsidP="00932DB0">
      <w:pPr>
        <w:jc w:val="center"/>
        <w:rPr>
          <w:lang w:val="en-GB"/>
        </w:rPr>
      </w:pPr>
      <w:r w:rsidRPr="008D7278">
        <w:rPr>
          <w:noProof/>
          <w:lang w:val="en-GB"/>
        </w:rPr>
        <w:lastRenderedPageBreak/>
        <w:drawing>
          <wp:inline distT="0" distB="0" distL="0" distR="0" wp14:anchorId="3366F930" wp14:editId="6BEDA3BA">
            <wp:extent cx="5731510" cy="2171065"/>
            <wp:effectExtent l="19050" t="19050" r="21590" b="19685"/>
            <wp:docPr id="9709064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171065"/>
                    </a:xfrm>
                    <a:prstGeom prst="rect">
                      <a:avLst/>
                    </a:prstGeom>
                    <a:noFill/>
                    <a:ln>
                      <a:solidFill>
                        <a:schemeClr val="tx1"/>
                      </a:solidFill>
                    </a:ln>
                  </pic:spPr>
                </pic:pic>
              </a:graphicData>
            </a:graphic>
          </wp:inline>
        </w:drawing>
      </w:r>
    </w:p>
    <w:p w14:paraId="2631493E" w14:textId="0893B1ED" w:rsidR="00932DB0" w:rsidRPr="008D7278" w:rsidRDefault="00932DB0" w:rsidP="00932DB0">
      <w:pPr>
        <w:pStyle w:val="ListParagraph"/>
        <w:numPr>
          <w:ilvl w:val="0"/>
          <w:numId w:val="45"/>
        </w:numPr>
        <w:rPr>
          <w:lang w:val="en-GB"/>
        </w:rPr>
      </w:pPr>
      <w:r w:rsidRPr="008D7278">
        <w:rPr>
          <w:lang w:val="en-GB"/>
        </w:rPr>
        <w:t>Summary Comparison</w:t>
      </w:r>
    </w:p>
    <w:p w14:paraId="7ACF71EA" w14:textId="01629DF9" w:rsidR="00932DB0" w:rsidRPr="008D7278" w:rsidRDefault="00932DB0" w:rsidP="00932DB0">
      <w:pPr>
        <w:jc w:val="center"/>
        <w:rPr>
          <w:lang w:val="en-GB"/>
        </w:rPr>
      </w:pPr>
      <w:r w:rsidRPr="008D7278">
        <w:rPr>
          <w:noProof/>
          <w:lang w:val="en-GB"/>
        </w:rPr>
        <w:drawing>
          <wp:inline distT="0" distB="0" distL="0" distR="0" wp14:anchorId="6D82304C" wp14:editId="7A040EEF">
            <wp:extent cx="5731510" cy="921385"/>
            <wp:effectExtent l="19050" t="19050" r="21590" b="12065"/>
            <wp:docPr id="7070723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921385"/>
                    </a:xfrm>
                    <a:prstGeom prst="rect">
                      <a:avLst/>
                    </a:prstGeom>
                    <a:noFill/>
                    <a:ln>
                      <a:solidFill>
                        <a:schemeClr val="tx1"/>
                      </a:solidFill>
                    </a:ln>
                  </pic:spPr>
                </pic:pic>
              </a:graphicData>
            </a:graphic>
          </wp:inline>
        </w:drawing>
      </w:r>
    </w:p>
    <w:p w14:paraId="3856BC51" w14:textId="77777777" w:rsidR="00932DB0" w:rsidRPr="008D7278" w:rsidRDefault="00932DB0" w:rsidP="00932DB0">
      <w:pPr>
        <w:jc w:val="center"/>
        <w:rPr>
          <w:lang w:val="en-GB"/>
        </w:rPr>
      </w:pPr>
    </w:p>
    <w:p w14:paraId="78D76D3E" w14:textId="77777777" w:rsidR="00932DB0" w:rsidRPr="008D7278" w:rsidRDefault="00932DB0" w:rsidP="00762482">
      <w:pPr>
        <w:rPr>
          <w:b/>
          <w:bCs/>
          <w:lang w:val="en-GB"/>
        </w:rPr>
      </w:pPr>
    </w:p>
    <w:p w14:paraId="353AA7FE" w14:textId="77777777" w:rsidR="006F30AA" w:rsidRPr="008D7278" w:rsidRDefault="006F30AA">
      <w:pPr>
        <w:rPr>
          <w:lang w:val="en-GB"/>
        </w:rPr>
      </w:pPr>
    </w:p>
    <w:sectPr w:rsidR="006F30AA" w:rsidRPr="008D7278" w:rsidSect="00932DB0">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36882" w14:textId="77777777" w:rsidR="001E6CEC" w:rsidRDefault="001E6CEC" w:rsidP="00932DB0">
      <w:pPr>
        <w:spacing w:after="0" w:line="240" w:lineRule="auto"/>
      </w:pPr>
      <w:r>
        <w:separator/>
      </w:r>
    </w:p>
  </w:endnote>
  <w:endnote w:type="continuationSeparator" w:id="0">
    <w:p w14:paraId="258697F0" w14:textId="77777777" w:rsidR="001E6CEC" w:rsidRDefault="001E6CEC" w:rsidP="00932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15806"/>
      <w:docPartObj>
        <w:docPartGallery w:val="Page Numbers (Bottom of Page)"/>
        <w:docPartUnique/>
      </w:docPartObj>
    </w:sdtPr>
    <w:sdtEndPr>
      <w:rPr>
        <w:noProof/>
      </w:rPr>
    </w:sdtEndPr>
    <w:sdtContent>
      <w:p w14:paraId="454D9329" w14:textId="382BB089" w:rsidR="00932DB0" w:rsidRDefault="00932D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8FC2AE" w14:textId="77777777" w:rsidR="00932DB0" w:rsidRDefault="00932D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D71A5" w14:textId="77777777" w:rsidR="001E6CEC" w:rsidRDefault="001E6CEC" w:rsidP="00932DB0">
      <w:pPr>
        <w:spacing w:after="0" w:line="240" w:lineRule="auto"/>
      </w:pPr>
      <w:r>
        <w:separator/>
      </w:r>
    </w:p>
  </w:footnote>
  <w:footnote w:type="continuationSeparator" w:id="0">
    <w:p w14:paraId="710C64A3" w14:textId="77777777" w:rsidR="001E6CEC" w:rsidRDefault="001E6CEC" w:rsidP="00932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869"/>
    <w:multiLevelType w:val="multilevel"/>
    <w:tmpl w:val="5330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94223"/>
    <w:multiLevelType w:val="multilevel"/>
    <w:tmpl w:val="02B8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E6B85"/>
    <w:multiLevelType w:val="multilevel"/>
    <w:tmpl w:val="3D7C0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4C158C"/>
    <w:multiLevelType w:val="multilevel"/>
    <w:tmpl w:val="B6E85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50049C"/>
    <w:multiLevelType w:val="multilevel"/>
    <w:tmpl w:val="12AE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9A47AA"/>
    <w:multiLevelType w:val="multilevel"/>
    <w:tmpl w:val="295AC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6762BF"/>
    <w:multiLevelType w:val="multilevel"/>
    <w:tmpl w:val="EDF43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476F9"/>
    <w:multiLevelType w:val="multilevel"/>
    <w:tmpl w:val="F690B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3E1332"/>
    <w:multiLevelType w:val="multilevel"/>
    <w:tmpl w:val="23E46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664AC5"/>
    <w:multiLevelType w:val="multilevel"/>
    <w:tmpl w:val="4556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8F516E"/>
    <w:multiLevelType w:val="multilevel"/>
    <w:tmpl w:val="7350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4C0B81"/>
    <w:multiLevelType w:val="multilevel"/>
    <w:tmpl w:val="F6326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EF5D79"/>
    <w:multiLevelType w:val="multilevel"/>
    <w:tmpl w:val="4754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3321E8"/>
    <w:multiLevelType w:val="multilevel"/>
    <w:tmpl w:val="D778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226296"/>
    <w:multiLevelType w:val="multilevel"/>
    <w:tmpl w:val="BF500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301825"/>
    <w:multiLevelType w:val="multilevel"/>
    <w:tmpl w:val="D5D2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724206"/>
    <w:multiLevelType w:val="multilevel"/>
    <w:tmpl w:val="3CC0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6A1519"/>
    <w:multiLevelType w:val="hybridMultilevel"/>
    <w:tmpl w:val="FF2E14D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4EC521D8"/>
    <w:multiLevelType w:val="multilevel"/>
    <w:tmpl w:val="3628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470A29"/>
    <w:multiLevelType w:val="multilevel"/>
    <w:tmpl w:val="F962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1E5BF2"/>
    <w:multiLevelType w:val="multilevel"/>
    <w:tmpl w:val="4BB4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572B80"/>
    <w:multiLevelType w:val="multilevel"/>
    <w:tmpl w:val="05969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832F99"/>
    <w:multiLevelType w:val="multilevel"/>
    <w:tmpl w:val="891A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5E7671"/>
    <w:multiLevelType w:val="multilevel"/>
    <w:tmpl w:val="445A9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F63B6A"/>
    <w:multiLevelType w:val="multilevel"/>
    <w:tmpl w:val="02980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8237FB"/>
    <w:multiLevelType w:val="multilevel"/>
    <w:tmpl w:val="8B6C4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527147"/>
    <w:multiLevelType w:val="multilevel"/>
    <w:tmpl w:val="1560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A13C46"/>
    <w:multiLevelType w:val="multilevel"/>
    <w:tmpl w:val="06149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EE754D"/>
    <w:multiLevelType w:val="multilevel"/>
    <w:tmpl w:val="D33A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FD3D88"/>
    <w:multiLevelType w:val="multilevel"/>
    <w:tmpl w:val="9EEC5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490DE8"/>
    <w:multiLevelType w:val="multilevel"/>
    <w:tmpl w:val="51DCC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840345"/>
    <w:multiLevelType w:val="multilevel"/>
    <w:tmpl w:val="3938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B14440"/>
    <w:multiLevelType w:val="multilevel"/>
    <w:tmpl w:val="2D0A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6A38C3"/>
    <w:multiLevelType w:val="multilevel"/>
    <w:tmpl w:val="8FD4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9A0C18"/>
    <w:multiLevelType w:val="multilevel"/>
    <w:tmpl w:val="3ED02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C9170D"/>
    <w:multiLevelType w:val="multilevel"/>
    <w:tmpl w:val="213E9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E85822"/>
    <w:multiLevelType w:val="multilevel"/>
    <w:tmpl w:val="C41E4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307C6C"/>
    <w:multiLevelType w:val="multilevel"/>
    <w:tmpl w:val="27D4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CC5E32"/>
    <w:multiLevelType w:val="multilevel"/>
    <w:tmpl w:val="D90C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9A3F5F"/>
    <w:multiLevelType w:val="multilevel"/>
    <w:tmpl w:val="CC8A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0F601C"/>
    <w:multiLevelType w:val="multilevel"/>
    <w:tmpl w:val="E0BC2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E67CCF"/>
    <w:multiLevelType w:val="multilevel"/>
    <w:tmpl w:val="BD76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BA6184"/>
    <w:multiLevelType w:val="multilevel"/>
    <w:tmpl w:val="7AC69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9543C7"/>
    <w:multiLevelType w:val="multilevel"/>
    <w:tmpl w:val="EAE87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5C73FB"/>
    <w:multiLevelType w:val="multilevel"/>
    <w:tmpl w:val="562A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2082305">
    <w:abstractNumId w:val="7"/>
  </w:num>
  <w:num w:numId="2" w16cid:durableId="846795302">
    <w:abstractNumId w:val="35"/>
  </w:num>
  <w:num w:numId="3" w16cid:durableId="403722262">
    <w:abstractNumId w:val="37"/>
  </w:num>
  <w:num w:numId="4" w16cid:durableId="1656104467">
    <w:abstractNumId w:val="11"/>
  </w:num>
  <w:num w:numId="5" w16cid:durableId="1475217717">
    <w:abstractNumId w:val="32"/>
  </w:num>
  <w:num w:numId="6" w16cid:durableId="1534343508">
    <w:abstractNumId w:val="28"/>
  </w:num>
  <w:num w:numId="7" w16cid:durableId="128744237">
    <w:abstractNumId w:val="44"/>
  </w:num>
  <w:num w:numId="8" w16cid:durableId="1039357048">
    <w:abstractNumId w:val="13"/>
  </w:num>
  <w:num w:numId="9" w16cid:durableId="469980982">
    <w:abstractNumId w:val="16"/>
  </w:num>
  <w:num w:numId="10" w16cid:durableId="985357210">
    <w:abstractNumId w:val="4"/>
  </w:num>
  <w:num w:numId="11" w16cid:durableId="1505166259">
    <w:abstractNumId w:val="40"/>
  </w:num>
  <w:num w:numId="12" w16cid:durableId="1460953782">
    <w:abstractNumId w:val="6"/>
  </w:num>
  <w:num w:numId="13" w16cid:durableId="1993950418">
    <w:abstractNumId w:val="12"/>
  </w:num>
  <w:num w:numId="14" w16cid:durableId="953175672">
    <w:abstractNumId w:val="43"/>
  </w:num>
  <w:num w:numId="15" w16cid:durableId="1419326843">
    <w:abstractNumId w:val="2"/>
  </w:num>
  <w:num w:numId="16" w16cid:durableId="1145194915">
    <w:abstractNumId w:val="26"/>
  </w:num>
  <w:num w:numId="17" w16cid:durableId="126050923">
    <w:abstractNumId w:val="9"/>
  </w:num>
  <w:num w:numId="18" w16cid:durableId="455829714">
    <w:abstractNumId w:val="27"/>
  </w:num>
  <w:num w:numId="19" w16cid:durableId="2443611">
    <w:abstractNumId w:val="3"/>
  </w:num>
  <w:num w:numId="20" w16cid:durableId="6448010">
    <w:abstractNumId w:val="34"/>
  </w:num>
  <w:num w:numId="21" w16cid:durableId="1523324734">
    <w:abstractNumId w:val="38"/>
  </w:num>
  <w:num w:numId="22" w16cid:durableId="675496689">
    <w:abstractNumId w:val="24"/>
  </w:num>
  <w:num w:numId="23" w16cid:durableId="1545560536">
    <w:abstractNumId w:val="18"/>
  </w:num>
  <w:num w:numId="24" w16cid:durableId="632711825">
    <w:abstractNumId w:val="20"/>
  </w:num>
  <w:num w:numId="25" w16cid:durableId="1217358776">
    <w:abstractNumId w:val="19"/>
  </w:num>
  <w:num w:numId="26" w16cid:durableId="565802757">
    <w:abstractNumId w:val="15"/>
  </w:num>
  <w:num w:numId="27" w16cid:durableId="408624642">
    <w:abstractNumId w:val="23"/>
  </w:num>
  <w:num w:numId="28" w16cid:durableId="1510368032">
    <w:abstractNumId w:val="31"/>
  </w:num>
  <w:num w:numId="29" w16cid:durableId="834882828">
    <w:abstractNumId w:val="42"/>
  </w:num>
  <w:num w:numId="30" w16cid:durableId="377242525">
    <w:abstractNumId w:val="1"/>
  </w:num>
  <w:num w:numId="31" w16cid:durableId="1805849069">
    <w:abstractNumId w:val="33"/>
  </w:num>
  <w:num w:numId="32" w16cid:durableId="1074284352">
    <w:abstractNumId w:val="21"/>
  </w:num>
  <w:num w:numId="33" w16cid:durableId="1570265656">
    <w:abstractNumId w:val="10"/>
  </w:num>
  <w:num w:numId="34" w16cid:durableId="658384280">
    <w:abstractNumId w:val="25"/>
  </w:num>
  <w:num w:numId="35" w16cid:durableId="83918250">
    <w:abstractNumId w:val="22"/>
  </w:num>
  <w:num w:numId="36" w16cid:durableId="37897600">
    <w:abstractNumId w:val="14"/>
  </w:num>
  <w:num w:numId="37" w16cid:durableId="1128817753">
    <w:abstractNumId w:val="0"/>
  </w:num>
  <w:num w:numId="38" w16cid:durableId="660700744">
    <w:abstractNumId w:val="39"/>
  </w:num>
  <w:num w:numId="39" w16cid:durableId="931158804">
    <w:abstractNumId w:val="29"/>
  </w:num>
  <w:num w:numId="40" w16cid:durableId="689916388">
    <w:abstractNumId w:val="41"/>
  </w:num>
  <w:num w:numId="41" w16cid:durableId="1620139851">
    <w:abstractNumId w:val="5"/>
  </w:num>
  <w:num w:numId="42" w16cid:durableId="852962438">
    <w:abstractNumId w:val="8"/>
  </w:num>
  <w:num w:numId="43" w16cid:durableId="1955020823">
    <w:abstractNumId w:val="30"/>
  </w:num>
  <w:num w:numId="44" w16cid:durableId="1591159520">
    <w:abstractNumId w:val="36"/>
  </w:num>
  <w:num w:numId="45" w16cid:durableId="12145840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482"/>
    <w:rsid w:val="000A335C"/>
    <w:rsid w:val="0015699A"/>
    <w:rsid w:val="001E6CEC"/>
    <w:rsid w:val="00260DBE"/>
    <w:rsid w:val="00266B3A"/>
    <w:rsid w:val="002B017E"/>
    <w:rsid w:val="002C14B0"/>
    <w:rsid w:val="00321279"/>
    <w:rsid w:val="003958C0"/>
    <w:rsid w:val="004121BE"/>
    <w:rsid w:val="004816E2"/>
    <w:rsid w:val="0049245F"/>
    <w:rsid w:val="004C2252"/>
    <w:rsid w:val="005625ED"/>
    <w:rsid w:val="00643AEC"/>
    <w:rsid w:val="006519CD"/>
    <w:rsid w:val="006F30AA"/>
    <w:rsid w:val="00762482"/>
    <w:rsid w:val="00871046"/>
    <w:rsid w:val="008C1275"/>
    <w:rsid w:val="008D7278"/>
    <w:rsid w:val="008F176A"/>
    <w:rsid w:val="00932DB0"/>
    <w:rsid w:val="009C3F06"/>
    <w:rsid w:val="00A92C60"/>
    <w:rsid w:val="00AE2A80"/>
    <w:rsid w:val="00AF5343"/>
    <w:rsid w:val="00B06CE1"/>
    <w:rsid w:val="00B45E1B"/>
    <w:rsid w:val="00C23C69"/>
    <w:rsid w:val="00C44213"/>
    <w:rsid w:val="00C84EF7"/>
    <w:rsid w:val="00D92242"/>
    <w:rsid w:val="00E77442"/>
    <w:rsid w:val="00E96254"/>
    <w:rsid w:val="00EE0109"/>
    <w:rsid w:val="00F36F9C"/>
    <w:rsid w:val="00FB7D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7BD73"/>
  <w15:chartTrackingRefBased/>
  <w15:docId w15:val="{4F8C622E-412A-4261-83EA-7869630FC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482"/>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3958C0"/>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3958C0"/>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7624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624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624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624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4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4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4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8C0"/>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3958C0"/>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7624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624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624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624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24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24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2482"/>
    <w:rPr>
      <w:rFonts w:eastAsiaTheme="majorEastAsia" w:cstheme="majorBidi"/>
      <w:color w:val="272727" w:themeColor="text1" w:themeTint="D8"/>
    </w:rPr>
  </w:style>
  <w:style w:type="paragraph" w:styleId="Title">
    <w:name w:val="Title"/>
    <w:basedOn w:val="Normal"/>
    <w:next w:val="Normal"/>
    <w:link w:val="TitleChar"/>
    <w:uiPriority w:val="10"/>
    <w:qFormat/>
    <w:rsid w:val="007624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4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24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4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2482"/>
    <w:pPr>
      <w:spacing w:before="160"/>
      <w:jc w:val="center"/>
    </w:pPr>
    <w:rPr>
      <w:i/>
      <w:iCs/>
      <w:color w:val="404040" w:themeColor="text1" w:themeTint="BF"/>
    </w:rPr>
  </w:style>
  <w:style w:type="character" w:customStyle="1" w:styleId="QuoteChar">
    <w:name w:val="Quote Char"/>
    <w:basedOn w:val="DefaultParagraphFont"/>
    <w:link w:val="Quote"/>
    <w:uiPriority w:val="29"/>
    <w:rsid w:val="00762482"/>
    <w:rPr>
      <w:i/>
      <w:iCs/>
      <w:color w:val="404040" w:themeColor="text1" w:themeTint="BF"/>
    </w:rPr>
  </w:style>
  <w:style w:type="paragraph" w:styleId="ListParagraph">
    <w:name w:val="List Paragraph"/>
    <w:basedOn w:val="Normal"/>
    <w:uiPriority w:val="34"/>
    <w:qFormat/>
    <w:rsid w:val="00762482"/>
    <w:pPr>
      <w:ind w:left="720"/>
      <w:contextualSpacing/>
    </w:pPr>
  </w:style>
  <w:style w:type="character" w:styleId="IntenseEmphasis">
    <w:name w:val="Intense Emphasis"/>
    <w:basedOn w:val="DefaultParagraphFont"/>
    <w:uiPriority w:val="21"/>
    <w:qFormat/>
    <w:rsid w:val="00762482"/>
    <w:rPr>
      <w:i/>
      <w:iCs/>
      <w:color w:val="2F5496" w:themeColor="accent1" w:themeShade="BF"/>
    </w:rPr>
  </w:style>
  <w:style w:type="paragraph" w:styleId="IntenseQuote">
    <w:name w:val="Intense Quote"/>
    <w:basedOn w:val="Normal"/>
    <w:next w:val="Normal"/>
    <w:link w:val="IntenseQuoteChar"/>
    <w:uiPriority w:val="30"/>
    <w:qFormat/>
    <w:rsid w:val="007624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2482"/>
    <w:rPr>
      <w:i/>
      <w:iCs/>
      <w:color w:val="2F5496" w:themeColor="accent1" w:themeShade="BF"/>
    </w:rPr>
  </w:style>
  <w:style w:type="character" w:styleId="IntenseReference">
    <w:name w:val="Intense Reference"/>
    <w:basedOn w:val="DefaultParagraphFont"/>
    <w:uiPriority w:val="32"/>
    <w:qFormat/>
    <w:rsid w:val="00762482"/>
    <w:rPr>
      <w:b/>
      <w:bCs/>
      <w:smallCaps/>
      <w:color w:val="2F5496" w:themeColor="accent1" w:themeShade="BF"/>
      <w:spacing w:val="5"/>
    </w:rPr>
  </w:style>
  <w:style w:type="paragraph" w:styleId="TOCHeading">
    <w:name w:val="TOC Heading"/>
    <w:basedOn w:val="Heading1"/>
    <w:next w:val="Normal"/>
    <w:uiPriority w:val="39"/>
    <w:unhideWhenUsed/>
    <w:qFormat/>
    <w:rsid w:val="00932DB0"/>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32DB0"/>
    <w:pPr>
      <w:spacing w:after="100"/>
    </w:pPr>
  </w:style>
  <w:style w:type="paragraph" w:styleId="TOC2">
    <w:name w:val="toc 2"/>
    <w:basedOn w:val="Normal"/>
    <w:next w:val="Normal"/>
    <w:autoRedefine/>
    <w:uiPriority w:val="39"/>
    <w:unhideWhenUsed/>
    <w:rsid w:val="00932DB0"/>
    <w:pPr>
      <w:spacing w:after="100"/>
      <w:ind w:left="240"/>
    </w:pPr>
  </w:style>
  <w:style w:type="character" w:styleId="Hyperlink">
    <w:name w:val="Hyperlink"/>
    <w:basedOn w:val="DefaultParagraphFont"/>
    <w:uiPriority w:val="99"/>
    <w:unhideWhenUsed/>
    <w:rsid w:val="00932DB0"/>
    <w:rPr>
      <w:color w:val="0563C1" w:themeColor="hyperlink"/>
      <w:u w:val="single"/>
    </w:rPr>
  </w:style>
  <w:style w:type="paragraph" w:styleId="Header">
    <w:name w:val="header"/>
    <w:basedOn w:val="Normal"/>
    <w:link w:val="HeaderChar"/>
    <w:uiPriority w:val="99"/>
    <w:unhideWhenUsed/>
    <w:rsid w:val="00932D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DB0"/>
    <w:rPr>
      <w:rFonts w:ascii="Times New Roman" w:hAnsi="Times New Roman"/>
    </w:rPr>
  </w:style>
  <w:style w:type="paragraph" w:styleId="Footer">
    <w:name w:val="footer"/>
    <w:basedOn w:val="Normal"/>
    <w:link w:val="FooterChar"/>
    <w:uiPriority w:val="99"/>
    <w:unhideWhenUsed/>
    <w:rsid w:val="00932D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DB0"/>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09985">
      <w:bodyDiv w:val="1"/>
      <w:marLeft w:val="0"/>
      <w:marRight w:val="0"/>
      <w:marTop w:val="0"/>
      <w:marBottom w:val="0"/>
      <w:divBdr>
        <w:top w:val="none" w:sz="0" w:space="0" w:color="auto"/>
        <w:left w:val="none" w:sz="0" w:space="0" w:color="auto"/>
        <w:bottom w:val="none" w:sz="0" w:space="0" w:color="auto"/>
        <w:right w:val="none" w:sz="0" w:space="0" w:color="auto"/>
      </w:divBdr>
    </w:div>
    <w:div w:id="81416925">
      <w:bodyDiv w:val="1"/>
      <w:marLeft w:val="0"/>
      <w:marRight w:val="0"/>
      <w:marTop w:val="0"/>
      <w:marBottom w:val="0"/>
      <w:divBdr>
        <w:top w:val="none" w:sz="0" w:space="0" w:color="auto"/>
        <w:left w:val="none" w:sz="0" w:space="0" w:color="auto"/>
        <w:bottom w:val="none" w:sz="0" w:space="0" w:color="auto"/>
        <w:right w:val="none" w:sz="0" w:space="0" w:color="auto"/>
      </w:divBdr>
      <w:divsChild>
        <w:div w:id="2081826158">
          <w:marLeft w:val="0"/>
          <w:marRight w:val="0"/>
          <w:marTop w:val="0"/>
          <w:marBottom w:val="0"/>
          <w:divBdr>
            <w:top w:val="none" w:sz="0" w:space="0" w:color="auto"/>
            <w:left w:val="none" w:sz="0" w:space="0" w:color="auto"/>
            <w:bottom w:val="none" w:sz="0" w:space="0" w:color="auto"/>
            <w:right w:val="none" w:sz="0" w:space="0" w:color="auto"/>
          </w:divBdr>
          <w:divsChild>
            <w:div w:id="1100640954">
              <w:marLeft w:val="0"/>
              <w:marRight w:val="0"/>
              <w:marTop w:val="0"/>
              <w:marBottom w:val="0"/>
              <w:divBdr>
                <w:top w:val="none" w:sz="0" w:space="0" w:color="auto"/>
                <w:left w:val="none" w:sz="0" w:space="0" w:color="auto"/>
                <w:bottom w:val="none" w:sz="0" w:space="0" w:color="auto"/>
                <w:right w:val="none" w:sz="0" w:space="0" w:color="auto"/>
              </w:divBdr>
              <w:divsChild>
                <w:div w:id="123546962">
                  <w:marLeft w:val="0"/>
                  <w:marRight w:val="0"/>
                  <w:marTop w:val="0"/>
                  <w:marBottom w:val="0"/>
                  <w:divBdr>
                    <w:top w:val="none" w:sz="0" w:space="0" w:color="auto"/>
                    <w:left w:val="none" w:sz="0" w:space="0" w:color="auto"/>
                    <w:bottom w:val="none" w:sz="0" w:space="0" w:color="auto"/>
                    <w:right w:val="none" w:sz="0" w:space="0" w:color="auto"/>
                  </w:divBdr>
                  <w:divsChild>
                    <w:div w:id="519006239">
                      <w:marLeft w:val="0"/>
                      <w:marRight w:val="0"/>
                      <w:marTop w:val="0"/>
                      <w:marBottom w:val="0"/>
                      <w:divBdr>
                        <w:top w:val="none" w:sz="0" w:space="0" w:color="auto"/>
                        <w:left w:val="none" w:sz="0" w:space="0" w:color="auto"/>
                        <w:bottom w:val="none" w:sz="0" w:space="0" w:color="auto"/>
                        <w:right w:val="none" w:sz="0" w:space="0" w:color="auto"/>
                      </w:divBdr>
                      <w:divsChild>
                        <w:div w:id="224873772">
                          <w:marLeft w:val="0"/>
                          <w:marRight w:val="0"/>
                          <w:marTop w:val="0"/>
                          <w:marBottom w:val="0"/>
                          <w:divBdr>
                            <w:top w:val="none" w:sz="0" w:space="0" w:color="auto"/>
                            <w:left w:val="none" w:sz="0" w:space="0" w:color="auto"/>
                            <w:bottom w:val="none" w:sz="0" w:space="0" w:color="auto"/>
                            <w:right w:val="none" w:sz="0" w:space="0" w:color="auto"/>
                          </w:divBdr>
                          <w:divsChild>
                            <w:div w:id="62681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51576">
      <w:bodyDiv w:val="1"/>
      <w:marLeft w:val="0"/>
      <w:marRight w:val="0"/>
      <w:marTop w:val="0"/>
      <w:marBottom w:val="0"/>
      <w:divBdr>
        <w:top w:val="none" w:sz="0" w:space="0" w:color="auto"/>
        <w:left w:val="none" w:sz="0" w:space="0" w:color="auto"/>
        <w:bottom w:val="none" w:sz="0" w:space="0" w:color="auto"/>
        <w:right w:val="none" w:sz="0" w:space="0" w:color="auto"/>
      </w:divBdr>
    </w:div>
    <w:div w:id="133790793">
      <w:bodyDiv w:val="1"/>
      <w:marLeft w:val="0"/>
      <w:marRight w:val="0"/>
      <w:marTop w:val="0"/>
      <w:marBottom w:val="0"/>
      <w:divBdr>
        <w:top w:val="none" w:sz="0" w:space="0" w:color="auto"/>
        <w:left w:val="none" w:sz="0" w:space="0" w:color="auto"/>
        <w:bottom w:val="none" w:sz="0" w:space="0" w:color="auto"/>
        <w:right w:val="none" w:sz="0" w:space="0" w:color="auto"/>
      </w:divBdr>
    </w:div>
    <w:div w:id="141586307">
      <w:bodyDiv w:val="1"/>
      <w:marLeft w:val="0"/>
      <w:marRight w:val="0"/>
      <w:marTop w:val="0"/>
      <w:marBottom w:val="0"/>
      <w:divBdr>
        <w:top w:val="none" w:sz="0" w:space="0" w:color="auto"/>
        <w:left w:val="none" w:sz="0" w:space="0" w:color="auto"/>
        <w:bottom w:val="none" w:sz="0" w:space="0" w:color="auto"/>
        <w:right w:val="none" w:sz="0" w:space="0" w:color="auto"/>
      </w:divBdr>
    </w:div>
    <w:div w:id="217055818">
      <w:bodyDiv w:val="1"/>
      <w:marLeft w:val="0"/>
      <w:marRight w:val="0"/>
      <w:marTop w:val="0"/>
      <w:marBottom w:val="0"/>
      <w:divBdr>
        <w:top w:val="none" w:sz="0" w:space="0" w:color="auto"/>
        <w:left w:val="none" w:sz="0" w:space="0" w:color="auto"/>
        <w:bottom w:val="none" w:sz="0" w:space="0" w:color="auto"/>
        <w:right w:val="none" w:sz="0" w:space="0" w:color="auto"/>
      </w:divBdr>
    </w:div>
    <w:div w:id="240650918">
      <w:bodyDiv w:val="1"/>
      <w:marLeft w:val="0"/>
      <w:marRight w:val="0"/>
      <w:marTop w:val="0"/>
      <w:marBottom w:val="0"/>
      <w:divBdr>
        <w:top w:val="none" w:sz="0" w:space="0" w:color="auto"/>
        <w:left w:val="none" w:sz="0" w:space="0" w:color="auto"/>
        <w:bottom w:val="none" w:sz="0" w:space="0" w:color="auto"/>
        <w:right w:val="none" w:sz="0" w:space="0" w:color="auto"/>
      </w:divBdr>
    </w:div>
    <w:div w:id="347635014">
      <w:bodyDiv w:val="1"/>
      <w:marLeft w:val="0"/>
      <w:marRight w:val="0"/>
      <w:marTop w:val="0"/>
      <w:marBottom w:val="0"/>
      <w:divBdr>
        <w:top w:val="none" w:sz="0" w:space="0" w:color="auto"/>
        <w:left w:val="none" w:sz="0" w:space="0" w:color="auto"/>
        <w:bottom w:val="none" w:sz="0" w:space="0" w:color="auto"/>
        <w:right w:val="none" w:sz="0" w:space="0" w:color="auto"/>
      </w:divBdr>
    </w:div>
    <w:div w:id="385102354">
      <w:bodyDiv w:val="1"/>
      <w:marLeft w:val="0"/>
      <w:marRight w:val="0"/>
      <w:marTop w:val="0"/>
      <w:marBottom w:val="0"/>
      <w:divBdr>
        <w:top w:val="none" w:sz="0" w:space="0" w:color="auto"/>
        <w:left w:val="none" w:sz="0" w:space="0" w:color="auto"/>
        <w:bottom w:val="none" w:sz="0" w:space="0" w:color="auto"/>
        <w:right w:val="none" w:sz="0" w:space="0" w:color="auto"/>
      </w:divBdr>
    </w:div>
    <w:div w:id="417796601">
      <w:bodyDiv w:val="1"/>
      <w:marLeft w:val="0"/>
      <w:marRight w:val="0"/>
      <w:marTop w:val="0"/>
      <w:marBottom w:val="0"/>
      <w:divBdr>
        <w:top w:val="none" w:sz="0" w:space="0" w:color="auto"/>
        <w:left w:val="none" w:sz="0" w:space="0" w:color="auto"/>
        <w:bottom w:val="none" w:sz="0" w:space="0" w:color="auto"/>
        <w:right w:val="none" w:sz="0" w:space="0" w:color="auto"/>
      </w:divBdr>
    </w:div>
    <w:div w:id="423190865">
      <w:bodyDiv w:val="1"/>
      <w:marLeft w:val="0"/>
      <w:marRight w:val="0"/>
      <w:marTop w:val="0"/>
      <w:marBottom w:val="0"/>
      <w:divBdr>
        <w:top w:val="none" w:sz="0" w:space="0" w:color="auto"/>
        <w:left w:val="none" w:sz="0" w:space="0" w:color="auto"/>
        <w:bottom w:val="none" w:sz="0" w:space="0" w:color="auto"/>
        <w:right w:val="none" w:sz="0" w:space="0" w:color="auto"/>
      </w:divBdr>
    </w:div>
    <w:div w:id="508637629">
      <w:bodyDiv w:val="1"/>
      <w:marLeft w:val="0"/>
      <w:marRight w:val="0"/>
      <w:marTop w:val="0"/>
      <w:marBottom w:val="0"/>
      <w:divBdr>
        <w:top w:val="none" w:sz="0" w:space="0" w:color="auto"/>
        <w:left w:val="none" w:sz="0" w:space="0" w:color="auto"/>
        <w:bottom w:val="none" w:sz="0" w:space="0" w:color="auto"/>
        <w:right w:val="none" w:sz="0" w:space="0" w:color="auto"/>
      </w:divBdr>
    </w:div>
    <w:div w:id="515386579">
      <w:bodyDiv w:val="1"/>
      <w:marLeft w:val="0"/>
      <w:marRight w:val="0"/>
      <w:marTop w:val="0"/>
      <w:marBottom w:val="0"/>
      <w:divBdr>
        <w:top w:val="none" w:sz="0" w:space="0" w:color="auto"/>
        <w:left w:val="none" w:sz="0" w:space="0" w:color="auto"/>
        <w:bottom w:val="none" w:sz="0" w:space="0" w:color="auto"/>
        <w:right w:val="none" w:sz="0" w:space="0" w:color="auto"/>
      </w:divBdr>
    </w:div>
    <w:div w:id="550456896">
      <w:bodyDiv w:val="1"/>
      <w:marLeft w:val="0"/>
      <w:marRight w:val="0"/>
      <w:marTop w:val="0"/>
      <w:marBottom w:val="0"/>
      <w:divBdr>
        <w:top w:val="none" w:sz="0" w:space="0" w:color="auto"/>
        <w:left w:val="none" w:sz="0" w:space="0" w:color="auto"/>
        <w:bottom w:val="none" w:sz="0" w:space="0" w:color="auto"/>
        <w:right w:val="none" w:sz="0" w:space="0" w:color="auto"/>
      </w:divBdr>
      <w:divsChild>
        <w:div w:id="10230331">
          <w:marLeft w:val="0"/>
          <w:marRight w:val="0"/>
          <w:marTop w:val="0"/>
          <w:marBottom w:val="0"/>
          <w:divBdr>
            <w:top w:val="none" w:sz="0" w:space="0" w:color="auto"/>
            <w:left w:val="none" w:sz="0" w:space="0" w:color="auto"/>
            <w:bottom w:val="none" w:sz="0" w:space="0" w:color="auto"/>
            <w:right w:val="none" w:sz="0" w:space="0" w:color="auto"/>
          </w:divBdr>
          <w:divsChild>
            <w:div w:id="185295215">
              <w:marLeft w:val="0"/>
              <w:marRight w:val="0"/>
              <w:marTop w:val="0"/>
              <w:marBottom w:val="0"/>
              <w:divBdr>
                <w:top w:val="none" w:sz="0" w:space="0" w:color="auto"/>
                <w:left w:val="none" w:sz="0" w:space="0" w:color="auto"/>
                <w:bottom w:val="none" w:sz="0" w:space="0" w:color="auto"/>
                <w:right w:val="none" w:sz="0" w:space="0" w:color="auto"/>
              </w:divBdr>
            </w:div>
          </w:divsChild>
        </w:div>
        <w:div w:id="2116435312">
          <w:marLeft w:val="0"/>
          <w:marRight w:val="0"/>
          <w:marTop w:val="0"/>
          <w:marBottom w:val="0"/>
          <w:divBdr>
            <w:top w:val="none" w:sz="0" w:space="0" w:color="auto"/>
            <w:left w:val="none" w:sz="0" w:space="0" w:color="auto"/>
            <w:bottom w:val="none" w:sz="0" w:space="0" w:color="auto"/>
            <w:right w:val="none" w:sz="0" w:space="0" w:color="auto"/>
          </w:divBdr>
          <w:divsChild>
            <w:div w:id="2068994114">
              <w:marLeft w:val="0"/>
              <w:marRight w:val="0"/>
              <w:marTop w:val="0"/>
              <w:marBottom w:val="0"/>
              <w:divBdr>
                <w:top w:val="none" w:sz="0" w:space="0" w:color="auto"/>
                <w:left w:val="none" w:sz="0" w:space="0" w:color="auto"/>
                <w:bottom w:val="none" w:sz="0" w:space="0" w:color="auto"/>
                <w:right w:val="none" w:sz="0" w:space="0" w:color="auto"/>
              </w:divBdr>
            </w:div>
          </w:divsChild>
        </w:div>
        <w:div w:id="1744987730">
          <w:marLeft w:val="0"/>
          <w:marRight w:val="0"/>
          <w:marTop w:val="0"/>
          <w:marBottom w:val="0"/>
          <w:divBdr>
            <w:top w:val="none" w:sz="0" w:space="0" w:color="auto"/>
            <w:left w:val="none" w:sz="0" w:space="0" w:color="auto"/>
            <w:bottom w:val="none" w:sz="0" w:space="0" w:color="auto"/>
            <w:right w:val="none" w:sz="0" w:space="0" w:color="auto"/>
          </w:divBdr>
          <w:divsChild>
            <w:div w:id="32239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024693">
      <w:bodyDiv w:val="1"/>
      <w:marLeft w:val="0"/>
      <w:marRight w:val="0"/>
      <w:marTop w:val="0"/>
      <w:marBottom w:val="0"/>
      <w:divBdr>
        <w:top w:val="none" w:sz="0" w:space="0" w:color="auto"/>
        <w:left w:val="none" w:sz="0" w:space="0" w:color="auto"/>
        <w:bottom w:val="none" w:sz="0" w:space="0" w:color="auto"/>
        <w:right w:val="none" w:sz="0" w:space="0" w:color="auto"/>
      </w:divBdr>
    </w:div>
    <w:div w:id="593169411">
      <w:bodyDiv w:val="1"/>
      <w:marLeft w:val="0"/>
      <w:marRight w:val="0"/>
      <w:marTop w:val="0"/>
      <w:marBottom w:val="0"/>
      <w:divBdr>
        <w:top w:val="none" w:sz="0" w:space="0" w:color="auto"/>
        <w:left w:val="none" w:sz="0" w:space="0" w:color="auto"/>
        <w:bottom w:val="none" w:sz="0" w:space="0" w:color="auto"/>
        <w:right w:val="none" w:sz="0" w:space="0" w:color="auto"/>
      </w:divBdr>
    </w:div>
    <w:div w:id="673647594">
      <w:bodyDiv w:val="1"/>
      <w:marLeft w:val="0"/>
      <w:marRight w:val="0"/>
      <w:marTop w:val="0"/>
      <w:marBottom w:val="0"/>
      <w:divBdr>
        <w:top w:val="none" w:sz="0" w:space="0" w:color="auto"/>
        <w:left w:val="none" w:sz="0" w:space="0" w:color="auto"/>
        <w:bottom w:val="none" w:sz="0" w:space="0" w:color="auto"/>
        <w:right w:val="none" w:sz="0" w:space="0" w:color="auto"/>
      </w:divBdr>
    </w:div>
    <w:div w:id="746389686">
      <w:bodyDiv w:val="1"/>
      <w:marLeft w:val="0"/>
      <w:marRight w:val="0"/>
      <w:marTop w:val="0"/>
      <w:marBottom w:val="0"/>
      <w:divBdr>
        <w:top w:val="none" w:sz="0" w:space="0" w:color="auto"/>
        <w:left w:val="none" w:sz="0" w:space="0" w:color="auto"/>
        <w:bottom w:val="none" w:sz="0" w:space="0" w:color="auto"/>
        <w:right w:val="none" w:sz="0" w:space="0" w:color="auto"/>
      </w:divBdr>
    </w:div>
    <w:div w:id="755398019">
      <w:bodyDiv w:val="1"/>
      <w:marLeft w:val="0"/>
      <w:marRight w:val="0"/>
      <w:marTop w:val="0"/>
      <w:marBottom w:val="0"/>
      <w:divBdr>
        <w:top w:val="none" w:sz="0" w:space="0" w:color="auto"/>
        <w:left w:val="none" w:sz="0" w:space="0" w:color="auto"/>
        <w:bottom w:val="none" w:sz="0" w:space="0" w:color="auto"/>
        <w:right w:val="none" w:sz="0" w:space="0" w:color="auto"/>
      </w:divBdr>
    </w:div>
    <w:div w:id="764157586">
      <w:bodyDiv w:val="1"/>
      <w:marLeft w:val="0"/>
      <w:marRight w:val="0"/>
      <w:marTop w:val="0"/>
      <w:marBottom w:val="0"/>
      <w:divBdr>
        <w:top w:val="none" w:sz="0" w:space="0" w:color="auto"/>
        <w:left w:val="none" w:sz="0" w:space="0" w:color="auto"/>
        <w:bottom w:val="none" w:sz="0" w:space="0" w:color="auto"/>
        <w:right w:val="none" w:sz="0" w:space="0" w:color="auto"/>
      </w:divBdr>
    </w:div>
    <w:div w:id="797259014">
      <w:bodyDiv w:val="1"/>
      <w:marLeft w:val="0"/>
      <w:marRight w:val="0"/>
      <w:marTop w:val="0"/>
      <w:marBottom w:val="0"/>
      <w:divBdr>
        <w:top w:val="none" w:sz="0" w:space="0" w:color="auto"/>
        <w:left w:val="none" w:sz="0" w:space="0" w:color="auto"/>
        <w:bottom w:val="none" w:sz="0" w:space="0" w:color="auto"/>
        <w:right w:val="none" w:sz="0" w:space="0" w:color="auto"/>
      </w:divBdr>
    </w:div>
    <w:div w:id="804010497">
      <w:bodyDiv w:val="1"/>
      <w:marLeft w:val="0"/>
      <w:marRight w:val="0"/>
      <w:marTop w:val="0"/>
      <w:marBottom w:val="0"/>
      <w:divBdr>
        <w:top w:val="none" w:sz="0" w:space="0" w:color="auto"/>
        <w:left w:val="none" w:sz="0" w:space="0" w:color="auto"/>
        <w:bottom w:val="none" w:sz="0" w:space="0" w:color="auto"/>
        <w:right w:val="none" w:sz="0" w:space="0" w:color="auto"/>
      </w:divBdr>
    </w:div>
    <w:div w:id="818422431">
      <w:bodyDiv w:val="1"/>
      <w:marLeft w:val="0"/>
      <w:marRight w:val="0"/>
      <w:marTop w:val="0"/>
      <w:marBottom w:val="0"/>
      <w:divBdr>
        <w:top w:val="none" w:sz="0" w:space="0" w:color="auto"/>
        <w:left w:val="none" w:sz="0" w:space="0" w:color="auto"/>
        <w:bottom w:val="none" w:sz="0" w:space="0" w:color="auto"/>
        <w:right w:val="none" w:sz="0" w:space="0" w:color="auto"/>
      </w:divBdr>
    </w:div>
    <w:div w:id="974334738">
      <w:bodyDiv w:val="1"/>
      <w:marLeft w:val="0"/>
      <w:marRight w:val="0"/>
      <w:marTop w:val="0"/>
      <w:marBottom w:val="0"/>
      <w:divBdr>
        <w:top w:val="none" w:sz="0" w:space="0" w:color="auto"/>
        <w:left w:val="none" w:sz="0" w:space="0" w:color="auto"/>
        <w:bottom w:val="none" w:sz="0" w:space="0" w:color="auto"/>
        <w:right w:val="none" w:sz="0" w:space="0" w:color="auto"/>
      </w:divBdr>
    </w:div>
    <w:div w:id="1012759903">
      <w:bodyDiv w:val="1"/>
      <w:marLeft w:val="0"/>
      <w:marRight w:val="0"/>
      <w:marTop w:val="0"/>
      <w:marBottom w:val="0"/>
      <w:divBdr>
        <w:top w:val="none" w:sz="0" w:space="0" w:color="auto"/>
        <w:left w:val="none" w:sz="0" w:space="0" w:color="auto"/>
        <w:bottom w:val="none" w:sz="0" w:space="0" w:color="auto"/>
        <w:right w:val="none" w:sz="0" w:space="0" w:color="auto"/>
      </w:divBdr>
    </w:div>
    <w:div w:id="1017660985">
      <w:bodyDiv w:val="1"/>
      <w:marLeft w:val="0"/>
      <w:marRight w:val="0"/>
      <w:marTop w:val="0"/>
      <w:marBottom w:val="0"/>
      <w:divBdr>
        <w:top w:val="none" w:sz="0" w:space="0" w:color="auto"/>
        <w:left w:val="none" w:sz="0" w:space="0" w:color="auto"/>
        <w:bottom w:val="none" w:sz="0" w:space="0" w:color="auto"/>
        <w:right w:val="none" w:sz="0" w:space="0" w:color="auto"/>
      </w:divBdr>
    </w:div>
    <w:div w:id="1103107631">
      <w:bodyDiv w:val="1"/>
      <w:marLeft w:val="0"/>
      <w:marRight w:val="0"/>
      <w:marTop w:val="0"/>
      <w:marBottom w:val="0"/>
      <w:divBdr>
        <w:top w:val="none" w:sz="0" w:space="0" w:color="auto"/>
        <w:left w:val="none" w:sz="0" w:space="0" w:color="auto"/>
        <w:bottom w:val="none" w:sz="0" w:space="0" w:color="auto"/>
        <w:right w:val="none" w:sz="0" w:space="0" w:color="auto"/>
      </w:divBdr>
    </w:div>
    <w:div w:id="1131676167">
      <w:bodyDiv w:val="1"/>
      <w:marLeft w:val="0"/>
      <w:marRight w:val="0"/>
      <w:marTop w:val="0"/>
      <w:marBottom w:val="0"/>
      <w:divBdr>
        <w:top w:val="none" w:sz="0" w:space="0" w:color="auto"/>
        <w:left w:val="none" w:sz="0" w:space="0" w:color="auto"/>
        <w:bottom w:val="none" w:sz="0" w:space="0" w:color="auto"/>
        <w:right w:val="none" w:sz="0" w:space="0" w:color="auto"/>
      </w:divBdr>
    </w:div>
    <w:div w:id="1159228759">
      <w:bodyDiv w:val="1"/>
      <w:marLeft w:val="0"/>
      <w:marRight w:val="0"/>
      <w:marTop w:val="0"/>
      <w:marBottom w:val="0"/>
      <w:divBdr>
        <w:top w:val="none" w:sz="0" w:space="0" w:color="auto"/>
        <w:left w:val="none" w:sz="0" w:space="0" w:color="auto"/>
        <w:bottom w:val="none" w:sz="0" w:space="0" w:color="auto"/>
        <w:right w:val="none" w:sz="0" w:space="0" w:color="auto"/>
      </w:divBdr>
    </w:div>
    <w:div w:id="1163617559">
      <w:bodyDiv w:val="1"/>
      <w:marLeft w:val="0"/>
      <w:marRight w:val="0"/>
      <w:marTop w:val="0"/>
      <w:marBottom w:val="0"/>
      <w:divBdr>
        <w:top w:val="none" w:sz="0" w:space="0" w:color="auto"/>
        <w:left w:val="none" w:sz="0" w:space="0" w:color="auto"/>
        <w:bottom w:val="none" w:sz="0" w:space="0" w:color="auto"/>
        <w:right w:val="none" w:sz="0" w:space="0" w:color="auto"/>
      </w:divBdr>
    </w:div>
    <w:div w:id="1192645036">
      <w:bodyDiv w:val="1"/>
      <w:marLeft w:val="0"/>
      <w:marRight w:val="0"/>
      <w:marTop w:val="0"/>
      <w:marBottom w:val="0"/>
      <w:divBdr>
        <w:top w:val="none" w:sz="0" w:space="0" w:color="auto"/>
        <w:left w:val="none" w:sz="0" w:space="0" w:color="auto"/>
        <w:bottom w:val="none" w:sz="0" w:space="0" w:color="auto"/>
        <w:right w:val="none" w:sz="0" w:space="0" w:color="auto"/>
      </w:divBdr>
    </w:div>
    <w:div w:id="1247692723">
      <w:bodyDiv w:val="1"/>
      <w:marLeft w:val="0"/>
      <w:marRight w:val="0"/>
      <w:marTop w:val="0"/>
      <w:marBottom w:val="0"/>
      <w:divBdr>
        <w:top w:val="none" w:sz="0" w:space="0" w:color="auto"/>
        <w:left w:val="none" w:sz="0" w:space="0" w:color="auto"/>
        <w:bottom w:val="none" w:sz="0" w:space="0" w:color="auto"/>
        <w:right w:val="none" w:sz="0" w:space="0" w:color="auto"/>
      </w:divBdr>
      <w:divsChild>
        <w:div w:id="1078329713">
          <w:marLeft w:val="0"/>
          <w:marRight w:val="0"/>
          <w:marTop w:val="0"/>
          <w:marBottom w:val="0"/>
          <w:divBdr>
            <w:top w:val="none" w:sz="0" w:space="0" w:color="auto"/>
            <w:left w:val="none" w:sz="0" w:space="0" w:color="auto"/>
            <w:bottom w:val="none" w:sz="0" w:space="0" w:color="auto"/>
            <w:right w:val="none" w:sz="0" w:space="0" w:color="auto"/>
          </w:divBdr>
          <w:divsChild>
            <w:div w:id="292977734">
              <w:marLeft w:val="0"/>
              <w:marRight w:val="0"/>
              <w:marTop w:val="0"/>
              <w:marBottom w:val="0"/>
              <w:divBdr>
                <w:top w:val="none" w:sz="0" w:space="0" w:color="auto"/>
                <w:left w:val="none" w:sz="0" w:space="0" w:color="auto"/>
                <w:bottom w:val="none" w:sz="0" w:space="0" w:color="auto"/>
                <w:right w:val="none" w:sz="0" w:space="0" w:color="auto"/>
              </w:divBdr>
              <w:divsChild>
                <w:div w:id="516817273">
                  <w:marLeft w:val="0"/>
                  <w:marRight w:val="0"/>
                  <w:marTop w:val="0"/>
                  <w:marBottom w:val="0"/>
                  <w:divBdr>
                    <w:top w:val="none" w:sz="0" w:space="0" w:color="auto"/>
                    <w:left w:val="none" w:sz="0" w:space="0" w:color="auto"/>
                    <w:bottom w:val="none" w:sz="0" w:space="0" w:color="auto"/>
                    <w:right w:val="none" w:sz="0" w:space="0" w:color="auto"/>
                  </w:divBdr>
                  <w:divsChild>
                    <w:div w:id="1199780735">
                      <w:marLeft w:val="0"/>
                      <w:marRight w:val="0"/>
                      <w:marTop w:val="0"/>
                      <w:marBottom w:val="0"/>
                      <w:divBdr>
                        <w:top w:val="none" w:sz="0" w:space="0" w:color="auto"/>
                        <w:left w:val="none" w:sz="0" w:space="0" w:color="auto"/>
                        <w:bottom w:val="none" w:sz="0" w:space="0" w:color="auto"/>
                        <w:right w:val="none" w:sz="0" w:space="0" w:color="auto"/>
                      </w:divBdr>
                      <w:divsChild>
                        <w:div w:id="217518727">
                          <w:marLeft w:val="0"/>
                          <w:marRight w:val="0"/>
                          <w:marTop w:val="0"/>
                          <w:marBottom w:val="0"/>
                          <w:divBdr>
                            <w:top w:val="none" w:sz="0" w:space="0" w:color="auto"/>
                            <w:left w:val="none" w:sz="0" w:space="0" w:color="auto"/>
                            <w:bottom w:val="none" w:sz="0" w:space="0" w:color="auto"/>
                            <w:right w:val="none" w:sz="0" w:space="0" w:color="auto"/>
                          </w:divBdr>
                          <w:divsChild>
                            <w:div w:id="176969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928654">
      <w:bodyDiv w:val="1"/>
      <w:marLeft w:val="0"/>
      <w:marRight w:val="0"/>
      <w:marTop w:val="0"/>
      <w:marBottom w:val="0"/>
      <w:divBdr>
        <w:top w:val="none" w:sz="0" w:space="0" w:color="auto"/>
        <w:left w:val="none" w:sz="0" w:space="0" w:color="auto"/>
        <w:bottom w:val="none" w:sz="0" w:space="0" w:color="auto"/>
        <w:right w:val="none" w:sz="0" w:space="0" w:color="auto"/>
      </w:divBdr>
    </w:div>
    <w:div w:id="1307668165">
      <w:bodyDiv w:val="1"/>
      <w:marLeft w:val="0"/>
      <w:marRight w:val="0"/>
      <w:marTop w:val="0"/>
      <w:marBottom w:val="0"/>
      <w:divBdr>
        <w:top w:val="none" w:sz="0" w:space="0" w:color="auto"/>
        <w:left w:val="none" w:sz="0" w:space="0" w:color="auto"/>
        <w:bottom w:val="none" w:sz="0" w:space="0" w:color="auto"/>
        <w:right w:val="none" w:sz="0" w:space="0" w:color="auto"/>
      </w:divBdr>
    </w:div>
    <w:div w:id="1328553037">
      <w:bodyDiv w:val="1"/>
      <w:marLeft w:val="0"/>
      <w:marRight w:val="0"/>
      <w:marTop w:val="0"/>
      <w:marBottom w:val="0"/>
      <w:divBdr>
        <w:top w:val="none" w:sz="0" w:space="0" w:color="auto"/>
        <w:left w:val="none" w:sz="0" w:space="0" w:color="auto"/>
        <w:bottom w:val="none" w:sz="0" w:space="0" w:color="auto"/>
        <w:right w:val="none" w:sz="0" w:space="0" w:color="auto"/>
      </w:divBdr>
    </w:div>
    <w:div w:id="1344823162">
      <w:bodyDiv w:val="1"/>
      <w:marLeft w:val="0"/>
      <w:marRight w:val="0"/>
      <w:marTop w:val="0"/>
      <w:marBottom w:val="0"/>
      <w:divBdr>
        <w:top w:val="none" w:sz="0" w:space="0" w:color="auto"/>
        <w:left w:val="none" w:sz="0" w:space="0" w:color="auto"/>
        <w:bottom w:val="none" w:sz="0" w:space="0" w:color="auto"/>
        <w:right w:val="none" w:sz="0" w:space="0" w:color="auto"/>
      </w:divBdr>
    </w:div>
    <w:div w:id="1441143794">
      <w:bodyDiv w:val="1"/>
      <w:marLeft w:val="0"/>
      <w:marRight w:val="0"/>
      <w:marTop w:val="0"/>
      <w:marBottom w:val="0"/>
      <w:divBdr>
        <w:top w:val="none" w:sz="0" w:space="0" w:color="auto"/>
        <w:left w:val="none" w:sz="0" w:space="0" w:color="auto"/>
        <w:bottom w:val="none" w:sz="0" w:space="0" w:color="auto"/>
        <w:right w:val="none" w:sz="0" w:space="0" w:color="auto"/>
      </w:divBdr>
    </w:div>
    <w:div w:id="1452360186">
      <w:bodyDiv w:val="1"/>
      <w:marLeft w:val="0"/>
      <w:marRight w:val="0"/>
      <w:marTop w:val="0"/>
      <w:marBottom w:val="0"/>
      <w:divBdr>
        <w:top w:val="none" w:sz="0" w:space="0" w:color="auto"/>
        <w:left w:val="none" w:sz="0" w:space="0" w:color="auto"/>
        <w:bottom w:val="none" w:sz="0" w:space="0" w:color="auto"/>
        <w:right w:val="none" w:sz="0" w:space="0" w:color="auto"/>
      </w:divBdr>
    </w:div>
    <w:div w:id="1493906755">
      <w:bodyDiv w:val="1"/>
      <w:marLeft w:val="0"/>
      <w:marRight w:val="0"/>
      <w:marTop w:val="0"/>
      <w:marBottom w:val="0"/>
      <w:divBdr>
        <w:top w:val="none" w:sz="0" w:space="0" w:color="auto"/>
        <w:left w:val="none" w:sz="0" w:space="0" w:color="auto"/>
        <w:bottom w:val="none" w:sz="0" w:space="0" w:color="auto"/>
        <w:right w:val="none" w:sz="0" w:space="0" w:color="auto"/>
      </w:divBdr>
    </w:div>
    <w:div w:id="1514495146">
      <w:bodyDiv w:val="1"/>
      <w:marLeft w:val="0"/>
      <w:marRight w:val="0"/>
      <w:marTop w:val="0"/>
      <w:marBottom w:val="0"/>
      <w:divBdr>
        <w:top w:val="none" w:sz="0" w:space="0" w:color="auto"/>
        <w:left w:val="none" w:sz="0" w:space="0" w:color="auto"/>
        <w:bottom w:val="none" w:sz="0" w:space="0" w:color="auto"/>
        <w:right w:val="none" w:sz="0" w:space="0" w:color="auto"/>
      </w:divBdr>
    </w:div>
    <w:div w:id="1539465045">
      <w:bodyDiv w:val="1"/>
      <w:marLeft w:val="0"/>
      <w:marRight w:val="0"/>
      <w:marTop w:val="0"/>
      <w:marBottom w:val="0"/>
      <w:divBdr>
        <w:top w:val="none" w:sz="0" w:space="0" w:color="auto"/>
        <w:left w:val="none" w:sz="0" w:space="0" w:color="auto"/>
        <w:bottom w:val="none" w:sz="0" w:space="0" w:color="auto"/>
        <w:right w:val="none" w:sz="0" w:space="0" w:color="auto"/>
      </w:divBdr>
    </w:div>
    <w:div w:id="1560094081">
      <w:bodyDiv w:val="1"/>
      <w:marLeft w:val="0"/>
      <w:marRight w:val="0"/>
      <w:marTop w:val="0"/>
      <w:marBottom w:val="0"/>
      <w:divBdr>
        <w:top w:val="none" w:sz="0" w:space="0" w:color="auto"/>
        <w:left w:val="none" w:sz="0" w:space="0" w:color="auto"/>
        <w:bottom w:val="none" w:sz="0" w:space="0" w:color="auto"/>
        <w:right w:val="none" w:sz="0" w:space="0" w:color="auto"/>
      </w:divBdr>
    </w:div>
    <w:div w:id="1612205795">
      <w:bodyDiv w:val="1"/>
      <w:marLeft w:val="0"/>
      <w:marRight w:val="0"/>
      <w:marTop w:val="0"/>
      <w:marBottom w:val="0"/>
      <w:divBdr>
        <w:top w:val="none" w:sz="0" w:space="0" w:color="auto"/>
        <w:left w:val="none" w:sz="0" w:space="0" w:color="auto"/>
        <w:bottom w:val="none" w:sz="0" w:space="0" w:color="auto"/>
        <w:right w:val="none" w:sz="0" w:space="0" w:color="auto"/>
      </w:divBdr>
    </w:div>
    <w:div w:id="1689402494">
      <w:bodyDiv w:val="1"/>
      <w:marLeft w:val="0"/>
      <w:marRight w:val="0"/>
      <w:marTop w:val="0"/>
      <w:marBottom w:val="0"/>
      <w:divBdr>
        <w:top w:val="none" w:sz="0" w:space="0" w:color="auto"/>
        <w:left w:val="none" w:sz="0" w:space="0" w:color="auto"/>
        <w:bottom w:val="none" w:sz="0" w:space="0" w:color="auto"/>
        <w:right w:val="none" w:sz="0" w:space="0" w:color="auto"/>
      </w:divBdr>
    </w:div>
    <w:div w:id="1702824863">
      <w:bodyDiv w:val="1"/>
      <w:marLeft w:val="0"/>
      <w:marRight w:val="0"/>
      <w:marTop w:val="0"/>
      <w:marBottom w:val="0"/>
      <w:divBdr>
        <w:top w:val="none" w:sz="0" w:space="0" w:color="auto"/>
        <w:left w:val="none" w:sz="0" w:space="0" w:color="auto"/>
        <w:bottom w:val="none" w:sz="0" w:space="0" w:color="auto"/>
        <w:right w:val="none" w:sz="0" w:space="0" w:color="auto"/>
      </w:divBdr>
    </w:div>
    <w:div w:id="1705909234">
      <w:bodyDiv w:val="1"/>
      <w:marLeft w:val="0"/>
      <w:marRight w:val="0"/>
      <w:marTop w:val="0"/>
      <w:marBottom w:val="0"/>
      <w:divBdr>
        <w:top w:val="none" w:sz="0" w:space="0" w:color="auto"/>
        <w:left w:val="none" w:sz="0" w:space="0" w:color="auto"/>
        <w:bottom w:val="none" w:sz="0" w:space="0" w:color="auto"/>
        <w:right w:val="none" w:sz="0" w:space="0" w:color="auto"/>
      </w:divBdr>
      <w:divsChild>
        <w:div w:id="277957713">
          <w:marLeft w:val="0"/>
          <w:marRight w:val="0"/>
          <w:marTop w:val="0"/>
          <w:marBottom w:val="0"/>
          <w:divBdr>
            <w:top w:val="none" w:sz="0" w:space="0" w:color="auto"/>
            <w:left w:val="none" w:sz="0" w:space="0" w:color="auto"/>
            <w:bottom w:val="none" w:sz="0" w:space="0" w:color="auto"/>
            <w:right w:val="none" w:sz="0" w:space="0" w:color="auto"/>
          </w:divBdr>
          <w:divsChild>
            <w:div w:id="243538656">
              <w:marLeft w:val="0"/>
              <w:marRight w:val="0"/>
              <w:marTop w:val="0"/>
              <w:marBottom w:val="0"/>
              <w:divBdr>
                <w:top w:val="none" w:sz="0" w:space="0" w:color="auto"/>
                <w:left w:val="none" w:sz="0" w:space="0" w:color="auto"/>
                <w:bottom w:val="none" w:sz="0" w:space="0" w:color="auto"/>
                <w:right w:val="none" w:sz="0" w:space="0" w:color="auto"/>
              </w:divBdr>
            </w:div>
          </w:divsChild>
        </w:div>
        <w:div w:id="2126844455">
          <w:marLeft w:val="0"/>
          <w:marRight w:val="0"/>
          <w:marTop w:val="0"/>
          <w:marBottom w:val="0"/>
          <w:divBdr>
            <w:top w:val="none" w:sz="0" w:space="0" w:color="auto"/>
            <w:left w:val="none" w:sz="0" w:space="0" w:color="auto"/>
            <w:bottom w:val="none" w:sz="0" w:space="0" w:color="auto"/>
            <w:right w:val="none" w:sz="0" w:space="0" w:color="auto"/>
          </w:divBdr>
          <w:divsChild>
            <w:div w:id="1165586873">
              <w:marLeft w:val="0"/>
              <w:marRight w:val="0"/>
              <w:marTop w:val="0"/>
              <w:marBottom w:val="0"/>
              <w:divBdr>
                <w:top w:val="none" w:sz="0" w:space="0" w:color="auto"/>
                <w:left w:val="none" w:sz="0" w:space="0" w:color="auto"/>
                <w:bottom w:val="none" w:sz="0" w:space="0" w:color="auto"/>
                <w:right w:val="none" w:sz="0" w:space="0" w:color="auto"/>
              </w:divBdr>
            </w:div>
          </w:divsChild>
        </w:div>
        <w:div w:id="726032386">
          <w:marLeft w:val="0"/>
          <w:marRight w:val="0"/>
          <w:marTop w:val="0"/>
          <w:marBottom w:val="0"/>
          <w:divBdr>
            <w:top w:val="none" w:sz="0" w:space="0" w:color="auto"/>
            <w:left w:val="none" w:sz="0" w:space="0" w:color="auto"/>
            <w:bottom w:val="none" w:sz="0" w:space="0" w:color="auto"/>
            <w:right w:val="none" w:sz="0" w:space="0" w:color="auto"/>
          </w:divBdr>
          <w:divsChild>
            <w:div w:id="86378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437876">
      <w:bodyDiv w:val="1"/>
      <w:marLeft w:val="0"/>
      <w:marRight w:val="0"/>
      <w:marTop w:val="0"/>
      <w:marBottom w:val="0"/>
      <w:divBdr>
        <w:top w:val="none" w:sz="0" w:space="0" w:color="auto"/>
        <w:left w:val="none" w:sz="0" w:space="0" w:color="auto"/>
        <w:bottom w:val="none" w:sz="0" w:space="0" w:color="auto"/>
        <w:right w:val="none" w:sz="0" w:space="0" w:color="auto"/>
      </w:divBdr>
    </w:div>
    <w:div w:id="1768577207">
      <w:bodyDiv w:val="1"/>
      <w:marLeft w:val="0"/>
      <w:marRight w:val="0"/>
      <w:marTop w:val="0"/>
      <w:marBottom w:val="0"/>
      <w:divBdr>
        <w:top w:val="none" w:sz="0" w:space="0" w:color="auto"/>
        <w:left w:val="none" w:sz="0" w:space="0" w:color="auto"/>
        <w:bottom w:val="none" w:sz="0" w:space="0" w:color="auto"/>
        <w:right w:val="none" w:sz="0" w:space="0" w:color="auto"/>
      </w:divBdr>
    </w:div>
    <w:div w:id="1819683720">
      <w:bodyDiv w:val="1"/>
      <w:marLeft w:val="0"/>
      <w:marRight w:val="0"/>
      <w:marTop w:val="0"/>
      <w:marBottom w:val="0"/>
      <w:divBdr>
        <w:top w:val="none" w:sz="0" w:space="0" w:color="auto"/>
        <w:left w:val="none" w:sz="0" w:space="0" w:color="auto"/>
        <w:bottom w:val="none" w:sz="0" w:space="0" w:color="auto"/>
        <w:right w:val="none" w:sz="0" w:space="0" w:color="auto"/>
      </w:divBdr>
    </w:div>
    <w:div w:id="1877964490">
      <w:bodyDiv w:val="1"/>
      <w:marLeft w:val="0"/>
      <w:marRight w:val="0"/>
      <w:marTop w:val="0"/>
      <w:marBottom w:val="0"/>
      <w:divBdr>
        <w:top w:val="none" w:sz="0" w:space="0" w:color="auto"/>
        <w:left w:val="none" w:sz="0" w:space="0" w:color="auto"/>
        <w:bottom w:val="none" w:sz="0" w:space="0" w:color="auto"/>
        <w:right w:val="none" w:sz="0" w:space="0" w:color="auto"/>
      </w:divBdr>
    </w:div>
    <w:div w:id="1882285848">
      <w:bodyDiv w:val="1"/>
      <w:marLeft w:val="0"/>
      <w:marRight w:val="0"/>
      <w:marTop w:val="0"/>
      <w:marBottom w:val="0"/>
      <w:divBdr>
        <w:top w:val="none" w:sz="0" w:space="0" w:color="auto"/>
        <w:left w:val="none" w:sz="0" w:space="0" w:color="auto"/>
        <w:bottom w:val="none" w:sz="0" w:space="0" w:color="auto"/>
        <w:right w:val="none" w:sz="0" w:space="0" w:color="auto"/>
      </w:divBdr>
    </w:div>
    <w:div w:id="1883203369">
      <w:bodyDiv w:val="1"/>
      <w:marLeft w:val="0"/>
      <w:marRight w:val="0"/>
      <w:marTop w:val="0"/>
      <w:marBottom w:val="0"/>
      <w:divBdr>
        <w:top w:val="none" w:sz="0" w:space="0" w:color="auto"/>
        <w:left w:val="none" w:sz="0" w:space="0" w:color="auto"/>
        <w:bottom w:val="none" w:sz="0" w:space="0" w:color="auto"/>
        <w:right w:val="none" w:sz="0" w:space="0" w:color="auto"/>
      </w:divBdr>
    </w:div>
    <w:div w:id="1916209624">
      <w:bodyDiv w:val="1"/>
      <w:marLeft w:val="0"/>
      <w:marRight w:val="0"/>
      <w:marTop w:val="0"/>
      <w:marBottom w:val="0"/>
      <w:divBdr>
        <w:top w:val="none" w:sz="0" w:space="0" w:color="auto"/>
        <w:left w:val="none" w:sz="0" w:space="0" w:color="auto"/>
        <w:bottom w:val="none" w:sz="0" w:space="0" w:color="auto"/>
        <w:right w:val="none" w:sz="0" w:space="0" w:color="auto"/>
      </w:divBdr>
    </w:div>
    <w:div w:id="1930851629">
      <w:bodyDiv w:val="1"/>
      <w:marLeft w:val="0"/>
      <w:marRight w:val="0"/>
      <w:marTop w:val="0"/>
      <w:marBottom w:val="0"/>
      <w:divBdr>
        <w:top w:val="none" w:sz="0" w:space="0" w:color="auto"/>
        <w:left w:val="none" w:sz="0" w:space="0" w:color="auto"/>
        <w:bottom w:val="none" w:sz="0" w:space="0" w:color="auto"/>
        <w:right w:val="none" w:sz="0" w:space="0" w:color="auto"/>
      </w:divBdr>
    </w:div>
    <w:div w:id="1959875619">
      <w:bodyDiv w:val="1"/>
      <w:marLeft w:val="0"/>
      <w:marRight w:val="0"/>
      <w:marTop w:val="0"/>
      <w:marBottom w:val="0"/>
      <w:divBdr>
        <w:top w:val="none" w:sz="0" w:space="0" w:color="auto"/>
        <w:left w:val="none" w:sz="0" w:space="0" w:color="auto"/>
        <w:bottom w:val="none" w:sz="0" w:space="0" w:color="auto"/>
        <w:right w:val="none" w:sz="0" w:space="0" w:color="auto"/>
      </w:divBdr>
    </w:div>
    <w:div w:id="1993829244">
      <w:bodyDiv w:val="1"/>
      <w:marLeft w:val="0"/>
      <w:marRight w:val="0"/>
      <w:marTop w:val="0"/>
      <w:marBottom w:val="0"/>
      <w:divBdr>
        <w:top w:val="none" w:sz="0" w:space="0" w:color="auto"/>
        <w:left w:val="none" w:sz="0" w:space="0" w:color="auto"/>
        <w:bottom w:val="none" w:sz="0" w:space="0" w:color="auto"/>
        <w:right w:val="none" w:sz="0" w:space="0" w:color="auto"/>
      </w:divBdr>
    </w:div>
    <w:div w:id="2090424980">
      <w:bodyDiv w:val="1"/>
      <w:marLeft w:val="0"/>
      <w:marRight w:val="0"/>
      <w:marTop w:val="0"/>
      <w:marBottom w:val="0"/>
      <w:divBdr>
        <w:top w:val="none" w:sz="0" w:space="0" w:color="auto"/>
        <w:left w:val="none" w:sz="0" w:space="0" w:color="auto"/>
        <w:bottom w:val="none" w:sz="0" w:space="0" w:color="auto"/>
        <w:right w:val="none" w:sz="0" w:space="0" w:color="auto"/>
      </w:divBdr>
    </w:div>
    <w:div w:id="2108306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7F510-2FF4-4F6F-AB69-E949A08B5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5925</Words>
  <Characters>33774</Characters>
  <Application>Microsoft Office Word</Application>
  <DocSecurity>0</DocSecurity>
  <Lines>281</Lines>
  <Paragraphs>79</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
      <vt:lpstr>1. Financial Health Check</vt:lpstr>
      <vt:lpstr>    1.1 Overview of Financial Performance (2020–2024)</vt:lpstr>
      <vt:lpstr>    1.2 Profitability Analysis</vt:lpstr>
      <vt:lpstr>    1.3 Liquidity Analysis</vt:lpstr>
      <vt:lpstr>    1.4 Efficiency Analysis</vt:lpstr>
      <vt:lpstr>    1.5 Gearing and Solvency Analysis</vt:lpstr>
      <vt:lpstr>    1.6 Investment and Market Performance</vt:lpstr>
      <vt:lpstr>    1.7 Cash Flow Analysis</vt:lpstr>
      <vt:lpstr>    1.8 Corporate Failure Prediction (Altman Z-Score)</vt:lpstr>
      <vt:lpstr>2. Working Capital Management Analysis</vt:lpstr>
      <vt:lpstr>    2.1 Cash Operating Cycle Evaluation</vt:lpstr>
      <vt:lpstr>    2.2 Liquidity and Operational Implications</vt:lpstr>
      <vt:lpstr>    2.3 Recommended Reforms</vt:lpstr>
      <vt:lpstr>    2.4 Financing Options</vt:lpstr>
      <vt:lpstr>3. Strategic Financial Restructuring Plan</vt:lpstr>
      <vt:lpstr>    3.1 Diagnosis of Financial Distress</vt:lpstr>
      <vt:lpstr>    3.2 Strategic Options</vt:lpstr>
      <vt:lpstr>    3.3 Impact Analysis</vt:lpstr>
      <vt:lpstr>    3.4 International and Ethical Considerations</vt:lpstr>
      <vt:lpstr>4. Investment Appraisal and Capital Budgeting</vt:lpstr>
      <vt:lpstr>    4.1 Introduction to Proposed Projects</vt:lpstr>
      <vt:lpstr>    4.2 Computation of Appraisal Methods</vt:lpstr>
      <vt:lpstr>    4.3 Comparison and Ranking</vt:lpstr>
      <vt:lpstr>    4.4 Investment Recommendation (Capital Rationing £60m)</vt:lpstr>
      <vt:lpstr>    4.5 Risk Analysis</vt:lpstr>
      <vt:lpstr>    4.6 Strategic Fit</vt:lpstr>
      <vt:lpstr>Reference List</vt:lpstr>
      <vt:lpstr>Appendix</vt:lpstr>
    </vt:vector>
  </TitlesOfParts>
  <Company/>
  <LinksUpToDate>false</LinksUpToDate>
  <CharactersWithSpaces>39620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Dinko Radev</cp:lastModifiedBy>
  <cp:revision>36</cp:revision>
  <dcterms:created xsi:type="dcterms:W3CDTF">2025-11-06T14:34:00Z</dcterms:created>
  <dcterms:modified xsi:type="dcterms:W3CDTF">2025-12-21T14:20:00Z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f0902501-8a6f-44e9-8349-d482f9efb42e</vt:lpwstr>
  </property>
</Properties>
</file>