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451F5" w:rsidRDefault="001B5B4E">
      <w:r>
        <w:t>AHHI6001</w:t>
      </w:r>
    </w:p>
    <w:p w:rsidR="00815143" w:rsidRDefault="008E3DF6">
      <w:r>
        <w:t xml:space="preserve">2000 Word </w:t>
      </w:r>
      <w:r w:rsidR="001B5B4E">
        <w:t>Document Report</w:t>
      </w:r>
      <w:r w:rsidR="00FF6E99">
        <w:t xml:space="preserve"> – Comparison</w:t>
      </w:r>
      <w:r w:rsidR="00815143">
        <w:t xml:space="preserve"> of Recruitment posters Source</w:t>
      </w:r>
    </w:p>
    <w:p w:rsidR="008E3DF6" w:rsidRDefault="00091217">
      <w:r>
        <w:rPr>
          <w:noProof/>
          <w:lang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473710</wp:posOffset>
            </wp:positionV>
            <wp:extent cx="3810635" cy="4295775"/>
            <wp:effectExtent l="0" t="0" r="0"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635" cy="4295775"/>
                    </a:xfrm>
                    <a:prstGeom prst="rect">
                      <a:avLst/>
                    </a:prstGeom>
                    <a:noFill/>
                  </pic:spPr>
                </pic:pic>
              </a:graphicData>
            </a:graphic>
            <wp14:sizeRelH relativeFrom="page">
              <wp14:pctWidth>0</wp14:pctWidth>
            </wp14:sizeRelH>
            <wp14:sizeRelV relativeFrom="page">
              <wp14:pctHeight>0</wp14:pctHeight>
            </wp14:sizeRelV>
          </wp:anchor>
        </w:drawing>
      </w:r>
      <w:r w:rsidR="008E3DF6">
        <w:t>This report looks at the posters created between the start of the war and the introduction of conscription in 1916 and how they were used to encourage people to enlist in the war effort.</w:t>
      </w:r>
    </w:p>
    <w:p w:rsidR="008E3DF6" w:rsidRDefault="008E3DF6"/>
    <w:p w:rsidR="00FF6E99" w:rsidRDefault="00654176">
      <w:r>
        <w:t>Poster 1</w:t>
      </w:r>
      <w:r w:rsidR="00091217">
        <w:t xml:space="preserve"> (Remember Scarborough)</w:t>
      </w:r>
      <w:r>
        <w:rPr>
          <w:rStyle w:val="FootnoteReference"/>
        </w:rPr>
        <w:footnoteReference w:id="1"/>
      </w:r>
    </w:p>
    <w:p w:rsidR="00CE1BB4" w:rsidRDefault="00EC6FB2">
      <w:r>
        <w:t xml:space="preserve">This recruitment poster was created by the British Government, with the obvious aim of recruiting people into the Army. Using the attack on the North Sea ports of Hartlepool, West Hartlepool, Whitby and Scarborough by the German First High Seas Fleet Scouting Group as an emotional trigger to encourage people into the Army to avenge the attack, by making the viewer feel personally attacked by the event, even if they weren’t from the areas bombarded. </w:t>
      </w:r>
    </w:p>
    <w:p w:rsidR="00FF6E99" w:rsidRDefault="00EC6FB2">
      <w:r>
        <w:t>The Attack itself happened on the 16</w:t>
      </w:r>
      <w:r w:rsidRPr="00EC6FB2">
        <w:rPr>
          <w:vertAlign w:val="superscript"/>
        </w:rPr>
        <w:t>th</w:t>
      </w:r>
      <w:r>
        <w:t xml:space="preserve"> of December 1914 </w:t>
      </w:r>
      <w:r w:rsidR="00C26B6B">
        <w:t>claiming the lives of 137 people and leaving 592 wounded, the Recruitment poster was released soon after</w:t>
      </w:r>
      <w:r w:rsidR="00FA2C44">
        <w:t>, specifically mentioning the Scarborough attack,</w:t>
      </w:r>
      <w:r w:rsidR="00C26B6B">
        <w:t xml:space="preserve"> to capitalise </w:t>
      </w:r>
      <w:r w:rsidR="00CE1BB4">
        <w:t>on the raw anti-German sentiment the attacks had created.</w:t>
      </w:r>
      <w:r w:rsidR="00982B54">
        <w:rPr>
          <w:rStyle w:val="FootnoteReference"/>
        </w:rPr>
        <w:footnoteReference w:id="2"/>
      </w:r>
      <w:r w:rsidR="00CE1BB4">
        <w:t xml:space="preserve"> However the Public had also directed anger towards the Royal Navy as they had moved their operating base </w:t>
      </w:r>
      <w:r w:rsidR="00BA33EB">
        <w:t>to Scapa Flow, island base of the north end of Scotland,</w:t>
      </w:r>
      <w:r w:rsidR="00FA2C44">
        <w:t xml:space="preserve"> in order to avoid confronting </w:t>
      </w:r>
      <w:r w:rsidR="00FA2C44">
        <w:lastRenderedPageBreak/>
        <w:t>the German U-boats. Whilst keeping the Fleets safe the coastline became exposed as it took several hours for the Battle Cruisers, the fastest ships in the fleet with an average speed of 24 Knots, to reach the German ships.</w:t>
      </w:r>
      <w:r w:rsidR="00BA33EB">
        <w:rPr>
          <w:rStyle w:val="FootnoteReference"/>
        </w:rPr>
        <w:footnoteReference w:id="3"/>
      </w:r>
      <w:r w:rsidR="00FA2C44">
        <w:t xml:space="preserve"> </w:t>
      </w:r>
    </w:p>
    <w:p w:rsidR="00FA2C44" w:rsidRDefault="00FF670A">
      <w:r>
        <w:t xml:space="preserve">The poster was intended for the general public as there was a need to recruit numbers into the army as by the time the poster was made there had been </w:t>
      </w:r>
      <w:r w:rsidR="008B5D65">
        <w:t>nearly 5 months of fighting and the government needed more men to join and fight because there was a lac</w:t>
      </w:r>
      <w:r w:rsidR="00165124">
        <w:t>k of manpower for the campaigns. The poster also played into the atrocity propagand</w:t>
      </w:r>
      <w:r w:rsidR="00D55B54">
        <w:t>a that reached its peak in 1915, stories of Germans stabbing babies as they invaded Belgium and similar such stories were used in conjunction with attacks such as the ones used by the poster to encourage people to enlist to defeat the ‘Hun’, a term created to dehumanise the Germans, though the majority of these claims were fictitious or exaggerations of events.</w:t>
      </w:r>
      <w:r w:rsidR="00D55B54">
        <w:rPr>
          <w:rStyle w:val="FootnoteReference"/>
        </w:rPr>
        <w:footnoteReference w:id="4"/>
      </w:r>
    </w:p>
    <w:p w:rsidR="0094390A" w:rsidRDefault="0094390A">
      <w:r>
        <w:t xml:space="preserve">The poster also calls on the Patriotism of the viewer, with the figure of </w:t>
      </w:r>
      <w:r w:rsidR="009C40C6">
        <w:t>Britannia</w:t>
      </w:r>
      <w:r>
        <w:t xml:space="preserve"> leading the men that have answered the call to avenge the attacks. This is another uses of emotional persuasion here as the poster implies with the large crowd that the viewer, should he not enlist, would be, quite literally, letting his nation down as the figure of </w:t>
      </w:r>
      <w:r w:rsidR="009C40C6">
        <w:t>Britannia</w:t>
      </w:r>
      <w:r>
        <w:t xml:space="preserve"> is central to the poster. The poster also implies that the viewer as a result is unpatriotic, if they did not enlist, as they are willing to let these attacks on the civilian pop</w:t>
      </w:r>
      <w:r w:rsidR="00F11098">
        <w:t>ulation of Britain go without comeuppance</w:t>
      </w:r>
      <w:r>
        <w:t xml:space="preserve">. An added factor to which would be that these attacks and the later zeppelin bombings were the first of their kind in warfare, a direct attack on a civilian populace in order to break the moral at home and cripple the war effort from the source. </w:t>
      </w:r>
      <w:r w:rsidR="00F11098">
        <w:t>This kind of attack at the time was unprecedented and would have caused a lot of panic and anger and so this poster seeks to use the anger of the public to recruit people into the army to, in a sense, bring the Germans to justice.</w:t>
      </w:r>
      <w:r w:rsidR="00147CD7">
        <w:rPr>
          <w:rStyle w:val="FootnoteReference"/>
        </w:rPr>
        <w:footnoteReference w:id="5"/>
      </w:r>
      <w:r w:rsidR="00B101E6">
        <w:t xml:space="preserve"> This </w:t>
      </w:r>
      <w:r w:rsidR="00F37DD0">
        <w:t>could</w:t>
      </w:r>
      <w:r w:rsidR="00B101E6">
        <w:t xml:space="preserve"> also be compared to the more popular Lord Kitchener Recruitment poster as both appeal to the individuals love for their country, as Kitchener was a war hero, but this as mentioned before has the nation calling for vengeance verses the reader being told by a national hero to enlist.</w:t>
      </w:r>
      <w:r w:rsidR="009C40C6">
        <w:t xml:space="preserve"> This use of Britannia also seeks to target the masculinity of the viewer, less so than the later posters though, as Britannia is leading the charge and so the viewer feels more obliged to go and support as if a woman is brave enough to go then surely he should go as well? Obviously it’s not like the other posters in the same regard as Britannia is an embodiment of the British public</w:t>
      </w:r>
      <w:r w:rsidR="007D4CEE">
        <w:t xml:space="preserve"> and thusly is less about targeting the </w:t>
      </w:r>
      <w:r w:rsidR="00165124">
        <w:t>viewer’s</w:t>
      </w:r>
      <w:r w:rsidR="007D4CEE">
        <w:t xml:space="preserve"> masculinity but rather pulling on their patriotism.</w:t>
      </w:r>
      <w:r w:rsidR="009C40C6">
        <w:t xml:space="preserve"> </w:t>
      </w:r>
    </w:p>
    <w:p w:rsidR="008E3DF6" w:rsidRDefault="00091217">
      <w:r>
        <w:rPr>
          <w:noProof/>
          <w:lang w:eastAsia="en-GB"/>
        </w:rPr>
        <w:lastRenderedPageBreak/>
        <w:drawing>
          <wp:anchor distT="0" distB="0" distL="114300" distR="114300" simplePos="0" relativeHeight="251659264" behindDoc="0" locked="0" layoutInCell="1" allowOverlap="1">
            <wp:simplePos x="0" y="0"/>
            <wp:positionH relativeFrom="margin">
              <wp:align>left</wp:align>
            </wp:positionH>
            <wp:positionV relativeFrom="paragraph">
              <wp:posOffset>0</wp:posOffset>
            </wp:positionV>
            <wp:extent cx="3602990" cy="3648075"/>
            <wp:effectExtent l="0" t="0" r="0"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2990" cy="3648075"/>
                    </a:xfrm>
                    <a:prstGeom prst="rect">
                      <a:avLst/>
                    </a:prstGeom>
                    <a:noFill/>
                  </pic:spPr>
                </pic:pic>
              </a:graphicData>
            </a:graphic>
            <wp14:sizeRelH relativeFrom="page">
              <wp14:pctWidth>0</wp14:pctWidth>
            </wp14:sizeRelH>
            <wp14:sizeRelV relativeFrom="page">
              <wp14:pctHeight>0</wp14:pctHeight>
            </wp14:sizeRelV>
          </wp:anchor>
        </w:drawing>
      </w:r>
    </w:p>
    <w:p w:rsidR="00FF6E99" w:rsidRDefault="00FF6E99">
      <w:r>
        <w:t>Poster 2</w:t>
      </w:r>
      <w:r w:rsidR="00091217">
        <w:t xml:space="preserve"> (Conscription Notice)</w:t>
      </w:r>
      <w:r w:rsidR="000401E7">
        <w:rPr>
          <w:rStyle w:val="FootnoteReference"/>
        </w:rPr>
        <w:footnoteReference w:id="6"/>
      </w:r>
    </w:p>
    <w:p w:rsidR="008B5D65" w:rsidRDefault="008B5D65">
      <w:r>
        <w:t>The Second poster on the other hand was released early 1916 to signify that all men to whom it applied were to register for the army because conscription was implemented into law due to the manpower shortage mentioned earlier.</w:t>
      </w:r>
      <w:r w:rsidR="00147CD7">
        <w:rPr>
          <w:rStyle w:val="FootnoteReference"/>
        </w:rPr>
        <w:footnoteReference w:id="7"/>
      </w:r>
      <w:r>
        <w:t xml:space="preserve"> It was also created and distributed in order to make sure that eve</w:t>
      </w:r>
      <w:r w:rsidR="00D776F2">
        <w:t xml:space="preserve">ryone knew the change in law. Like with other Recruitment Posters this would have appeared on noticeboards, newspapers and other places the mass public could see in order to get the message more widely spread. </w:t>
      </w:r>
      <w:r>
        <w:t xml:space="preserve"> </w:t>
      </w:r>
    </w:p>
    <w:p w:rsidR="00AC5B1D" w:rsidRDefault="00AC5B1D">
      <w:r>
        <w:t xml:space="preserve">The Tone of this poster is more ‘matter of fact’ than its previous counter parts due to the change in how the </w:t>
      </w:r>
      <w:r w:rsidR="00586E12">
        <w:t>British</w:t>
      </w:r>
      <w:r>
        <w:t xml:space="preserve"> army recruited soldiers</w:t>
      </w:r>
      <w:r w:rsidR="006A7A63">
        <w:t xml:space="preserve"> as they no longer had to rely on patriotism and emotional manipulation as it became a legal requirement to join the army rather than a voluntary decision.</w:t>
      </w:r>
      <w:r w:rsidR="00CD10F2">
        <w:t xml:space="preserve"> This poster is however still encouraging people to enlist voluntarily before the conscription date, presumably because a steadier number of fresh soldiers is needed rather than one large group on the 2</w:t>
      </w:r>
      <w:r w:rsidR="00CD10F2" w:rsidRPr="00CD10F2">
        <w:rPr>
          <w:vertAlign w:val="superscript"/>
        </w:rPr>
        <w:t>nd</w:t>
      </w:r>
      <w:r w:rsidR="00CD10F2">
        <w:t xml:space="preserve"> of March, in order to reinforce parts of the trenches and to ease and streamline the training of the new soldiers.</w:t>
      </w:r>
    </w:p>
    <w:p w:rsidR="00CD10F2" w:rsidRDefault="00CD10F2">
      <w:r>
        <w:t>However this poster does mention that an individual could work in other occupations that assisted the war effort, occupations such as the medical core or mining, and does mention that those working in occupations deemed crucial to the war effort, like the aforementioned mining, were required to stay in those professions rather than enlist</w:t>
      </w:r>
      <w:r w:rsidR="00A340CA">
        <w:t xml:space="preserve">. The other poster on the other hand only seems to suggest that those that volunteer must join the army to seek vengeance on the Germans for the attacks on the coastline, this change is probably due to the realisation by 1916 that </w:t>
      </w:r>
      <w:r w:rsidR="00FF6E50">
        <w:t xml:space="preserve">the </w:t>
      </w:r>
      <w:r w:rsidR="00FF6E50">
        <w:lastRenderedPageBreak/>
        <w:t xml:space="preserve">nation’s economy had to be totally invested in the war effort which to an extent was a new </w:t>
      </w:r>
      <w:r w:rsidR="00CF3882">
        <w:t xml:space="preserve">concept in the world as for the most part till now wars did not require drastic change on the home front, </w:t>
      </w:r>
      <w:r w:rsidR="00091217">
        <w:rPr>
          <w:noProof/>
          <w:lang w:eastAsia="en-GB"/>
        </w:rPr>
        <w:drawing>
          <wp:anchor distT="0" distB="0" distL="114300" distR="114300" simplePos="0" relativeHeight="251660288" behindDoc="0" locked="0" layoutInCell="1" allowOverlap="1">
            <wp:simplePos x="0" y="0"/>
            <wp:positionH relativeFrom="margin">
              <wp:align>left</wp:align>
            </wp:positionH>
            <wp:positionV relativeFrom="paragraph">
              <wp:posOffset>657225</wp:posOffset>
            </wp:positionV>
            <wp:extent cx="3724910" cy="3752850"/>
            <wp:effectExtent l="0" t="0" r="889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24910" cy="3752850"/>
                    </a:xfrm>
                    <a:prstGeom prst="rect">
                      <a:avLst/>
                    </a:prstGeom>
                    <a:noFill/>
                  </pic:spPr>
                </pic:pic>
              </a:graphicData>
            </a:graphic>
            <wp14:sizeRelH relativeFrom="page">
              <wp14:pctWidth>0</wp14:pctWidth>
            </wp14:sizeRelH>
            <wp14:sizeRelV relativeFrom="page">
              <wp14:pctHeight>0</wp14:pctHeight>
            </wp14:sizeRelV>
          </wp:anchor>
        </w:drawing>
      </w:r>
      <w:r w:rsidR="00CF3882">
        <w:t>especially for Britain.</w:t>
      </w:r>
    </w:p>
    <w:p w:rsidR="00091217" w:rsidRDefault="00091217"/>
    <w:p w:rsidR="00CF3882" w:rsidRDefault="00CF3882">
      <w:r>
        <w:t>Poster 3</w:t>
      </w:r>
      <w:r w:rsidR="00091217">
        <w:t xml:space="preserve"> (Are You in This?)</w:t>
      </w:r>
      <w:r w:rsidR="000401E7">
        <w:rPr>
          <w:rStyle w:val="FootnoteReference"/>
        </w:rPr>
        <w:footnoteReference w:id="8"/>
      </w:r>
    </w:p>
    <w:p w:rsidR="004E06C4" w:rsidRDefault="000F233C">
      <w:r>
        <w:t>This Poster Like the other two already looked at has a strong message directed at the viewer, as these kinds of posters released, later on prior to 1916 with the introduction of conscription,</w:t>
      </w:r>
      <w:r w:rsidR="002C0DDB">
        <w:t xml:space="preserve"> were designed by People who owned newspapers, like lord Northcliffe, and as such were much more able to carry the message across to the public rather than rely on national Patriotism.</w:t>
      </w:r>
      <w:r w:rsidR="008E3DF6">
        <w:rPr>
          <w:rStyle w:val="FootnoteReference"/>
        </w:rPr>
        <w:footnoteReference w:id="9"/>
      </w:r>
      <w:r w:rsidR="002C0DDB">
        <w:t xml:space="preserve"> This Poster is interesting in the fact that it shows Men from different branches of the armed forces as well as a worker in a protected job, women working in factories and as battlefield nurses, in addition to a boy scout who appears to be helping load the artillery in the centre top of the image. The viewer is portrayed as a man who is walking casually smoking a cigarette and glancing almost ashamedly to those who are fighting the war for him. If the viewer did not get the message that it was directed at them then the text ‘are you in this’ definitely would have gotten their attention. The poster like a lot of the recruitment posters of the time targeted the patriotism and the masculinity of the viewer as the posters seem to suggest that the viewer is not as manly as the men involved in the image, this one even goes so far as to suggest that the viewer is less masculine than the women working in the factories or the child in the boy scouts doing his part to help the war effort, not sure how the child would have actually helped other than lie to the conscription office but the posters </w:t>
      </w:r>
      <w:r w:rsidR="004E06C4">
        <w:t xml:space="preserve">point still stands </w:t>
      </w:r>
      <w:r w:rsidR="004E06C4">
        <w:lastRenderedPageBreak/>
        <w:t xml:space="preserve">as the Boy Scout has contributed more than the man has to the war effort. This poster is trying to shame the viewer into joining the army through the use of direct personal address, similar to the ‘What did you do in the war daddy’ poster, rather than encourage people to join through patriotism such as the first example shown. </w:t>
      </w:r>
    </w:p>
    <w:p w:rsidR="00B85984" w:rsidRDefault="00091217">
      <w:r>
        <w:rPr>
          <w:noProof/>
          <w:lang w:eastAsia="en-GB"/>
        </w:rPr>
        <w:drawing>
          <wp:anchor distT="0" distB="0" distL="114300" distR="114300" simplePos="0" relativeHeight="251661312" behindDoc="0" locked="0" layoutInCell="1" allowOverlap="1">
            <wp:simplePos x="0" y="0"/>
            <wp:positionH relativeFrom="margin">
              <wp:align>left</wp:align>
            </wp:positionH>
            <wp:positionV relativeFrom="paragraph">
              <wp:posOffset>1866900</wp:posOffset>
            </wp:positionV>
            <wp:extent cx="5047615" cy="5324475"/>
            <wp:effectExtent l="0" t="0" r="635"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7615" cy="5324475"/>
                    </a:xfrm>
                    <a:prstGeom prst="rect">
                      <a:avLst/>
                    </a:prstGeom>
                    <a:noFill/>
                  </pic:spPr>
                </pic:pic>
              </a:graphicData>
            </a:graphic>
            <wp14:sizeRelH relativeFrom="page">
              <wp14:pctWidth>0</wp14:pctWidth>
            </wp14:sizeRelH>
            <wp14:sizeRelV relativeFrom="page">
              <wp14:pctHeight>0</wp14:pctHeight>
            </wp14:sizeRelV>
          </wp:anchor>
        </w:drawing>
      </w:r>
      <w:r w:rsidR="00B85984">
        <w:t xml:space="preserve">This poster was actually made by Robert Baden Powell, who established the scout’s movement in 1907. The Poster itself was released in 1915, as previously mentioned the jobs in charge of the creation and distribution of these recruitment posters stopped being issued to civil servants and given instead to people who ran sectors of the public media, mainly the newspapers as the programme of just encouraging the patriotism of the public was not as successful as was initially hoped and conscription was drawing nearer to being a reality, and thus this was an attempt to avoid forcing the public into the army as it was seen as un-British. The change in tactic of targeting patriotism and pride to almost shaming people into service by targeting masculinity </w:t>
      </w:r>
      <w:r w:rsidR="009C40C6">
        <w:t>did show an improvement in the numbers being recruited, but it still wasn’t enough as stories from the front were making their way back home and thus conscription became a reality</w:t>
      </w:r>
      <w:r w:rsidR="00B85984">
        <w:t xml:space="preserve"> </w:t>
      </w:r>
    </w:p>
    <w:p w:rsidR="00091217" w:rsidRDefault="00091217"/>
    <w:p w:rsidR="007D4CEE" w:rsidRDefault="007D4CEE">
      <w:r>
        <w:lastRenderedPageBreak/>
        <w:t>Poster 4</w:t>
      </w:r>
      <w:r w:rsidR="00091217">
        <w:t xml:space="preserve"> (Women of Britain say Go!)</w:t>
      </w:r>
      <w:r w:rsidR="008E3DF6">
        <w:rPr>
          <w:rStyle w:val="FootnoteReference"/>
        </w:rPr>
        <w:footnoteReference w:id="10"/>
      </w:r>
    </w:p>
    <w:p w:rsidR="00586E12" w:rsidRDefault="007D4CEE">
      <w:r>
        <w:t xml:space="preserve">This poster released around the same time in 1915 as the previous one, follows the same trend of using commercial techniques in its message. Rather than use the direct personal address of the ‘are you in this’ slogan, this one plays more on the traditional family role of the male as put forward by most of human culture, being the protector of the family. This poster encourages the British men to enlist by putting the image in the viewer’s head that they need to go in order to protect the women and children of the country. The image is cleverly created in such a way that it conveys the same message in two different ways </w:t>
      </w:r>
      <w:r w:rsidR="00050FB5">
        <w:t xml:space="preserve">as a man nearer the older bracket of the recruitment age could envisage the people in the poster as his wife, daughter and young son and then a younger man would see his mother, and siblings. This is done through the way they are illustrated, they have enough detail so we can tell, with reference to the text who they are but enough detail is missing that it can impose our own image over the top, which would enhance the message the poster is trying to put across. Both examples here are encouraged to go and defend those who, according to the poster, could not defend themselves. This message is also put across through the text of the poster where it says ‘Women of Britain say Go!’, the wording of this inferring that if the man did not want to fight for himself or his country then join to fight for a more personal cause, those whom he wants to protect. The exclamation mark </w:t>
      </w:r>
      <w:r w:rsidR="004A7DF9">
        <w:t xml:space="preserve">next to </w:t>
      </w:r>
      <w:r w:rsidR="00050FB5">
        <w:t>and</w:t>
      </w:r>
      <w:r w:rsidR="004A7DF9">
        <w:t xml:space="preserve"> the</w:t>
      </w:r>
      <w:r w:rsidR="00050FB5">
        <w:t xml:space="preserve"> </w:t>
      </w:r>
      <w:r w:rsidR="004A7DF9">
        <w:t>underlining of ‘Go’ also serve to put the message of the Poster across, saying that staying here on the home front won’t protect your loved ones, you must go and fight the Germans to protect them. This one has a similar motive to the first poster as it is trying to motivate the viewer into joining the army rather than shaming them like the third poster but targets the viewer masculinity like the third poster whilst only slightly pulling on the viewer’s patriotism unlike the first. This poster also has another effect unlike the other two as it would also encourage the wives and mothers, who previously may have stopped their husbands and sons going to war, to encourage their husbands or sons to go and fight in the war as the poster says ‘Women of Britain’ which may have had a pressuring e</w:t>
      </w:r>
      <w:r w:rsidR="00586E12">
        <w:t>ffect on the women reading the poster as they wouldn’t want to have been seen to be stopping their loved ones going to fight to protect the nation and its children.</w:t>
      </w:r>
    </w:p>
    <w:p w:rsidR="00586E12" w:rsidRDefault="00586E12">
      <w:r>
        <w:t>All of these would have appeared in public areas of urban developments, church doors, town halls, notice boards and anywhere where they could be seen, as they were trying to reach the widest demographic possible with the message they were conveying. They all had the same aim of encouraging men, though some did aim at women too, to join the army or a role which would support the war effort, though they had different methods of carrying out this aim. Ultimately as the war carried on the posters became much more effective in their role with the change of their design and methods, however post the 2</w:t>
      </w:r>
      <w:r w:rsidRPr="00586E12">
        <w:rPr>
          <w:vertAlign w:val="superscript"/>
        </w:rPr>
        <w:t>nd</w:t>
      </w:r>
      <w:r>
        <w:t xml:space="preserve"> of March 1916 they stopped being made and redesigned as they did not need to exist as it became a legal requirement to join the army and so there was not need to try to convince people to enlist in the army</w:t>
      </w:r>
      <w:r w:rsidR="0027060F">
        <w:t>.</w:t>
      </w:r>
    </w:p>
    <w:p w:rsidR="00FF6E99" w:rsidRDefault="00FF6E99"/>
    <w:p w:rsidR="00FF6E99" w:rsidRDefault="00FF6E99"/>
    <w:p w:rsidR="00160000" w:rsidRDefault="00160000"/>
    <w:p w:rsidR="000F233C" w:rsidRDefault="000F233C"/>
    <w:p w:rsidR="00604930" w:rsidRDefault="00091217" w:rsidP="00A57D34">
      <w:r>
        <w:lastRenderedPageBreak/>
        <w:t xml:space="preserve">1000 Word Book Review – </w:t>
      </w:r>
      <w:r w:rsidR="00A57D34">
        <w:t xml:space="preserve">Alan Simmonds’ </w:t>
      </w:r>
      <w:r w:rsidR="00AC49D0">
        <w:rPr>
          <w:i/>
        </w:rPr>
        <w:t xml:space="preserve">Britain and World War One </w:t>
      </w:r>
    </w:p>
    <w:p w:rsidR="00A57D34" w:rsidRDefault="00E9285A" w:rsidP="00A57D34">
      <w:r>
        <w:t>Alan G.V. Simmonds is a lecturer in Modern History at the University of Hull. He specialises in British Society during the First World War and the Inter-War period.</w:t>
      </w:r>
    </w:p>
    <w:p w:rsidR="00E9285A" w:rsidRDefault="00E9285A" w:rsidP="00A57D34">
      <w:r>
        <w:t>This work of his focuses on the civilians who fought the war on the home Front. Simmonds pulls modern scholarship in conjunction with primary sources such as documents, oral testimony and historical narratives in order to bring a fresh view to the different areas of British society during the length of the First World War. He looks at the early wars enthusiasm and the creation of Lord Kitchener’s new army, the relationships between politics, government and popular opinion</w:t>
      </w:r>
      <w:r w:rsidR="006778D3">
        <w:t xml:space="preserve">, the impact of conscription, the popular experiences of war, women working in the wartime industry of Britain and the question of social change. Also within this work Simmonds looks at the importance of technological advancements and how industry was </w:t>
      </w:r>
      <w:r w:rsidR="00AC49D0">
        <w:t>mobilised</w:t>
      </w:r>
      <w:r w:rsidR="006778D3">
        <w:t xml:space="preserve"> as a result, responses to Germ</w:t>
      </w:r>
      <w:r w:rsidR="00561DCA">
        <w:t>an raids from the coast and air, food and housing shortages, Impacts on rural society, and challenges to societal values</w:t>
      </w:r>
      <w:r w:rsidR="00AC49D0">
        <w:t>. A</w:t>
      </w:r>
      <w:r w:rsidR="00AC49D0" w:rsidRPr="00AC49D0">
        <w:t xml:space="preserve">reas of wartime Britain overlooked in more recent </w:t>
      </w:r>
      <w:r w:rsidR="00AC49D0">
        <w:t xml:space="preserve">scholarships such as the work of Max Hastings in </w:t>
      </w:r>
      <w:r w:rsidR="00AC49D0" w:rsidRPr="00AC49D0">
        <w:rPr>
          <w:i/>
        </w:rPr>
        <w:t>Catastrophe</w:t>
      </w:r>
      <w:r w:rsidR="0084798B">
        <w:rPr>
          <w:i/>
        </w:rPr>
        <w:t xml:space="preserve">, </w:t>
      </w:r>
      <w:r w:rsidR="0084798B">
        <w:t xml:space="preserve">Released </w:t>
      </w:r>
      <w:r w:rsidR="00E86418">
        <w:t>two years</w:t>
      </w:r>
      <w:r w:rsidR="0084798B">
        <w:t xml:space="preserve"> after Simmonds work. H</w:t>
      </w:r>
      <w:r w:rsidR="00AC49D0">
        <w:t xml:space="preserve">owever Hastings work is more focused on the outbreak and the beginning of the war in 1914 meaning that the aforementioned area wouldn’t have been as impacted </w:t>
      </w:r>
      <w:r w:rsidR="0084798B">
        <w:t xml:space="preserve">by the war </w:t>
      </w:r>
      <w:r w:rsidR="00AC49D0">
        <w:t>as they would have been in 1918</w:t>
      </w:r>
      <w:r w:rsidR="0084798B">
        <w:t>.</w:t>
      </w:r>
      <w:r w:rsidR="00995BC0">
        <w:t xml:space="preserve"> </w:t>
      </w:r>
      <w:r w:rsidR="00561DCA">
        <w:t xml:space="preserve">The text is advertised as essential reading for students, as well as the general public interested in the First World. </w:t>
      </w:r>
      <w:r w:rsidR="006778D3">
        <w:t xml:space="preserve"> </w:t>
      </w:r>
      <w:r w:rsidR="00AC49D0">
        <w:t>Meaning that these groups are its intended audience as they are the once the book is advertised towards.</w:t>
      </w:r>
      <w:r w:rsidR="00F34975">
        <w:rPr>
          <w:rStyle w:val="FootnoteReference"/>
        </w:rPr>
        <w:footnoteReference w:id="11"/>
      </w:r>
    </w:p>
    <w:p w:rsidR="007F0030" w:rsidRDefault="00995BC0" w:rsidP="007D0C5F">
      <w:r>
        <w:t>The author aims with the text to create a middle ground between the work of Gerard DeGroot (1996) who according to Simmonds has too much of a broad based view and Adrian Gregory (2008) who inversely is said to have and intense analytical view of the subject area.</w:t>
      </w:r>
      <w:r w:rsidR="00F34975">
        <w:rPr>
          <w:rStyle w:val="FootnoteReference"/>
        </w:rPr>
        <w:footnoteReference w:id="12"/>
      </w:r>
      <w:r w:rsidR="002076CE">
        <w:t xml:space="preserve"> The thematic structure of the book, whilst pulling away from a specifically social history of the First World War, offers a strong flow in narrative of how the country readied itself for a total war between 1914 and 1918, with the people and resources of Great Britain were mobilised to defeat Germany and its allies, also looking at how this impacted British politics, culture and society. </w:t>
      </w:r>
      <w:r w:rsidR="007F0030">
        <w:t>Whilst the book is far from definitive, it does importantly emphasise how much of a shock the first World War was to the British public, as once the idea that the war was to be over by Christmas in 1914 had faded both the public and the politicians were forced to accept and face the realities of warfare in the twentieth century. The book talks about the process of the changes that took place in society and the tensions it caused, largely by traditionalists and modernists, due to the increasingly interventionist nature of the Government during and post war.</w:t>
      </w:r>
      <w:r w:rsidR="00F34975">
        <w:rPr>
          <w:rStyle w:val="FootnoteReference"/>
        </w:rPr>
        <w:footnoteReference w:id="13"/>
      </w:r>
      <w:r w:rsidR="007F0030">
        <w:t xml:space="preserve"> He argues as a result of the wartime struggles of the British public there was a closer relation between public opinion and political action which became the eventual basis for how governments of the UK would act in the late twentieth century. This is due to the realisation of what a fully industrial war can do to a nation and what its nature truly was in comparison </w:t>
      </w:r>
      <w:r w:rsidR="00F34975">
        <w:t>to the ideals of 1914.</w:t>
      </w:r>
      <w:r w:rsidR="00F34975">
        <w:rPr>
          <w:rStyle w:val="FootnoteReference"/>
        </w:rPr>
        <w:footnoteReference w:id="14"/>
      </w:r>
      <w:r w:rsidR="00F34975">
        <w:t xml:space="preserve"> He does argue however that this did better prepare the public mentally for and unwanted war in 1939.</w:t>
      </w:r>
      <w:r w:rsidR="00F34975">
        <w:rPr>
          <w:rStyle w:val="FootnoteReference"/>
        </w:rPr>
        <w:footnoteReference w:id="15"/>
      </w:r>
      <w:r w:rsidR="007F0030">
        <w:t xml:space="preserve"> </w:t>
      </w:r>
    </w:p>
    <w:p w:rsidR="00815143" w:rsidRDefault="00F34975" w:rsidP="007D0C5F">
      <w:r>
        <w:t xml:space="preserve">Academically this book would prove useful as it provides a good entry point and basis of knowledge for the topic it covers, with sections of specialist knowledge added in. The author himself says that this aimed at students and people with general interest in the topic and says himself that this piece </w:t>
      </w:r>
      <w:r>
        <w:lastRenderedPageBreak/>
        <w:t>is far from a definitive work in his introduction. I would argue that this text is very useful for the basis of an academic essay and then use the works of others Simmonds references, such as, Adrian Gregory, Gerard DeGroot and Arthur Marwick for a more in depth look at the subject as they have differentiating views or look at individual groupings of people in the context of the time</w:t>
      </w:r>
      <w:r w:rsidR="00815143">
        <w:t>, even saying himself that Gregory’s work is a masterful piece of academic scholarship in his introduction.</w:t>
      </w:r>
      <w:r w:rsidR="00815143">
        <w:rPr>
          <w:rStyle w:val="FootnoteReference"/>
        </w:rPr>
        <w:footnoteReference w:id="16"/>
      </w:r>
      <w:r>
        <w:t xml:space="preserve"> </w:t>
      </w:r>
      <w:r w:rsidR="00815143">
        <w:t>I would agree with his comments that his work forms a good base knowledge level good amount of information to form a strong frame work of an essay but would refer to the works of Gregory and the others mentioned by Simmonds in order to get a more in depth view of the topic as some of the authors mentioned look either at specific factors or dates.</w:t>
      </w:r>
    </w:p>
    <w:p w:rsidR="00815143" w:rsidRDefault="00815143" w:rsidP="007D0C5F"/>
    <w:p w:rsidR="00815143" w:rsidRDefault="00815143" w:rsidP="007D0C5F"/>
    <w:p w:rsidR="00815143" w:rsidRDefault="00815143" w:rsidP="007D0C5F">
      <w:pPr>
        <w:rPr>
          <w:b/>
          <w:u w:val="single"/>
        </w:rPr>
      </w:pPr>
      <w:r w:rsidRPr="00815143">
        <w:rPr>
          <w:b/>
          <w:u w:val="single"/>
        </w:rPr>
        <w:t>Bibliography</w:t>
      </w:r>
    </w:p>
    <w:p w:rsidR="00494210" w:rsidRDefault="00815143" w:rsidP="00494210">
      <w:r>
        <w:t xml:space="preserve">Images: </w:t>
      </w:r>
      <w:hyperlink r:id="rId12" w:history="1">
        <w:r w:rsidRPr="00D1424D">
          <w:rPr>
            <w:rStyle w:val="Hyperlink"/>
          </w:rPr>
          <w:t>http://www.iwm.org.uk/learning/resources/first-world-war-recruitment-posters</w:t>
        </w:r>
      </w:hyperlink>
      <w:r>
        <w:t xml:space="preserve"> Accessed: 20/10/17</w:t>
      </w:r>
    </w:p>
    <w:p w:rsidR="00494210" w:rsidRDefault="00494210" w:rsidP="00494210">
      <w:r>
        <w:t>Journals:</w:t>
      </w:r>
    </w:p>
    <w:p w:rsidR="00494210" w:rsidRDefault="00494210" w:rsidP="00494210">
      <w:pPr>
        <w:pStyle w:val="ListParagraph"/>
        <w:numPr>
          <w:ilvl w:val="0"/>
          <w:numId w:val="5"/>
        </w:numPr>
      </w:pPr>
      <w:r>
        <w:t xml:space="preserve">M. </w:t>
      </w:r>
      <w:r w:rsidRPr="00494210">
        <w:t>Sanders, (1975). Wellington House and British propaganda during the First World War. The Historical Journal. 18. Cambridge University Press. pp. 119–146.</w:t>
      </w:r>
    </w:p>
    <w:p w:rsidR="00494210" w:rsidRDefault="00494210" w:rsidP="00494210">
      <w:pPr>
        <w:pStyle w:val="ListParagraph"/>
        <w:numPr>
          <w:ilvl w:val="0"/>
          <w:numId w:val="5"/>
        </w:numPr>
      </w:pPr>
      <w:r>
        <w:t xml:space="preserve">T. </w:t>
      </w:r>
      <w:r w:rsidRPr="00494210">
        <w:t>Wilson</w:t>
      </w:r>
      <w:r>
        <w:t>,</w:t>
      </w:r>
      <w:r w:rsidRPr="00494210">
        <w:t xml:space="preserve"> (1979). Lord Bryce's investigation into alleged German atrocities in Belgium, 1914–15. Journal of Contemporary History. 14. Sage. pp. 369–383. P.369</w:t>
      </w:r>
    </w:p>
    <w:p w:rsidR="00494210" w:rsidRDefault="00494210" w:rsidP="00494210">
      <w:r>
        <w:t xml:space="preserve">Books </w:t>
      </w:r>
    </w:p>
    <w:p w:rsidR="00E86418" w:rsidRDefault="00E86418" w:rsidP="00E86418">
      <w:pPr>
        <w:pStyle w:val="ListParagraph"/>
        <w:numPr>
          <w:ilvl w:val="0"/>
          <w:numId w:val="8"/>
        </w:numPr>
      </w:pPr>
      <w:r>
        <w:t xml:space="preserve">G. DeGroot, </w:t>
      </w:r>
      <w:proofErr w:type="spellStart"/>
      <w:r>
        <w:t>Blighty</w:t>
      </w:r>
      <w:proofErr w:type="spellEnd"/>
      <w:r>
        <w:t xml:space="preserve"> ( Longman, London, 1996)</w:t>
      </w:r>
    </w:p>
    <w:p w:rsidR="00494210" w:rsidRDefault="00494210" w:rsidP="00494210">
      <w:pPr>
        <w:pStyle w:val="ListParagraph"/>
        <w:numPr>
          <w:ilvl w:val="0"/>
          <w:numId w:val="7"/>
        </w:numPr>
      </w:pPr>
      <w:r>
        <w:t xml:space="preserve">R. </w:t>
      </w:r>
      <w:proofErr w:type="spellStart"/>
      <w:r w:rsidRPr="00494210">
        <w:t>Fredette</w:t>
      </w:r>
      <w:proofErr w:type="spellEnd"/>
      <w:r w:rsidRPr="00494210">
        <w:t xml:space="preserve">, </w:t>
      </w:r>
      <w:proofErr w:type="gramStart"/>
      <w:r w:rsidRPr="00494210">
        <w:t>The</w:t>
      </w:r>
      <w:proofErr w:type="gramEnd"/>
      <w:r w:rsidRPr="00494210">
        <w:t xml:space="preserve"> Sky on Fire: The First Battle of Britain 191</w:t>
      </w:r>
      <w:r w:rsidR="00E86418">
        <w:t>7–1918. (New York,</w:t>
      </w:r>
      <w:bookmarkStart w:id="0" w:name="_GoBack"/>
      <w:bookmarkEnd w:id="0"/>
      <w:r w:rsidRPr="00494210">
        <w:t xml:space="preserve"> Harvest, 1976)</w:t>
      </w:r>
    </w:p>
    <w:p w:rsidR="00E86418" w:rsidRDefault="00E86418" w:rsidP="00494210">
      <w:pPr>
        <w:pStyle w:val="ListParagraph"/>
        <w:numPr>
          <w:ilvl w:val="0"/>
          <w:numId w:val="7"/>
        </w:numPr>
      </w:pPr>
      <w:r>
        <w:t>A. Gregory,  The Last Great War, (Cambridge University Press, Cambridge, 2008)</w:t>
      </w:r>
    </w:p>
    <w:p w:rsidR="00E86418" w:rsidRDefault="00E86418" w:rsidP="00E86418">
      <w:pPr>
        <w:pStyle w:val="ListParagraph"/>
        <w:numPr>
          <w:ilvl w:val="0"/>
          <w:numId w:val="7"/>
        </w:numPr>
      </w:pPr>
      <w:r>
        <w:t>M. Hastings, Catastrophe</w:t>
      </w:r>
      <w:r w:rsidRPr="00E86418">
        <w:t>: Europe Goes to War 1914</w:t>
      </w:r>
      <w:r>
        <w:t xml:space="preserve"> (William Collins, London, 2014)</w:t>
      </w:r>
    </w:p>
    <w:p w:rsidR="00494210" w:rsidRDefault="00494210" w:rsidP="00494210">
      <w:pPr>
        <w:pStyle w:val="ListParagraph"/>
        <w:numPr>
          <w:ilvl w:val="0"/>
          <w:numId w:val="7"/>
        </w:numPr>
      </w:pPr>
      <w:r>
        <w:t xml:space="preserve">J. </w:t>
      </w:r>
      <w:r w:rsidRPr="00494210">
        <w:t>Keegan, the First World War. (Hutchinson, London, 1998)</w:t>
      </w:r>
    </w:p>
    <w:p w:rsidR="00494210" w:rsidRDefault="00494210" w:rsidP="00494210">
      <w:pPr>
        <w:pStyle w:val="ListParagraph"/>
        <w:numPr>
          <w:ilvl w:val="0"/>
          <w:numId w:val="6"/>
        </w:numPr>
      </w:pPr>
      <w:r>
        <w:t xml:space="preserve">A. </w:t>
      </w:r>
      <w:proofErr w:type="spellStart"/>
      <w:r>
        <w:t>Marder</w:t>
      </w:r>
      <w:proofErr w:type="spellEnd"/>
      <w:r>
        <w:t>,</w:t>
      </w:r>
      <w:r w:rsidRPr="00494210">
        <w:t xml:space="preserve"> From the Dreadnought to Scapa Flow, The Royal Navy in the Fisher Era, 1904–1919: The War Years to the eve of Jutland: 1914–1916. II. (Oxford University Press, London, 1965)</w:t>
      </w:r>
    </w:p>
    <w:p w:rsidR="00E86418" w:rsidRDefault="00E86418" w:rsidP="00494210">
      <w:pPr>
        <w:pStyle w:val="ListParagraph"/>
        <w:numPr>
          <w:ilvl w:val="0"/>
          <w:numId w:val="6"/>
        </w:numPr>
      </w:pPr>
      <w:r>
        <w:t>A. Marwick, The Deluge, ( Palgrave Macmillan, London, 1965)</w:t>
      </w:r>
    </w:p>
    <w:p w:rsidR="00494210" w:rsidRDefault="00494210" w:rsidP="00494210">
      <w:pPr>
        <w:pStyle w:val="ListParagraph"/>
        <w:numPr>
          <w:ilvl w:val="0"/>
          <w:numId w:val="6"/>
        </w:numPr>
      </w:pPr>
      <w:r>
        <w:t xml:space="preserve">R. </w:t>
      </w:r>
      <w:r w:rsidRPr="00494210">
        <w:t>Massie, Castles of Steel: Britain, Germany, and the Winning of the Great War at Sea. (Jonathan Cape, London, 2004)</w:t>
      </w:r>
    </w:p>
    <w:p w:rsidR="00E86418" w:rsidRPr="00815143" w:rsidRDefault="00E86418" w:rsidP="00E86418">
      <w:pPr>
        <w:pStyle w:val="ListParagraph"/>
        <w:numPr>
          <w:ilvl w:val="0"/>
          <w:numId w:val="6"/>
        </w:numPr>
      </w:pPr>
      <w:r w:rsidRPr="00E86418">
        <w:t>A. Simmonds, Britain and World War One, (Routledge, London, 2012)</w:t>
      </w:r>
    </w:p>
    <w:p w:rsidR="00815143" w:rsidRPr="00815143" w:rsidRDefault="00815143" w:rsidP="00815143">
      <w:pPr>
        <w:pStyle w:val="ListParagraph"/>
        <w:rPr>
          <w:b/>
          <w:u w:val="single"/>
        </w:rPr>
      </w:pPr>
    </w:p>
    <w:sectPr w:rsidR="00815143" w:rsidRPr="008151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97839" w:rsidRDefault="00097839" w:rsidP="00982B54">
      <w:pPr>
        <w:spacing w:after="0" w:line="240" w:lineRule="auto"/>
      </w:pPr>
      <w:r>
        <w:separator/>
      </w:r>
    </w:p>
  </w:endnote>
  <w:endnote w:type="continuationSeparator" w:id="0">
    <w:p w:rsidR="00097839" w:rsidRDefault="00097839" w:rsidP="00982B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97839" w:rsidRDefault="00097839" w:rsidP="00982B54">
      <w:pPr>
        <w:spacing w:after="0" w:line="240" w:lineRule="auto"/>
      </w:pPr>
      <w:r>
        <w:separator/>
      </w:r>
    </w:p>
  </w:footnote>
  <w:footnote w:type="continuationSeparator" w:id="0">
    <w:p w:rsidR="00097839" w:rsidRDefault="00097839" w:rsidP="00982B54">
      <w:pPr>
        <w:spacing w:after="0" w:line="240" w:lineRule="auto"/>
      </w:pPr>
      <w:r>
        <w:continuationSeparator/>
      </w:r>
    </w:p>
  </w:footnote>
  <w:footnote w:id="1">
    <w:p w:rsidR="00654176" w:rsidRDefault="00654176">
      <w:pPr>
        <w:pStyle w:val="FootnoteText"/>
      </w:pPr>
      <w:r>
        <w:rPr>
          <w:rStyle w:val="FootnoteReference"/>
        </w:rPr>
        <w:footnoteRef/>
      </w:r>
      <w:proofErr w:type="spellStart"/>
      <w:r w:rsidR="000401E7" w:rsidRPr="000401E7">
        <w:t>E.Kemp</w:t>
      </w:r>
      <w:proofErr w:type="spellEnd"/>
      <w:r w:rsidR="000401E7" w:rsidRPr="000401E7">
        <w:t>-Welch</w:t>
      </w:r>
      <w:r w:rsidR="008E3DF6">
        <w:t>,</w:t>
      </w:r>
      <w:r>
        <w:t xml:space="preserve"> </w:t>
      </w:r>
      <w:r w:rsidR="000401E7" w:rsidRPr="000401E7">
        <w:t>REMEMBER SCARBOROUGH</w:t>
      </w:r>
      <w:r w:rsidR="000401E7">
        <w:t>!</w:t>
      </w:r>
      <w:r w:rsidR="000401E7" w:rsidRPr="000401E7">
        <w:t xml:space="preserve"> 1914 ENLIST NOW PUBLISHED BY THE PARLIAMENTARY RECRUITING COMMITTEE, LONDON. POSTER No.41. PRINTED BY DAVID ALLEN AND SONS LD. HARROW, MIDDLESEX</w:t>
      </w:r>
      <w:r w:rsidR="000401E7">
        <w:t>,</w:t>
      </w:r>
      <w:r w:rsidR="000401E7" w:rsidRPr="000401E7">
        <w:t xml:space="preserve"> </w:t>
      </w:r>
      <w:hyperlink r:id="rId1" w:history="1">
        <w:r w:rsidR="000401E7" w:rsidRPr="00333B87">
          <w:rPr>
            <w:rStyle w:val="Hyperlink"/>
          </w:rPr>
          <w:t>http://www.iwm.org.uk/collections/item/object/14989</w:t>
        </w:r>
      </w:hyperlink>
      <w:r w:rsidR="000401E7">
        <w:t xml:space="preserve"> Accessed:</w:t>
      </w:r>
      <w:r w:rsidR="008E3DF6">
        <w:t xml:space="preserve"> 1/11/</w:t>
      </w:r>
      <w:r w:rsidR="000401E7">
        <w:t xml:space="preserve">17 </w:t>
      </w:r>
    </w:p>
  </w:footnote>
  <w:footnote w:id="2">
    <w:p w:rsidR="00982B54" w:rsidRDefault="00982B54">
      <w:pPr>
        <w:pStyle w:val="FootnoteText"/>
      </w:pPr>
      <w:r>
        <w:rPr>
          <w:rStyle w:val="FootnoteReference"/>
        </w:rPr>
        <w:footnoteRef/>
      </w:r>
      <w:r>
        <w:t xml:space="preserve"> </w:t>
      </w:r>
      <w:proofErr w:type="spellStart"/>
      <w:r>
        <w:t>Marder</w:t>
      </w:r>
      <w:proofErr w:type="spellEnd"/>
      <w:r>
        <w:t>, Arthur J</w:t>
      </w:r>
      <w:r w:rsidRPr="00982B54">
        <w:t xml:space="preserve">. From the Dreadnought to Scapa Flow, The Royal Navy in the Fisher Era, 1904–1919: The War Years to the eve of Jutland: 1914–1916. II. </w:t>
      </w:r>
      <w:r>
        <w:t>(Oxford University Press, London, 1965), P. 149</w:t>
      </w:r>
    </w:p>
  </w:footnote>
  <w:footnote w:id="3">
    <w:p w:rsidR="00BA33EB" w:rsidRDefault="00BA33EB">
      <w:pPr>
        <w:pStyle w:val="FootnoteText"/>
      </w:pPr>
      <w:r>
        <w:rPr>
          <w:rStyle w:val="FootnoteReference"/>
        </w:rPr>
        <w:footnoteRef/>
      </w:r>
      <w:r>
        <w:t xml:space="preserve"> Massie, R. K</w:t>
      </w:r>
      <w:r w:rsidRPr="00BA33EB">
        <w:t xml:space="preserve">. Castles of Steel: Britain, Germany, and the Winning of the Great War at Sea. </w:t>
      </w:r>
      <w:r>
        <w:t>(</w:t>
      </w:r>
      <w:r w:rsidRPr="00BA33EB">
        <w:t>Jonathan Cape</w:t>
      </w:r>
      <w:r>
        <w:t xml:space="preserve">, London, 2004) P. 333 </w:t>
      </w:r>
    </w:p>
  </w:footnote>
  <w:footnote w:id="4">
    <w:p w:rsidR="00D55B54" w:rsidRDefault="00D55B54">
      <w:pPr>
        <w:pStyle w:val="FootnoteText"/>
      </w:pPr>
      <w:r>
        <w:rPr>
          <w:rStyle w:val="FootnoteReference"/>
        </w:rPr>
        <w:footnoteRef/>
      </w:r>
      <w:r>
        <w:t xml:space="preserve"> </w:t>
      </w:r>
      <w:r w:rsidR="00147CD7" w:rsidRPr="00147CD7">
        <w:t>Wilson, Trevor (1979). Lord Bryce's investigation into alleged German atrocities in Belgium, 1914–15. Journal of Contemporary History. 14. Sage. pp. 369–383.</w:t>
      </w:r>
      <w:r w:rsidR="008E3DF6">
        <w:t xml:space="preserve"> P.369</w:t>
      </w:r>
    </w:p>
  </w:footnote>
  <w:footnote w:id="5">
    <w:p w:rsidR="00147CD7" w:rsidRDefault="00147CD7">
      <w:pPr>
        <w:pStyle w:val="FootnoteText"/>
      </w:pPr>
      <w:r>
        <w:rPr>
          <w:rStyle w:val="FootnoteReference"/>
        </w:rPr>
        <w:footnoteRef/>
      </w:r>
      <w:r>
        <w:t xml:space="preserve"> </w:t>
      </w:r>
      <w:proofErr w:type="spellStart"/>
      <w:r w:rsidRPr="00147CD7">
        <w:t>Fredette</w:t>
      </w:r>
      <w:proofErr w:type="spellEnd"/>
      <w:r w:rsidRPr="00147CD7">
        <w:t>, Raymond H. The Sky on Fire: The First Battle of Britain 191</w:t>
      </w:r>
      <w:r>
        <w:t>7–1918. (New York: Harvest, 1976) P.245</w:t>
      </w:r>
    </w:p>
  </w:footnote>
  <w:footnote w:id="6">
    <w:p w:rsidR="000401E7" w:rsidRDefault="000401E7">
      <w:pPr>
        <w:pStyle w:val="FootnoteText"/>
      </w:pPr>
      <w:r>
        <w:rPr>
          <w:rStyle w:val="FootnoteReference"/>
        </w:rPr>
        <w:footnoteRef/>
      </w:r>
      <w:r>
        <w:t xml:space="preserve"> Unknown Creator, </w:t>
      </w:r>
      <w:r w:rsidRPr="000401E7">
        <w:t>Published by THE PARLIAMENTARY RECRUITING COMMITTEE, LONDON</w:t>
      </w:r>
      <w:proofErr w:type="gramStart"/>
      <w:r w:rsidRPr="000401E7">
        <w:t>.-</w:t>
      </w:r>
      <w:proofErr w:type="gramEnd"/>
      <w:r w:rsidRPr="000401E7">
        <w:t xml:space="preserve"> Poster No. 153. Wt. 16551/768. Printed by ROBERTS AND LEETE, Ltd., London. </w:t>
      </w:r>
      <w:hyperlink r:id="rId2" w:history="1">
        <w:r w:rsidRPr="00333B87">
          <w:rPr>
            <w:rStyle w:val="Hyperlink"/>
          </w:rPr>
          <w:t>http://www.iwm.org.uk/collections/item/object/28449</w:t>
        </w:r>
      </w:hyperlink>
      <w:r>
        <w:t xml:space="preserve"> Accessed: 2/11/17 </w:t>
      </w:r>
    </w:p>
  </w:footnote>
  <w:footnote w:id="7">
    <w:p w:rsidR="00147CD7" w:rsidRDefault="00147CD7">
      <w:pPr>
        <w:pStyle w:val="FootnoteText"/>
      </w:pPr>
      <w:r>
        <w:rPr>
          <w:rStyle w:val="FootnoteReference"/>
        </w:rPr>
        <w:footnoteRef/>
      </w:r>
      <w:r>
        <w:t xml:space="preserve"> Keegan, John, </w:t>
      </w:r>
      <w:r w:rsidR="00494210" w:rsidRPr="00147CD7">
        <w:t>the</w:t>
      </w:r>
      <w:r w:rsidRPr="00147CD7">
        <w:t xml:space="preserve"> First Worl</w:t>
      </w:r>
      <w:r>
        <w:t>d War. (Hutchinson, London, 1998) P. 8</w:t>
      </w:r>
    </w:p>
  </w:footnote>
  <w:footnote w:id="8">
    <w:p w:rsidR="000401E7" w:rsidRDefault="000401E7">
      <w:pPr>
        <w:pStyle w:val="FootnoteText"/>
      </w:pPr>
      <w:r>
        <w:rPr>
          <w:rStyle w:val="FootnoteReference"/>
        </w:rPr>
        <w:footnoteRef/>
      </w:r>
      <w:r>
        <w:t xml:space="preserve"> </w:t>
      </w:r>
      <w:r w:rsidR="008E3DF6" w:rsidRPr="008E3DF6">
        <w:t>LT. GEN. SIR R.S.S. BADEN POWELL. Are YOU in this? PUBLISHED BY THE PARLIAMENTARY RECRUITING COMMITTEE, LONDON. - POSTER NO. 112. PRINTED BY JOHNSON, RIDDLE AND CO., LTD., LONDON, S.E.</w:t>
      </w:r>
      <w:r w:rsidR="008E3DF6">
        <w:t xml:space="preserve"> </w:t>
      </w:r>
      <w:hyperlink r:id="rId3" w:history="1">
        <w:r w:rsidR="008E3DF6" w:rsidRPr="00333B87">
          <w:rPr>
            <w:rStyle w:val="Hyperlink"/>
          </w:rPr>
          <w:t>http://www.iwm.org.uk/collections/item/object/1199</w:t>
        </w:r>
      </w:hyperlink>
      <w:r w:rsidR="008E3DF6">
        <w:t xml:space="preserve"> Accessed: 4/11/17</w:t>
      </w:r>
    </w:p>
  </w:footnote>
  <w:footnote w:id="9">
    <w:p w:rsidR="008E3DF6" w:rsidRDefault="008E3DF6">
      <w:pPr>
        <w:pStyle w:val="FootnoteText"/>
      </w:pPr>
      <w:r>
        <w:rPr>
          <w:rStyle w:val="FootnoteReference"/>
        </w:rPr>
        <w:footnoteRef/>
      </w:r>
      <w:r>
        <w:t xml:space="preserve"> </w:t>
      </w:r>
      <w:r w:rsidRPr="008E3DF6">
        <w:t>Sanders, M. L. (1975). Wellington House and British propaganda during the First World War. The Historical Journal. 18. Cambridge University Press. pp. 119–146.</w:t>
      </w:r>
      <w:r>
        <w:t xml:space="preserve"> P.127-128</w:t>
      </w:r>
    </w:p>
  </w:footnote>
  <w:footnote w:id="10">
    <w:p w:rsidR="008E3DF6" w:rsidRDefault="008E3DF6">
      <w:pPr>
        <w:pStyle w:val="FootnoteText"/>
      </w:pPr>
      <w:r>
        <w:rPr>
          <w:rStyle w:val="FootnoteReference"/>
        </w:rPr>
        <w:footnoteRef/>
      </w:r>
      <w:r>
        <w:t xml:space="preserve"> </w:t>
      </w:r>
      <w:r w:rsidRPr="008E3DF6">
        <w:t>E. V. KEALEY. WOMEN OF BRITAIN SAY - 'GO!' Published by the PARLIAMENTARY RECRUITING COMMITTEE, LONDON. Poster No. 75 Printed by HILL, SIFFKEN AND Co. (L.P.A. Ltd.), Grafton Works, London, N. W.13741 25M. 3/15.</w:t>
      </w:r>
      <w:r>
        <w:t xml:space="preserve"> </w:t>
      </w:r>
      <w:hyperlink r:id="rId4" w:history="1">
        <w:r w:rsidRPr="00333B87">
          <w:rPr>
            <w:rStyle w:val="Hyperlink"/>
          </w:rPr>
          <w:t>http://www.iwm.org.uk/collections/item/object/14592</w:t>
        </w:r>
      </w:hyperlink>
      <w:r>
        <w:t xml:space="preserve"> Accessed: 31/10/17</w:t>
      </w:r>
    </w:p>
  </w:footnote>
  <w:footnote w:id="11">
    <w:p w:rsidR="00F34975" w:rsidRDefault="00F34975">
      <w:pPr>
        <w:pStyle w:val="FootnoteText"/>
      </w:pPr>
      <w:r>
        <w:rPr>
          <w:rStyle w:val="FootnoteReference"/>
        </w:rPr>
        <w:footnoteRef/>
      </w:r>
      <w:r>
        <w:t xml:space="preserve"> </w:t>
      </w:r>
      <w:r w:rsidRPr="00F34975">
        <w:t xml:space="preserve">A. Simmonds, Britain and World War </w:t>
      </w:r>
      <w:r>
        <w:t xml:space="preserve">One, (Routledge, London, 2012) </w:t>
      </w:r>
      <w:r w:rsidRPr="00F34975">
        <w:rPr>
          <w:i/>
        </w:rPr>
        <w:t>inside cover</w:t>
      </w:r>
    </w:p>
  </w:footnote>
  <w:footnote w:id="12">
    <w:p w:rsidR="00F34975" w:rsidRDefault="00F34975">
      <w:pPr>
        <w:pStyle w:val="FootnoteText"/>
      </w:pPr>
      <w:r>
        <w:rPr>
          <w:rStyle w:val="FootnoteReference"/>
        </w:rPr>
        <w:footnoteRef/>
      </w:r>
      <w:r>
        <w:t xml:space="preserve"> </w:t>
      </w:r>
      <w:r w:rsidRPr="00F34975">
        <w:t>A. Simmonds, Britain and World War One, (Routledge, London, 2012) P</w:t>
      </w:r>
      <w:r>
        <w:t>. 1</w:t>
      </w:r>
    </w:p>
  </w:footnote>
  <w:footnote w:id="13">
    <w:p w:rsidR="00F34975" w:rsidRDefault="00F34975">
      <w:pPr>
        <w:pStyle w:val="FootnoteText"/>
      </w:pPr>
      <w:r>
        <w:rPr>
          <w:rStyle w:val="FootnoteReference"/>
        </w:rPr>
        <w:footnoteRef/>
      </w:r>
      <w:r>
        <w:t xml:space="preserve"> </w:t>
      </w:r>
      <w:r w:rsidRPr="00F34975">
        <w:t>A. Simmonds, Britain and World War One, (Routledge, London, 2012) P</w:t>
      </w:r>
      <w:r>
        <w:t>. 15</w:t>
      </w:r>
    </w:p>
  </w:footnote>
  <w:footnote w:id="14">
    <w:p w:rsidR="00F34975" w:rsidRDefault="00F34975">
      <w:pPr>
        <w:pStyle w:val="FootnoteText"/>
      </w:pPr>
      <w:r>
        <w:rPr>
          <w:rStyle w:val="FootnoteReference"/>
        </w:rPr>
        <w:footnoteRef/>
      </w:r>
      <w:r>
        <w:t xml:space="preserve"> </w:t>
      </w:r>
      <w:r w:rsidRPr="00F34975">
        <w:t>A. Simmonds, Britain and World War One, (Routledge, London, 2012) P.3</w:t>
      </w:r>
    </w:p>
  </w:footnote>
  <w:footnote w:id="15">
    <w:p w:rsidR="00F34975" w:rsidRDefault="00F34975">
      <w:pPr>
        <w:pStyle w:val="FootnoteText"/>
      </w:pPr>
      <w:r>
        <w:rPr>
          <w:rStyle w:val="FootnoteReference"/>
        </w:rPr>
        <w:footnoteRef/>
      </w:r>
      <w:r>
        <w:t xml:space="preserve"> A. Simmonds, </w:t>
      </w:r>
      <w:r w:rsidRPr="00F34975">
        <w:t>Britain and World War One</w:t>
      </w:r>
      <w:r>
        <w:t>, (Routledge, London, 2012) P.8</w:t>
      </w:r>
    </w:p>
  </w:footnote>
  <w:footnote w:id="16">
    <w:p w:rsidR="00815143" w:rsidRDefault="00815143">
      <w:pPr>
        <w:pStyle w:val="FootnoteText"/>
      </w:pPr>
      <w:r>
        <w:rPr>
          <w:rStyle w:val="FootnoteReference"/>
        </w:rPr>
        <w:footnoteRef/>
      </w:r>
      <w:r>
        <w:t xml:space="preserve"> </w:t>
      </w:r>
      <w:r w:rsidRPr="00815143">
        <w:t>A. Simmonds, Britain and World War One, (Routledge, London, 2012) P</w:t>
      </w:r>
      <w:r>
        <w:t>. 2</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B15D8C"/>
    <w:multiLevelType w:val="multilevel"/>
    <w:tmpl w:val="06A8A976"/>
    <w:lvl w:ilvl="0">
      <w:numFmt w:val="bullet"/>
      <w:lvlText w:val=""/>
      <w:lvlJc w:val="left"/>
      <w:pPr>
        <w:ind w:left="927" w:hanging="360"/>
      </w:pPr>
      <w:rPr>
        <w:rFonts w:ascii="Symbol" w:hAnsi="Symbol"/>
      </w:rPr>
    </w:lvl>
    <w:lvl w:ilvl="1">
      <w:numFmt w:val="bullet"/>
      <w:lvlText w:val="o"/>
      <w:lvlJc w:val="left"/>
      <w:pPr>
        <w:ind w:left="1724" w:hanging="360"/>
      </w:pPr>
      <w:rPr>
        <w:rFonts w:ascii="Courier New" w:hAnsi="Courier New" w:cs="Courier New"/>
      </w:rPr>
    </w:lvl>
    <w:lvl w:ilvl="2">
      <w:numFmt w:val="bullet"/>
      <w:lvlText w:val=""/>
      <w:lvlJc w:val="left"/>
      <w:pPr>
        <w:ind w:left="2444" w:hanging="360"/>
      </w:pPr>
      <w:rPr>
        <w:rFonts w:ascii="Wingdings" w:hAnsi="Wingdings"/>
      </w:rPr>
    </w:lvl>
    <w:lvl w:ilvl="3">
      <w:numFmt w:val="bullet"/>
      <w:lvlText w:val=""/>
      <w:lvlJc w:val="left"/>
      <w:pPr>
        <w:ind w:left="3164" w:hanging="360"/>
      </w:pPr>
      <w:rPr>
        <w:rFonts w:ascii="Symbol" w:hAnsi="Symbol"/>
      </w:rPr>
    </w:lvl>
    <w:lvl w:ilvl="4">
      <w:numFmt w:val="bullet"/>
      <w:lvlText w:val="o"/>
      <w:lvlJc w:val="left"/>
      <w:pPr>
        <w:ind w:left="3884" w:hanging="360"/>
      </w:pPr>
      <w:rPr>
        <w:rFonts w:ascii="Courier New" w:hAnsi="Courier New" w:cs="Courier New"/>
      </w:rPr>
    </w:lvl>
    <w:lvl w:ilvl="5">
      <w:numFmt w:val="bullet"/>
      <w:lvlText w:val=""/>
      <w:lvlJc w:val="left"/>
      <w:pPr>
        <w:ind w:left="4604" w:hanging="360"/>
      </w:pPr>
      <w:rPr>
        <w:rFonts w:ascii="Wingdings" w:hAnsi="Wingdings"/>
      </w:rPr>
    </w:lvl>
    <w:lvl w:ilvl="6">
      <w:numFmt w:val="bullet"/>
      <w:lvlText w:val=""/>
      <w:lvlJc w:val="left"/>
      <w:pPr>
        <w:ind w:left="5324" w:hanging="360"/>
      </w:pPr>
      <w:rPr>
        <w:rFonts w:ascii="Symbol" w:hAnsi="Symbol"/>
      </w:rPr>
    </w:lvl>
    <w:lvl w:ilvl="7">
      <w:numFmt w:val="bullet"/>
      <w:lvlText w:val="o"/>
      <w:lvlJc w:val="left"/>
      <w:pPr>
        <w:ind w:left="6044" w:hanging="360"/>
      </w:pPr>
      <w:rPr>
        <w:rFonts w:ascii="Courier New" w:hAnsi="Courier New" w:cs="Courier New"/>
      </w:rPr>
    </w:lvl>
    <w:lvl w:ilvl="8">
      <w:numFmt w:val="bullet"/>
      <w:lvlText w:val=""/>
      <w:lvlJc w:val="left"/>
      <w:pPr>
        <w:ind w:left="6764" w:hanging="360"/>
      </w:pPr>
      <w:rPr>
        <w:rFonts w:ascii="Wingdings" w:hAnsi="Wingdings"/>
      </w:rPr>
    </w:lvl>
  </w:abstractNum>
  <w:abstractNum w:abstractNumId="1" w15:restartNumberingAfterBreak="0">
    <w:nsid w:val="21A97C3C"/>
    <w:multiLevelType w:val="hybridMultilevel"/>
    <w:tmpl w:val="DC7E7F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3C5D0E"/>
    <w:multiLevelType w:val="hybridMultilevel"/>
    <w:tmpl w:val="3F228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365206"/>
    <w:multiLevelType w:val="hybridMultilevel"/>
    <w:tmpl w:val="D4EC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575136"/>
    <w:multiLevelType w:val="hybridMultilevel"/>
    <w:tmpl w:val="73C85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844820"/>
    <w:multiLevelType w:val="hybridMultilevel"/>
    <w:tmpl w:val="583C4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7D7F96"/>
    <w:multiLevelType w:val="hybridMultilevel"/>
    <w:tmpl w:val="E9923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640797"/>
    <w:multiLevelType w:val="hybridMultilevel"/>
    <w:tmpl w:val="96245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5"/>
  </w:num>
  <w:num w:numId="6">
    <w:abstractNumId w:val="4"/>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5B4E"/>
    <w:rsid w:val="000401E7"/>
    <w:rsid w:val="000451F5"/>
    <w:rsid w:val="00050FB5"/>
    <w:rsid w:val="00091217"/>
    <w:rsid w:val="00097839"/>
    <w:rsid w:val="000F233C"/>
    <w:rsid w:val="00147CD7"/>
    <w:rsid w:val="00160000"/>
    <w:rsid w:val="00165124"/>
    <w:rsid w:val="001B5B4E"/>
    <w:rsid w:val="002076CE"/>
    <w:rsid w:val="0027060F"/>
    <w:rsid w:val="002C0DDB"/>
    <w:rsid w:val="00494210"/>
    <w:rsid w:val="004A7DF9"/>
    <w:rsid w:val="004E06C4"/>
    <w:rsid w:val="00561DCA"/>
    <w:rsid w:val="00586E12"/>
    <w:rsid w:val="00604930"/>
    <w:rsid w:val="00654176"/>
    <w:rsid w:val="006778D3"/>
    <w:rsid w:val="006A7A63"/>
    <w:rsid w:val="006E5716"/>
    <w:rsid w:val="007D0C5F"/>
    <w:rsid w:val="007D4CEE"/>
    <w:rsid w:val="007F0030"/>
    <w:rsid w:val="00815143"/>
    <w:rsid w:val="0084798B"/>
    <w:rsid w:val="008B5D65"/>
    <w:rsid w:val="008E3DF6"/>
    <w:rsid w:val="0094390A"/>
    <w:rsid w:val="00982B54"/>
    <w:rsid w:val="00995BC0"/>
    <w:rsid w:val="009C40C6"/>
    <w:rsid w:val="00A340CA"/>
    <w:rsid w:val="00A57D34"/>
    <w:rsid w:val="00AC49D0"/>
    <w:rsid w:val="00AC5B1D"/>
    <w:rsid w:val="00B101E6"/>
    <w:rsid w:val="00B85984"/>
    <w:rsid w:val="00BA33EB"/>
    <w:rsid w:val="00C26B6B"/>
    <w:rsid w:val="00C70FD8"/>
    <w:rsid w:val="00CD10F2"/>
    <w:rsid w:val="00CE1BB4"/>
    <w:rsid w:val="00CF3882"/>
    <w:rsid w:val="00D55B54"/>
    <w:rsid w:val="00D776F2"/>
    <w:rsid w:val="00DD28A8"/>
    <w:rsid w:val="00E86418"/>
    <w:rsid w:val="00E9285A"/>
    <w:rsid w:val="00EC6FB2"/>
    <w:rsid w:val="00F11098"/>
    <w:rsid w:val="00F34975"/>
    <w:rsid w:val="00F37DD0"/>
    <w:rsid w:val="00FA2C44"/>
    <w:rsid w:val="00FF670A"/>
    <w:rsid w:val="00FF6E50"/>
    <w:rsid w:val="00FF6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42123EEE-34BB-4E91-83B5-DC1493D28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6E99"/>
    <w:rPr>
      <w:color w:val="0563C1" w:themeColor="hyperlink"/>
      <w:u w:val="single"/>
    </w:rPr>
  </w:style>
  <w:style w:type="paragraph" w:styleId="ListParagraph">
    <w:name w:val="List Paragraph"/>
    <w:basedOn w:val="Normal"/>
    <w:uiPriority w:val="34"/>
    <w:qFormat/>
    <w:rsid w:val="00FF6E99"/>
    <w:pPr>
      <w:ind w:left="720"/>
      <w:contextualSpacing/>
    </w:pPr>
  </w:style>
  <w:style w:type="character" w:styleId="FollowedHyperlink">
    <w:name w:val="FollowedHyperlink"/>
    <w:basedOn w:val="DefaultParagraphFont"/>
    <w:uiPriority w:val="99"/>
    <w:semiHidden/>
    <w:unhideWhenUsed/>
    <w:rsid w:val="00F37DD0"/>
    <w:rPr>
      <w:color w:val="954F72" w:themeColor="followedHyperlink"/>
      <w:u w:val="single"/>
    </w:rPr>
  </w:style>
  <w:style w:type="paragraph" w:styleId="FootnoteText">
    <w:name w:val="footnote text"/>
    <w:basedOn w:val="Normal"/>
    <w:link w:val="FootnoteTextChar"/>
    <w:uiPriority w:val="99"/>
    <w:semiHidden/>
    <w:unhideWhenUsed/>
    <w:rsid w:val="00982B5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2B54"/>
    <w:rPr>
      <w:sz w:val="20"/>
      <w:szCs w:val="20"/>
    </w:rPr>
  </w:style>
  <w:style w:type="character" w:styleId="FootnoteReference">
    <w:name w:val="footnote reference"/>
    <w:basedOn w:val="DefaultParagraphFont"/>
    <w:uiPriority w:val="99"/>
    <w:semiHidden/>
    <w:unhideWhenUsed/>
    <w:rsid w:val="00982B5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5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iwm.org.uk/learning/resources/first-world-war-recruitment-poste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iwm.org.uk/collections/item/object/1199" TargetMode="External"/><Relationship Id="rId2" Type="http://schemas.openxmlformats.org/officeDocument/2006/relationships/hyperlink" Target="http://www.iwm.org.uk/collections/item/object/28449" TargetMode="External"/><Relationship Id="rId1" Type="http://schemas.openxmlformats.org/officeDocument/2006/relationships/hyperlink" Target="http://www.iwm.org.uk/collections/item/object/14989" TargetMode="External"/><Relationship Id="rId4" Type="http://schemas.openxmlformats.org/officeDocument/2006/relationships/hyperlink" Target="http://www.iwm.org.uk/collections/item/object/145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E1E038-0BFC-4008-A2E3-1A95B2559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3150</Words>
  <Characters>14839</Characters>
  <Application>Microsoft Office Word</Application>
  <DocSecurity>0</DocSecurity>
  <Lines>215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End User</dc:creator>
  <cp:keywords/>
  <dc:description/>
  <cp:lastModifiedBy>End User</cp:lastModifiedBy>
  <cp:revision>2</cp:revision>
  <dcterms:created xsi:type="dcterms:W3CDTF">2017-11-17T06:14:00Z</dcterms:created>
  <dcterms:modified xsi:type="dcterms:W3CDTF">2017-11-17T06:14:00Z</dcterms:modified>
</cp:coreProperties>
</file>