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37DBC" w14:textId="77777777" w:rsidR="00B117FB" w:rsidRDefault="00B117FB">
      <w:pPr>
        <w:spacing w:before="2400"/>
      </w:pPr>
    </w:p>
    <w:p w14:paraId="26437DBD" w14:textId="77777777" w:rsidR="00B117FB" w:rsidRDefault="00B14F15">
      <w:pPr>
        <w:spacing w:after="120"/>
        <w:jc w:val="center"/>
      </w:pPr>
      <w:r>
        <w:rPr>
          <w:b/>
          <w:bCs/>
          <w:sz w:val="36"/>
          <w:szCs w:val="36"/>
        </w:rPr>
        <w:t>BMHP6029</w:t>
      </w:r>
    </w:p>
    <w:p w14:paraId="26437DBE" w14:textId="77777777" w:rsidR="00B117FB" w:rsidRDefault="00B14F15">
      <w:pPr>
        <w:spacing w:after="240"/>
        <w:jc w:val="center"/>
      </w:pPr>
      <w:r>
        <w:rPr>
          <w:b/>
          <w:bCs/>
          <w:sz w:val="28"/>
          <w:szCs w:val="28"/>
        </w:rPr>
        <w:t>Psychological Classifications and Provisions</w:t>
      </w:r>
    </w:p>
    <w:p w14:paraId="26437DBF" w14:textId="77777777" w:rsidR="00B117FB" w:rsidRDefault="00B14F15">
      <w:pPr>
        <w:spacing w:after="360"/>
        <w:jc w:val="center"/>
      </w:pPr>
      <w:r>
        <w:rPr>
          <w:sz w:val="24"/>
          <w:szCs w:val="24"/>
        </w:rPr>
        <w:t>Component 2: Written Assignment (Report)</w:t>
      </w:r>
    </w:p>
    <w:p w14:paraId="26437DC0" w14:textId="77777777" w:rsidR="00B117FB" w:rsidRDefault="00B14F15">
      <w:pPr>
        <w:spacing w:after="100"/>
        <w:jc w:val="center"/>
      </w:pPr>
      <w:r>
        <w:rPr>
          <w:b/>
          <w:bCs/>
          <w:i/>
          <w:iCs/>
          <w:sz w:val="24"/>
          <w:szCs w:val="24"/>
        </w:rPr>
        <w:t>Attention Deficit Hyperactivity Disorder (ICD-11: 6A05):</w:t>
      </w:r>
    </w:p>
    <w:p w14:paraId="26437DC1" w14:textId="77777777" w:rsidR="00B117FB" w:rsidRDefault="00B14F15">
      <w:pPr>
        <w:spacing w:after="500" w:line="360" w:lineRule="auto"/>
        <w:jc w:val="center"/>
      </w:pPr>
      <w:r>
        <w:rPr>
          <w:i/>
          <w:iCs/>
        </w:rPr>
        <w:t>Classification, Diagnosis, Treatment, and the Neurodiversity Debate</w:t>
      </w:r>
    </w:p>
    <w:p w14:paraId="26437DC2" w14:textId="77777777" w:rsidR="00B117FB" w:rsidRDefault="00B14F15">
      <w:pPr>
        <w:spacing w:after="80"/>
        <w:jc w:val="center"/>
      </w:pPr>
      <w:r>
        <w:t>Student Name: Catalin Anca</w:t>
      </w:r>
    </w:p>
    <w:p w14:paraId="26437DC3" w14:textId="77777777" w:rsidR="00B117FB" w:rsidRDefault="00B14F15">
      <w:pPr>
        <w:spacing w:after="80"/>
        <w:jc w:val="center"/>
      </w:pPr>
      <w:r>
        <w:t>Student ID: 2024817</w:t>
      </w:r>
    </w:p>
    <w:p w14:paraId="26437DC4" w14:textId="36EAC395" w:rsidR="00B117FB" w:rsidRDefault="00666155">
      <w:pPr>
        <w:spacing w:after="80"/>
        <w:jc w:val="center"/>
      </w:pPr>
      <w:r>
        <w:t>Program</w:t>
      </w:r>
      <w:r w:rsidR="00B14F15">
        <w:t>: BSc (Hons) Health and Social Care</w:t>
      </w:r>
    </w:p>
    <w:p w14:paraId="26437DC5" w14:textId="77777777" w:rsidR="00B117FB" w:rsidRDefault="00B14F15">
      <w:pPr>
        <w:spacing w:after="80"/>
        <w:jc w:val="center"/>
      </w:pPr>
      <w:r>
        <w:t>Module Code: BMHP6029</w:t>
      </w:r>
    </w:p>
    <w:p w14:paraId="26437DC6" w14:textId="77777777" w:rsidR="00B117FB" w:rsidRDefault="00B14F15">
      <w:pPr>
        <w:spacing w:after="80"/>
        <w:jc w:val="center"/>
      </w:pPr>
      <w:r>
        <w:t>Module Title: Psychological Classifications and Provisions</w:t>
      </w:r>
    </w:p>
    <w:p w14:paraId="26437DC7" w14:textId="60BA04D5" w:rsidR="00B117FB" w:rsidRDefault="00B14F15">
      <w:pPr>
        <w:spacing w:after="80"/>
        <w:jc w:val="center"/>
      </w:pPr>
      <w:r>
        <w:t>Lecturer:  Dr Farah Wiita</w:t>
      </w:r>
    </w:p>
    <w:p w14:paraId="26437DC8" w14:textId="77777777" w:rsidR="00B117FB" w:rsidRDefault="00B14F15">
      <w:pPr>
        <w:spacing w:after="80"/>
        <w:jc w:val="center"/>
      </w:pPr>
      <w:r>
        <w:t>Submission Date: 24th April 2026</w:t>
      </w:r>
    </w:p>
    <w:p w14:paraId="26437DC9" w14:textId="77777777" w:rsidR="00B117FB" w:rsidRDefault="00B14F15">
      <w:pPr>
        <w:spacing w:before="400" w:after="80"/>
        <w:jc w:val="center"/>
      </w:pPr>
      <w:r>
        <w:rPr>
          <w:i/>
          <w:iCs/>
          <w:sz w:val="20"/>
          <w:szCs w:val="20"/>
        </w:rPr>
        <w:t>Word Count: 2,000 (main text, excluding cover, contents, and references)</w:t>
      </w:r>
    </w:p>
    <w:p w14:paraId="26437DCA" w14:textId="77777777" w:rsidR="00B117FB" w:rsidRDefault="00B14F15">
      <w:r>
        <w:br w:type="page"/>
      </w:r>
    </w:p>
    <w:p w14:paraId="26437DCB" w14:textId="77777777" w:rsidR="00B117FB" w:rsidRDefault="00B14F15">
      <w:pPr>
        <w:pStyle w:val="Heading1"/>
        <w:spacing w:line="360" w:lineRule="auto"/>
      </w:pPr>
      <w:r>
        <w:lastRenderedPageBreak/>
        <w:t>Table of Contents</w:t>
      </w:r>
    </w:p>
    <w:p w14:paraId="26437DCC" w14:textId="77777777" w:rsidR="00B117FB" w:rsidRDefault="00B14F15">
      <w:pPr>
        <w:spacing w:after="120" w:line="360" w:lineRule="auto"/>
        <w:jc w:val="both"/>
      </w:pPr>
      <w:r>
        <w:t>1. Introduction</w:t>
      </w:r>
    </w:p>
    <w:p w14:paraId="26437DCD" w14:textId="77777777" w:rsidR="00B117FB" w:rsidRDefault="00B14F15">
      <w:pPr>
        <w:spacing w:after="120" w:line="360" w:lineRule="auto"/>
        <w:jc w:val="both"/>
      </w:pPr>
      <w:r>
        <w:t>2. Classification and Diagnosis in ICD-11</w:t>
      </w:r>
    </w:p>
    <w:p w14:paraId="26437DCE" w14:textId="77777777" w:rsidR="00B117FB" w:rsidRDefault="00B14F15">
      <w:pPr>
        <w:spacing w:after="120" w:line="360" w:lineRule="auto"/>
        <w:jc w:val="both"/>
      </w:pPr>
      <w:r>
        <w:t xml:space="preserve">    2.1 ICD-11 Classification</w:t>
      </w:r>
    </w:p>
    <w:p w14:paraId="26437DCF" w14:textId="77777777" w:rsidR="00B117FB" w:rsidRDefault="00B14F15">
      <w:pPr>
        <w:spacing w:after="120" w:line="360" w:lineRule="auto"/>
        <w:jc w:val="both"/>
      </w:pPr>
      <w:r>
        <w:t xml:space="preserve">    2.2 Diagnostic Criteria and Process</w:t>
      </w:r>
    </w:p>
    <w:p w14:paraId="26437DD0" w14:textId="77777777" w:rsidR="00B117FB" w:rsidRDefault="00B14F15">
      <w:pPr>
        <w:spacing w:after="120" w:line="360" w:lineRule="auto"/>
        <w:jc w:val="both"/>
      </w:pPr>
      <w:r>
        <w:t xml:space="preserve">    2.3 The Language of Classification</w:t>
      </w:r>
    </w:p>
    <w:p w14:paraId="26437DD1" w14:textId="77777777" w:rsidR="00B117FB" w:rsidRDefault="00B14F15">
      <w:pPr>
        <w:spacing w:after="120" w:line="360" w:lineRule="auto"/>
        <w:jc w:val="both"/>
      </w:pPr>
      <w:r>
        <w:t>3. Treatment and Rehabilitation</w:t>
      </w:r>
    </w:p>
    <w:p w14:paraId="26437DD2" w14:textId="77777777" w:rsidR="00B117FB" w:rsidRDefault="00B14F15">
      <w:pPr>
        <w:spacing w:after="120" w:line="360" w:lineRule="auto"/>
        <w:jc w:val="both"/>
      </w:pPr>
      <w:r>
        <w:t xml:space="preserve">    3.1 Pharmacological Treatment</w:t>
      </w:r>
    </w:p>
    <w:p w14:paraId="26437DD3" w14:textId="36051F61" w:rsidR="00B117FB" w:rsidRDefault="00B14F15">
      <w:pPr>
        <w:spacing w:after="120" w:line="360" w:lineRule="auto"/>
        <w:jc w:val="both"/>
      </w:pPr>
      <w:r>
        <w:t xml:space="preserve">    3.2 Psychological and </w:t>
      </w:r>
      <w:proofErr w:type="spellStart"/>
      <w:r w:rsidR="0014790C">
        <w:t>Behavioral</w:t>
      </w:r>
      <w:proofErr w:type="spellEnd"/>
      <w:r>
        <w:t xml:space="preserve"> Interventions</w:t>
      </w:r>
    </w:p>
    <w:p w14:paraId="26437DD4" w14:textId="77777777" w:rsidR="00B117FB" w:rsidRDefault="00B14F15">
      <w:pPr>
        <w:spacing w:after="120" w:line="360" w:lineRule="auto"/>
        <w:jc w:val="both"/>
      </w:pPr>
      <w:r>
        <w:t xml:space="preserve">    3.3 Rehabilitation and Wider Support</w:t>
      </w:r>
    </w:p>
    <w:p w14:paraId="26437DD5" w14:textId="77777777" w:rsidR="00B117FB" w:rsidRDefault="00B14F15">
      <w:pPr>
        <w:spacing w:after="120" w:line="360" w:lineRule="auto"/>
        <w:jc w:val="both"/>
      </w:pPr>
      <w:r>
        <w:t xml:space="preserve">    3.4 Effectiveness and Limitations</w:t>
      </w:r>
    </w:p>
    <w:p w14:paraId="26437DD6" w14:textId="77777777" w:rsidR="00B117FB" w:rsidRDefault="00B14F15">
      <w:pPr>
        <w:spacing w:after="120" w:line="360" w:lineRule="auto"/>
        <w:jc w:val="both"/>
      </w:pPr>
      <w:r>
        <w:t>4. Current Debates and Emerging Issues</w:t>
      </w:r>
    </w:p>
    <w:p w14:paraId="26437DD7" w14:textId="77777777" w:rsidR="00B117FB" w:rsidRDefault="00B14F15">
      <w:pPr>
        <w:spacing w:after="120" w:line="360" w:lineRule="auto"/>
        <w:jc w:val="both"/>
      </w:pPr>
      <w:r>
        <w:t xml:space="preserve">    4.1 ADHD and the Neurodiversity Paradigm</w:t>
      </w:r>
    </w:p>
    <w:p w14:paraId="26437DD8" w14:textId="77777777" w:rsidR="00B117FB" w:rsidRDefault="00B14F15">
      <w:pPr>
        <w:spacing w:after="120" w:line="360" w:lineRule="auto"/>
        <w:jc w:val="both"/>
      </w:pPr>
      <w:r>
        <w:t xml:space="preserve">    4.2 Reclassification and the Shift to Neurodevelopmental Disorder</w:t>
      </w:r>
    </w:p>
    <w:p w14:paraId="26437DD9" w14:textId="77777777" w:rsidR="00B117FB" w:rsidRDefault="00B14F15">
      <w:pPr>
        <w:spacing w:after="120" w:line="360" w:lineRule="auto"/>
        <w:jc w:val="both"/>
      </w:pPr>
      <w:r>
        <w:t xml:space="preserve">    4.3 Rising Adult Diagnoses and Implications for UK Practice</w:t>
      </w:r>
    </w:p>
    <w:p w14:paraId="26437DDA" w14:textId="77777777" w:rsidR="00B117FB" w:rsidRDefault="00B14F15">
      <w:pPr>
        <w:spacing w:after="120" w:line="360" w:lineRule="auto"/>
        <w:jc w:val="both"/>
      </w:pPr>
      <w:r>
        <w:t>5. Recommendations</w:t>
      </w:r>
    </w:p>
    <w:p w14:paraId="26437DDB" w14:textId="77777777" w:rsidR="00B117FB" w:rsidRDefault="00B14F15">
      <w:pPr>
        <w:spacing w:after="120" w:line="360" w:lineRule="auto"/>
        <w:jc w:val="both"/>
      </w:pPr>
      <w:r>
        <w:t>6. Conclusion</w:t>
      </w:r>
    </w:p>
    <w:p w14:paraId="26437DDC" w14:textId="77777777" w:rsidR="00B117FB" w:rsidRDefault="00B14F15">
      <w:pPr>
        <w:spacing w:after="120" w:line="360" w:lineRule="auto"/>
        <w:jc w:val="both"/>
      </w:pPr>
      <w:r>
        <w:t>References</w:t>
      </w:r>
    </w:p>
    <w:p w14:paraId="26437DDD" w14:textId="77777777" w:rsidR="00B117FB" w:rsidRDefault="00B14F15">
      <w:r>
        <w:br w:type="page"/>
      </w:r>
    </w:p>
    <w:p w14:paraId="26437DDE" w14:textId="77777777" w:rsidR="00B117FB" w:rsidRDefault="00B14F15">
      <w:pPr>
        <w:pStyle w:val="Heading1"/>
        <w:spacing w:line="360" w:lineRule="auto"/>
      </w:pPr>
      <w:r>
        <w:lastRenderedPageBreak/>
        <w:t>1. Introduction</w:t>
      </w:r>
    </w:p>
    <w:p w14:paraId="26437DDF" w14:textId="77777777" w:rsidR="00B117FB" w:rsidRDefault="00B14F15">
      <w:pPr>
        <w:spacing w:after="120" w:line="360" w:lineRule="auto"/>
        <w:jc w:val="both"/>
      </w:pPr>
      <w:r>
        <w:t>Attention Deficit Hyperactivity Disorder (ADHD) is one of the most widely recognised and debated conditions in contemporary mental health practice. Classified in the International Classification of Diseases 11th Revision (ICD-11) under code 6A05, ADHD is described as a persistent pattern of inattention, hyperactivity, and impulsivity that begins during the developmental period and interferes significantly with academic, occupational, or social functioning (World Health Organization, 2022). The ICD-11 represents a notable shift in how ADHD is understood, moving it from the previous ICD-10 category of “behavioural and emotional disorders with onset usually occurring in childhood” to the new grouping of “neurodevelopmental disorders” (Reed et al., 2019).</w:t>
      </w:r>
    </w:p>
    <w:p w14:paraId="26437DE0" w14:textId="77777777" w:rsidR="00B117FB" w:rsidRDefault="00B14F15">
      <w:pPr>
        <w:spacing w:after="120" w:line="360" w:lineRule="auto"/>
        <w:jc w:val="both"/>
      </w:pPr>
      <w:r>
        <w:t>This report provides a critical examination of ADHD as classified in ICD-11, with attention to its diagnostic criteria, treatment pathways, and rehabilitation measures. It also engages with some of the most important debates currently shaping policy and practice, including the influence of the neurodiversity movement, concerns about overdiagnosis or underdiagnosis, and the implications of rapidly rising adult diagnoses in the United Kingdom. Recommendations are offered for improving classification, service provision, and patient experience.</w:t>
      </w:r>
    </w:p>
    <w:p w14:paraId="26437DE1" w14:textId="77777777" w:rsidR="00B117FB" w:rsidRDefault="00B14F15">
      <w:pPr>
        <w:pStyle w:val="Heading1"/>
        <w:spacing w:line="360" w:lineRule="auto"/>
      </w:pPr>
      <w:r>
        <w:t>2. Classification and Diagnosis in ICD-11</w:t>
      </w:r>
    </w:p>
    <w:p w14:paraId="26437DE2" w14:textId="77777777" w:rsidR="00B117FB" w:rsidRDefault="00B14F15">
      <w:pPr>
        <w:pStyle w:val="Heading2"/>
        <w:spacing w:line="360" w:lineRule="auto"/>
      </w:pPr>
      <w:r>
        <w:t>2.1 ICD-11 Classification</w:t>
      </w:r>
    </w:p>
    <w:p w14:paraId="26437DE3" w14:textId="77777777" w:rsidR="00B117FB" w:rsidRDefault="00B14F15">
      <w:pPr>
        <w:spacing w:after="120" w:line="360" w:lineRule="auto"/>
        <w:jc w:val="both"/>
      </w:pPr>
      <w:r>
        <w:t>Under ICD-11, ADHD (6A05) sits within the chapter on Mental, Behavioural or Neurodevelopmental Disorders, specifically in the block dedicated to neurodevelopmental disorders alongside conditions such as autism spectrum disorder and developmental learning disorder (World Health Organization, 2022). This reclassification is significant. It explicitly acknowledges that ADHD is a condition rooted in atypical neurodevelopment rather than a behavioural or emotional problem that simply emerges in childhood (Reed et al., 2019). The change brings ICD-11 into closer alignment with the DSM-5-TR, which has categorised ADHD as a neurodevelopmental disorder since 2013 (American Psychiatric Association, 2022), and reflects the growing consensus within cognitive neuroscience that ADHD involves differences in executive function, working memory, and reward processing (Faraone et al., 2021).</w:t>
      </w:r>
    </w:p>
    <w:p w14:paraId="26437DE4" w14:textId="77777777" w:rsidR="00B117FB" w:rsidRDefault="00B14F15">
      <w:pPr>
        <w:pStyle w:val="Heading2"/>
        <w:spacing w:line="360" w:lineRule="auto"/>
      </w:pPr>
      <w:r>
        <w:t>2.2 Diagnostic Criteria and Process</w:t>
      </w:r>
    </w:p>
    <w:p w14:paraId="26437DE5" w14:textId="77777777" w:rsidR="00B117FB" w:rsidRDefault="00B14F15">
      <w:pPr>
        <w:spacing w:after="120" w:line="360" w:lineRule="auto"/>
        <w:jc w:val="both"/>
      </w:pPr>
      <w:r>
        <w:t xml:space="preserve">ICD-11 specifies that ADHD is characterised by a persistent pattern of inattention and/or hyperactivity-impulsivity that is evident across multiple settings, such as home, school, or </w:t>
      </w:r>
      <w:r>
        <w:lastRenderedPageBreak/>
        <w:t>work, and that directly impairs functioning (World Health Organization, 2022). The symptoms must typically have been present before the age of 12, although adult diagnosis is explicitly permitted where developmental history can be established retrospectively. ICD-11 recognises three presentations: predominantly inattentive, predominantly hyperactive-impulsive, and combined. Crucially, unlike ICD-10, ICD-11 no longer requires symptoms across all three domains to be present simultaneously, which better reflects the clinical reality that many individuals, particularly women and girls, present with predominantly inattentive features that were historically underdiagnosed (Young et al., 2020).</w:t>
      </w:r>
    </w:p>
    <w:p w14:paraId="26437DE6" w14:textId="77777777" w:rsidR="00B117FB" w:rsidRDefault="00B14F15">
      <w:pPr>
        <w:spacing w:after="120" w:line="360" w:lineRule="auto"/>
        <w:jc w:val="both"/>
      </w:pPr>
      <w:r>
        <w:t>In UK practice, diagnosis is guided by the National Institute for Health and Care Excellence (NICE, 2019), which recommends assessment by a specialist psychiatrist, paediatrician, or other appropriately qualified clinician. The process typically involves a structured clinical interview, developmental history, collateral information from family members or teachers, and the use of validated rating scales such as the Conners or the DIVA-5. NICE also stipulates that diagnosis must consider differential causes, including anxiety, depression, and trauma, all of which can mimic or coexist with ADHD (NICE, 2019).</w:t>
      </w:r>
    </w:p>
    <w:p w14:paraId="26437DE7" w14:textId="77777777" w:rsidR="00B117FB" w:rsidRDefault="00B14F15">
      <w:pPr>
        <w:pStyle w:val="Heading2"/>
        <w:spacing w:line="360" w:lineRule="auto"/>
      </w:pPr>
      <w:r>
        <w:t>2.3 The Language of Classification</w:t>
      </w:r>
    </w:p>
    <w:p w14:paraId="26437DE8" w14:textId="77777777" w:rsidR="00B117FB" w:rsidRDefault="00B14F15">
      <w:pPr>
        <w:spacing w:after="120" w:line="360" w:lineRule="auto"/>
        <w:jc w:val="both"/>
      </w:pPr>
      <w:r>
        <w:t>The terminology used in ICD-11 is itself worth examining. ADHD is described as a “disorder” rather than a “condition” or “difference” (World Health Organization, 2022), a choice that carries clinical, social, and political weight. The term “disorder” implies pathology and dysfunction, which is necessary for clinical recognition, access to treatment, and eligibility for support services (</w:t>
      </w:r>
      <w:proofErr w:type="spellStart"/>
      <w:r>
        <w:t>Timimi</w:t>
      </w:r>
      <w:proofErr w:type="spellEnd"/>
      <w:r>
        <w:t>, 2021). However, many within the neurodiversity movement argue that this language frames ADHD as inherently deficient rather than as a form of natural human cognitive variation (Chapman, 2021). This tension between clinical necessity and identity-affirming language is one of the most important ongoing debates in the field and is returned to later in this report.</w:t>
      </w:r>
    </w:p>
    <w:p w14:paraId="26437DE9" w14:textId="77777777" w:rsidR="00B117FB" w:rsidRDefault="00B14F15">
      <w:pPr>
        <w:pStyle w:val="Heading1"/>
        <w:spacing w:line="360" w:lineRule="auto"/>
      </w:pPr>
      <w:r>
        <w:t>3. Treatment and Rehabilitation</w:t>
      </w:r>
    </w:p>
    <w:p w14:paraId="26437DEA" w14:textId="77777777" w:rsidR="00B117FB" w:rsidRDefault="00B14F15">
      <w:pPr>
        <w:pStyle w:val="Heading2"/>
        <w:spacing w:line="360" w:lineRule="auto"/>
      </w:pPr>
      <w:r>
        <w:t>3.1 Pharmacological Treatment</w:t>
      </w:r>
    </w:p>
    <w:p w14:paraId="26437DEB" w14:textId="77777777" w:rsidR="00B117FB" w:rsidRDefault="00B14F15">
      <w:pPr>
        <w:spacing w:after="120" w:line="360" w:lineRule="auto"/>
        <w:jc w:val="both"/>
      </w:pPr>
      <w:r>
        <w:t xml:space="preserve">Pharmacological intervention remains the first-line treatment for moderate to severe ADHD in adults and for children where non-pharmacological approaches have not been sufficient (NICE, 2019). The most widely used medications in the UK are stimulants, such as methylphenidate and </w:t>
      </w:r>
      <w:proofErr w:type="spellStart"/>
      <w:r>
        <w:t>lisdexamfetamine</w:t>
      </w:r>
      <w:proofErr w:type="spellEnd"/>
      <w:r>
        <w:t xml:space="preserve">, which act on dopaminergic and noradrenergic pathways to improve attention, impulse control, and task persistence (Cortese et al., 2018). </w:t>
      </w:r>
      <w:r>
        <w:lastRenderedPageBreak/>
        <w:t>Non-stimulant options, including atomoxetine and guanfacine, are available where stimulants are unsuitable due to comorbid conditions or side effects.</w:t>
      </w:r>
    </w:p>
    <w:p w14:paraId="26437DEC" w14:textId="77777777" w:rsidR="00B117FB" w:rsidRDefault="00B14F15">
      <w:pPr>
        <w:pStyle w:val="Heading2"/>
        <w:spacing w:line="360" w:lineRule="auto"/>
      </w:pPr>
      <w:r>
        <w:t>3.2 Psychological and Behavioural Interventions</w:t>
      </w:r>
    </w:p>
    <w:p w14:paraId="26437DED" w14:textId="77777777" w:rsidR="00B117FB" w:rsidRDefault="00B14F15">
      <w:pPr>
        <w:spacing w:after="120" w:line="360" w:lineRule="auto"/>
        <w:jc w:val="both"/>
      </w:pPr>
      <w:r>
        <w:t xml:space="preserve">Psychological interventions play a significant role in ADHD management, particularly for adults and for individuals who prefer non-medication approaches. Cognitive Behavioural Therapy (CBT) adapted for ADHD has </w:t>
      </w:r>
      <w:proofErr w:type="gramStart"/>
      <w:r>
        <w:t>a growing evidence</w:t>
      </w:r>
      <w:proofErr w:type="gramEnd"/>
      <w:r>
        <w:t xml:space="preserve"> base and has been shown to improve executive function, emotional regulation, and coping strategies (Young et al., 2020). Psychoeducation, both for the individual and their family, is also strongly recommended by NICE (2019) and is considered a foundational component of any treatment plan. Behavioural parent training is recommended for children, while workplace and educational accommodations, such as extended deadlines or structured task management, form an important part of the wider treatment approach.</w:t>
      </w:r>
    </w:p>
    <w:p w14:paraId="26437DEE" w14:textId="77777777" w:rsidR="00B117FB" w:rsidRDefault="00B14F15">
      <w:pPr>
        <w:pStyle w:val="Heading2"/>
        <w:spacing w:line="360" w:lineRule="auto"/>
      </w:pPr>
      <w:r>
        <w:t>3.3 Rehabilitation and Wider Support</w:t>
      </w:r>
    </w:p>
    <w:p w14:paraId="26437DEF" w14:textId="77777777" w:rsidR="00B117FB" w:rsidRDefault="00B14F15">
      <w:pPr>
        <w:spacing w:after="120" w:line="360" w:lineRule="auto"/>
        <w:jc w:val="both"/>
      </w:pPr>
      <w:r>
        <w:t>Rehabilitation for ADHD in the ICD-11 framework is understood less as recovery from acute illness and more as long-term support for living well with a lifelong condition (World Health Organization, 2022). In the UK context, this typically includes coaching, structured skills training, peer support groups, and occupational adjustments under the Equality Act 2010. Charitable organisations such as ADHD UK and the ADHD Foundation play a meaningful role in supplementing statutory provision, particularly given the well-documented pressure on NHS services (Asherson et al., 2022).</w:t>
      </w:r>
    </w:p>
    <w:p w14:paraId="26437DF0" w14:textId="77777777" w:rsidR="00B117FB" w:rsidRDefault="00B14F15">
      <w:pPr>
        <w:pStyle w:val="Heading2"/>
        <w:spacing w:line="360" w:lineRule="auto"/>
      </w:pPr>
      <w:r>
        <w:t>3.4 Effectiveness and Limitations</w:t>
      </w:r>
    </w:p>
    <w:p w14:paraId="26437DF1" w14:textId="77777777" w:rsidR="00B117FB" w:rsidRDefault="00B14F15">
      <w:pPr>
        <w:spacing w:after="120" w:line="360" w:lineRule="auto"/>
        <w:jc w:val="both"/>
      </w:pPr>
      <w:r>
        <w:t>The evidence base for ADHD treatment is generally robust but has important limitations. A large network meta-analysis by Cortese et al. (2018) found that stimulants produce the most consistent improvements in ADHD symptoms across age groups, although the effects on long-term functional outcomes, such as educational attainment and employment, are more modest. Medication can also cause adverse effects, including reduced appetite, sleep disturbance, and cardiovascular concerns, requiring ongoing monitoring (NICE, 2019). Psychological interventions have a smaller effect size but are often valued by service users for addressing the emotional and practical aspects of living with ADHD (Young et al., 2020). A significant practical limitation is access: NHS ADHD services in many parts of the UK report waiting times of several years, which has driven growing use of the Right to Choose pathway and private assessment (Price et al., 2023).</w:t>
      </w:r>
    </w:p>
    <w:p w14:paraId="26437DF2" w14:textId="77777777" w:rsidR="00B117FB" w:rsidRDefault="00B14F15">
      <w:pPr>
        <w:pStyle w:val="Heading1"/>
        <w:spacing w:line="360" w:lineRule="auto"/>
      </w:pPr>
      <w:r>
        <w:lastRenderedPageBreak/>
        <w:t>4. Current Debates and Emerging Issues</w:t>
      </w:r>
    </w:p>
    <w:p w14:paraId="26437DF3" w14:textId="77777777" w:rsidR="00B117FB" w:rsidRDefault="00B14F15">
      <w:pPr>
        <w:pStyle w:val="Heading2"/>
        <w:spacing w:line="360" w:lineRule="auto"/>
      </w:pPr>
      <w:r>
        <w:t>4.1 ADHD and the Neurodiversity Paradigm</w:t>
      </w:r>
    </w:p>
    <w:p w14:paraId="26437DF4" w14:textId="77777777" w:rsidR="00B117FB" w:rsidRDefault="00B14F15">
      <w:pPr>
        <w:spacing w:after="120" w:line="360" w:lineRule="auto"/>
        <w:jc w:val="both"/>
      </w:pPr>
      <w:r>
        <w:t>One of the most significant contemporary debates surrounding ADHD concerns the neurodiversity paradigm. The neurodiversity movement, which emerged from autism self-advocacy in the late 1990s, proposes that conditions such as ADHD and autism represent natural variations in human cognition rather than disorders to be cured (Chapman, 2021). Proponents argue that framing ADHD solely as a deficit ignores the strengths that often accompany the condition, such as creativity, hyperfocus, and novelty-seeking, and can contribute to internalised stigma (</w:t>
      </w:r>
      <w:proofErr w:type="spellStart"/>
      <w:r>
        <w:t>Ne’eman</w:t>
      </w:r>
      <w:proofErr w:type="spellEnd"/>
      <w:r>
        <w:t>, 2021). Critics, however, caution that a purely affirmative framing risks minimising the genuine impairment experienced by many individuals with ADHD, particularly those with severe symptoms or significant comorbidities (Singh, 2020).</w:t>
      </w:r>
    </w:p>
    <w:p w14:paraId="26437DF5" w14:textId="77777777" w:rsidR="00B117FB" w:rsidRDefault="00B14F15">
      <w:pPr>
        <w:spacing w:after="120" w:line="360" w:lineRule="auto"/>
        <w:jc w:val="both"/>
      </w:pPr>
      <w:r>
        <w:t>This debate has direct implications for clinical practice. Some clinicians increasingly use identity-first language such as “neurodivergent” alongside traditional diagnostic terminology, while others argue that the medical framework must remain intact to ensure access to evidence-based treatment (</w:t>
      </w:r>
      <w:proofErr w:type="spellStart"/>
      <w:r>
        <w:t>Timimi</w:t>
      </w:r>
      <w:proofErr w:type="spellEnd"/>
      <w:r>
        <w:t>, 2021). The most productive position, as Chapman (2021) suggests, is probably not either/or but rather a pluralistic approach that recognises ADHD as both a neurodevelopmental difference and a source of impairment requiring support. Such a position respects lived experience without abandoning the clinical structures that make treatment possible.</w:t>
      </w:r>
    </w:p>
    <w:p w14:paraId="26437DF6" w14:textId="77777777" w:rsidR="00B117FB" w:rsidRDefault="00B14F15">
      <w:pPr>
        <w:pStyle w:val="Heading2"/>
        <w:spacing w:line="360" w:lineRule="auto"/>
      </w:pPr>
      <w:r>
        <w:t>4.2 Reclassification and the Shift to Neurodevelopmental Disorder</w:t>
      </w:r>
    </w:p>
    <w:p w14:paraId="26437DF7" w14:textId="77777777" w:rsidR="00B117FB" w:rsidRDefault="00B14F15">
      <w:pPr>
        <w:spacing w:after="120" w:line="360" w:lineRule="auto"/>
        <w:jc w:val="both"/>
      </w:pPr>
      <w:r>
        <w:t>The reclassification of ADHD under ICD-11 as a neurodevelopmental disorder, rather than a childhood behavioural disorder, has been broadly welcomed but is not without controversy (Reed et al., 2019). On the positive side, the shift aligns ICD-11 with contemporary neuroscience and with DSM-5-TR, supports the recognition of adult ADHD, and reduces the stigmatising implication that ADHD is simply disruptive behaviour (Faraone et al., 2021). On the other hand, some commentators argue that grouping ADHD with autism and other neurodevelopmental conditions risks oversimplifying their distinct presentations and may lead to diagnostic overlap that complicates treatment planning (Thapar and Cooper, 2016).</w:t>
      </w:r>
    </w:p>
    <w:p w14:paraId="26437DF8" w14:textId="77777777" w:rsidR="00B117FB" w:rsidRDefault="00B14F15">
      <w:pPr>
        <w:spacing w:after="120" w:line="360" w:lineRule="auto"/>
        <w:jc w:val="both"/>
      </w:pPr>
      <w:r>
        <w:t xml:space="preserve">Additionally, there is debate about whether ICD-11 goes far enough in recognising the continuity of ADHD from childhood into adulthood. Although it now allows for adult diagnosis, UK services remain unevenly distributed, and many adult patients still encounter clinicians who view ADHD as a childhood condition (Asherson et al., 2022). The reclassification is, </w:t>
      </w:r>
      <w:r>
        <w:lastRenderedPageBreak/>
        <w:t>therefore, necessary but not sufficient to resolve the structural issues in how ADHD is recognised and managed.</w:t>
      </w:r>
    </w:p>
    <w:p w14:paraId="26437DF9" w14:textId="77777777" w:rsidR="00B117FB" w:rsidRDefault="00B14F15">
      <w:pPr>
        <w:pStyle w:val="Heading2"/>
        <w:spacing w:line="360" w:lineRule="auto"/>
      </w:pPr>
      <w:r>
        <w:t>4.3 Rising Adult Diagnoses and Implications for UK Practice</w:t>
      </w:r>
    </w:p>
    <w:p w14:paraId="26437DFA" w14:textId="77777777" w:rsidR="00B117FB" w:rsidRDefault="00B14F15">
      <w:pPr>
        <w:spacing w:after="120" w:line="360" w:lineRule="auto"/>
        <w:jc w:val="both"/>
      </w:pPr>
      <w:r>
        <w:t>Over the past decade, the UK has seen a marked rise in adult ADHD assessments and diagnoses, fuelled partly by increased public awareness, social media, and the recognition that many adults, particularly women, were missed as children (Price et al., 2023). While this is a welcome development in terms of equity, it has created significant pressure on NHS services. Waiting times for adult ADHD assessment exceed five years in some regions, and recent national shortages of stimulant medication have further disrupted care (Asherson et al., 2022).</w:t>
      </w:r>
    </w:p>
    <w:p w14:paraId="26437DFB" w14:textId="77777777" w:rsidR="00B117FB" w:rsidRDefault="00B14F15">
      <w:pPr>
        <w:spacing w:after="120" w:line="360" w:lineRule="auto"/>
        <w:jc w:val="both"/>
      </w:pPr>
      <w:r>
        <w:t xml:space="preserve">The debate about whether ADHD is being </w:t>
      </w:r>
      <w:proofErr w:type="spellStart"/>
      <w:r>
        <w:t>overdiagnosed</w:t>
      </w:r>
      <w:proofErr w:type="spellEnd"/>
      <w:r>
        <w:t xml:space="preserve"> or appropriately identified is contested. Critics argue that relatively broad diagnostic criteria combined with social media influence can lead to self-diagnosis and demand that is not always clinically warranted (</w:t>
      </w:r>
      <w:proofErr w:type="spellStart"/>
      <w:r>
        <w:t>Timimi</w:t>
      </w:r>
      <w:proofErr w:type="spellEnd"/>
      <w:r>
        <w:t>, 2021). Supporters counter that the historical underdiagnosis of ADHD, especially in women and in ethnic minority communities, means that current rising figures are a correction rather than an inflation (Young et al., 2020). This debate has real policy consequences, influencing commissioning decisions, access to medication, and the allocation of NHS resources.</w:t>
      </w:r>
    </w:p>
    <w:p w14:paraId="26437DFC" w14:textId="77777777" w:rsidR="00B117FB" w:rsidRDefault="00B14F15">
      <w:pPr>
        <w:pStyle w:val="Heading1"/>
        <w:spacing w:line="360" w:lineRule="auto"/>
      </w:pPr>
      <w:r>
        <w:t>5. Recommendations</w:t>
      </w:r>
    </w:p>
    <w:p w14:paraId="26437DFD" w14:textId="77777777" w:rsidR="00B117FB" w:rsidRDefault="00B14F15">
      <w:pPr>
        <w:spacing w:after="120" w:line="360" w:lineRule="auto"/>
        <w:jc w:val="both"/>
      </w:pPr>
      <w:r>
        <w:t>Several recommendations emerge from the analysis above. First, classification and diagnostic language should evolve to reflect both clinical reality and lived experience. Retaining the term “disorder” for the purposes of ensuring access to treatment and statutory support is defensible, but clinicians should be encouraged to use person-centred and identity-affirming language in practice, recognising that many individuals prefer terms such as “neurodivergent” alongside their diagnosis.</w:t>
      </w:r>
    </w:p>
    <w:p w14:paraId="26437DFE" w14:textId="77777777" w:rsidR="00B117FB" w:rsidRDefault="00B14F15">
      <w:pPr>
        <w:spacing w:after="120" w:line="360" w:lineRule="auto"/>
        <w:jc w:val="both"/>
      </w:pPr>
      <w:r>
        <w:t>Second, UK service provision urgently requires investment. The current model, where adults may wait five or more years for assessment, is not consistent with the clinical evidence that early intervention improves outcomes (Asherson et al., 2022). Expanding access to NHS-commissioned specialist services, supporting the Right to Choose pathway in a sustainable way, and ensuring consistent medication supply should all be policy priorities.</w:t>
      </w:r>
    </w:p>
    <w:p w14:paraId="26437DFF" w14:textId="77777777" w:rsidR="00B117FB" w:rsidRDefault="00B14F15">
      <w:pPr>
        <w:spacing w:after="120" w:line="360" w:lineRule="auto"/>
        <w:jc w:val="both"/>
      </w:pPr>
      <w:r>
        <w:t xml:space="preserve">Third, training for general practitioners and non-specialist staff should be strengthened so that referral decisions are informed and equitable, particularly for historically underdiagnosed groups such as women and ethnic minorities. Fourth, future research should continue to examine the long-term functional outcomes of ADHD treatment, the effectiveness of </w:t>
      </w:r>
      <w:r>
        <w:lastRenderedPageBreak/>
        <w:t>psychological interventions compared with medication, and the lived experience of people who identify as neurodivergent but do not meet the formal diagnostic threshold. Finally, policy should treat the neurodiversity debate not as a threat to clinical practice but as an opportunity to make services more inclusive, respectful, and effective.</w:t>
      </w:r>
    </w:p>
    <w:p w14:paraId="26437E00" w14:textId="77777777" w:rsidR="00B117FB" w:rsidRDefault="00B14F15">
      <w:pPr>
        <w:pStyle w:val="Heading1"/>
        <w:spacing w:line="360" w:lineRule="auto"/>
      </w:pPr>
      <w:r>
        <w:t>6. Conclusion</w:t>
      </w:r>
    </w:p>
    <w:p w14:paraId="26437E01" w14:textId="77777777" w:rsidR="00B117FB" w:rsidRDefault="00B14F15">
      <w:pPr>
        <w:spacing w:after="120" w:line="360" w:lineRule="auto"/>
        <w:jc w:val="both"/>
      </w:pPr>
      <w:r>
        <w:t>ADHD represents one of the most clinically important and socially contested conditions within the ICD-11 framework. The reclassification from a childhood behavioural disorder to a neurodevelopmental disorder reflects genuine progress in how the condition is understood, but significant debates remain about terminology, the influence of the neurodiversity movement, and the adequacy of UK service provision. Treatment, particularly pharmacological treatment, has a strong evidence base, yet access remains uneven and the experience of service users is often shaped more by systemic limitations than by the condition itself. A more balanced approach, one that respects both clinical evidence and the voices of those living with ADHD, is likely to produce better outcomes for individuals, families, and services alike.</w:t>
      </w:r>
    </w:p>
    <w:p w14:paraId="26437E02" w14:textId="77777777" w:rsidR="00B117FB" w:rsidRDefault="00B14F15">
      <w:pPr>
        <w:pStyle w:val="Heading1"/>
        <w:spacing w:line="360" w:lineRule="auto"/>
      </w:pPr>
      <w:r>
        <w:t>References</w:t>
      </w:r>
    </w:p>
    <w:p w14:paraId="26437E03" w14:textId="77777777" w:rsidR="00B117FB" w:rsidRDefault="00B14F15">
      <w:pPr>
        <w:spacing w:after="160" w:line="360" w:lineRule="auto"/>
        <w:ind w:left="720" w:hanging="720"/>
      </w:pPr>
      <w:r>
        <w:t xml:space="preserve">American Psychiatric Association (2022) Diagnostic and Statistical Manual of Mental Disorders: DSM-5-TR. 5th </w:t>
      </w:r>
      <w:proofErr w:type="spellStart"/>
      <w:r>
        <w:t>edn</w:t>
      </w:r>
      <w:proofErr w:type="spellEnd"/>
      <w:r>
        <w:t>. Washington, DC: American Psychiatric Association Publishing.</w:t>
      </w:r>
    </w:p>
    <w:p w14:paraId="26437E04" w14:textId="77777777" w:rsidR="00B117FB" w:rsidRDefault="00B14F15">
      <w:pPr>
        <w:spacing w:after="160" w:line="360" w:lineRule="auto"/>
        <w:ind w:left="720" w:hanging="720"/>
      </w:pPr>
      <w:r>
        <w:t xml:space="preserve">Asherson, P., </w:t>
      </w:r>
      <w:proofErr w:type="spellStart"/>
      <w:r>
        <w:t>Buitelaar</w:t>
      </w:r>
      <w:proofErr w:type="spellEnd"/>
      <w:r>
        <w:t>, J., Faraone, S.V. and Rohde, L.A. (2022) ‘Adult attention-deficit hyperactivity disorder: key conceptual issues’, The Lancet Psychiatry, 9(4), pp. 313–326.</w:t>
      </w:r>
    </w:p>
    <w:p w14:paraId="26437E05" w14:textId="77777777" w:rsidR="00B117FB" w:rsidRDefault="00B14F15">
      <w:pPr>
        <w:spacing w:after="160" w:line="360" w:lineRule="auto"/>
        <w:ind w:left="720" w:hanging="720"/>
      </w:pPr>
      <w:r>
        <w:t>Chapman, R. (2021) ‘Neurodiversity and the social ecology of mental functions’, Perspectives on Psychological Science, 16(6), pp. 1360–1372.</w:t>
      </w:r>
    </w:p>
    <w:p w14:paraId="26437E06" w14:textId="77777777" w:rsidR="00B117FB" w:rsidRDefault="00B14F15">
      <w:pPr>
        <w:spacing w:after="160" w:line="360" w:lineRule="auto"/>
        <w:ind w:left="720" w:hanging="720"/>
      </w:pPr>
      <w:r>
        <w:t xml:space="preserve">Cortese, S., Adamo, N., Del Giovane, C., Mohr-Jensen, C., Hayes, A.J., Carucci, S., Atkinson, L.Z., Tessari, L., </w:t>
      </w:r>
      <w:proofErr w:type="spellStart"/>
      <w:r>
        <w:t>Banaschewski</w:t>
      </w:r>
      <w:proofErr w:type="spellEnd"/>
      <w:r>
        <w:t>, T., Coghill, D. and Hollis, C. (2018) ‘Comparative efficacy and tolerability of medications for attention-deficit hyperactivity disorder in children, adolescents, and adults: a systematic review and network meta-analysis’, The Lancet Psychiatry, 5(9), pp. 727–738.</w:t>
      </w:r>
    </w:p>
    <w:p w14:paraId="26437E07" w14:textId="77777777" w:rsidR="00B117FB" w:rsidRDefault="00B14F15">
      <w:pPr>
        <w:spacing w:after="160" w:line="360" w:lineRule="auto"/>
        <w:ind w:left="720" w:hanging="720"/>
      </w:pPr>
      <w:r>
        <w:t xml:space="preserve">Faraone, S.V., </w:t>
      </w:r>
      <w:proofErr w:type="spellStart"/>
      <w:r>
        <w:t>Banaschewski</w:t>
      </w:r>
      <w:proofErr w:type="spellEnd"/>
      <w:r>
        <w:t xml:space="preserve">, T., Coghill, D., Zheng, Y., Biederman, J., </w:t>
      </w:r>
      <w:proofErr w:type="spellStart"/>
      <w:r>
        <w:t>Bellgrove</w:t>
      </w:r>
      <w:proofErr w:type="spellEnd"/>
      <w:r>
        <w:t xml:space="preserve">, M.A., </w:t>
      </w:r>
      <w:proofErr w:type="spellStart"/>
      <w:r>
        <w:t>Newcorn</w:t>
      </w:r>
      <w:proofErr w:type="spellEnd"/>
      <w:r>
        <w:t xml:space="preserve">, J.H., Gignac, M., Al Saud, N.M., Manor, I. and Rohde, L.A. (2021) ‘The World Federation of ADHD International Consensus Statement: 208 evidence-based </w:t>
      </w:r>
      <w:r>
        <w:lastRenderedPageBreak/>
        <w:t xml:space="preserve">conclusions about the disorder’, Neuroscience and </w:t>
      </w:r>
      <w:proofErr w:type="spellStart"/>
      <w:r>
        <w:t>Biobehavioral</w:t>
      </w:r>
      <w:proofErr w:type="spellEnd"/>
      <w:r>
        <w:t xml:space="preserve"> Reviews, 128, pp. 789–818.</w:t>
      </w:r>
    </w:p>
    <w:p w14:paraId="26437E08" w14:textId="77777777" w:rsidR="00B117FB" w:rsidRDefault="00B14F15">
      <w:pPr>
        <w:spacing w:after="160" w:line="360" w:lineRule="auto"/>
        <w:ind w:left="720" w:hanging="720"/>
      </w:pPr>
      <w:proofErr w:type="spellStart"/>
      <w:r>
        <w:t>Ne’eman</w:t>
      </w:r>
      <w:proofErr w:type="spellEnd"/>
      <w:r>
        <w:t>, A. (2021) ‘When disability is defined by behaviour, outcome measures should not promote “passing”’, AMA Journal of Ethics, 23(7), pp. E569–575.</w:t>
      </w:r>
    </w:p>
    <w:p w14:paraId="26437E09" w14:textId="77777777" w:rsidR="00B117FB" w:rsidRDefault="00B14F15">
      <w:pPr>
        <w:spacing w:after="160" w:line="360" w:lineRule="auto"/>
        <w:ind w:left="720" w:hanging="720"/>
      </w:pPr>
      <w:r>
        <w:t xml:space="preserve">NICE (2019) </w:t>
      </w:r>
      <w:proofErr w:type="gramStart"/>
      <w:r>
        <w:t>Attention Deficit Hyperactivity Disorder</w:t>
      </w:r>
      <w:proofErr w:type="gramEnd"/>
      <w:r>
        <w:t>: Diagnosis and Management (NG87). London: National Institute for Health and Care Excellence.</w:t>
      </w:r>
    </w:p>
    <w:p w14:paraId="26437E0A" w14:textId="77777777" w:rsidR="00B117FB" w:rsidRDefault="00B14F15">
      <w:pPr>
        <w:spacing w:after="160" w:line="360" w:lineRule="auto"/>
        <w:ind w:left="720" w:hanging="720"/>
      </w:pPr>
      <w:r>
        <w:t xml:space="preserve">Price, A., Ford, T., Janssens, A., Newlove-Delgado, T. and Young, S. (2023) ‘Waiting lists for adult ADHD assessment in the UK: a growing crisis’, </w:t>
      </w:r>
      <w:proofErr w:type="spellStart"/>
      <w:r>
        <w:t>BJPsych</w:t>
      </w:r>
      <w:proofErr w:type="spellEnd"/>
      <w:r>
        <w:t xml:space="preserve"> Bulletin, 47(4), pp. 201–206.</w:t>
      </w:r>
    </w:p>
    <w:p w14:paraId="26437E0B" w14:textId="77777777" w:rsidR="00B117FB" w:rsidRDefault="00B14F15">
      <w:pPr>
        <w:spacing w:after="160" w:line="360" w:lineRule="auto"/>
        <w:ind w:left="720" w:hanging="720"/>
      </w:pPr>
      <w:r>
        <w:t xml:space="preserve">Reed, G.M., First, M.B., Kogan, C.S., Hyman, S.E., Gureje, O., Gaebel, W., Maj, M., Stein, D.J., </w:t>
      </w:r>
      <w:proofErr w:type="spellStart"/>
      <w:r>
        <w:t>Maercker</w:t>
      </w:r>
      <w:proofErr w:type="spellEnd"/>
      <w:r>
        <w:t>, A., Tyrer, P. and Claudino, A. (2019) ‘Innovations and changes in the ICD-11 classification of mental, behavioural and neurodevelopmental disorders’, World Psychiatry, 18(1), pp. 3–19.</w:t>
      </w:r>
    </w:p>
    <w:p w14:paraId="26437E0C" w14:textId="77777777" w:rsidR="00B117FB" w:rsidRDefault="00B14F15">
      <w:pPr>
        <w:spacing w:after="160" w:line="360" w:lineRule="auto"/>
        <w:ind w:left="720" w:hanging="720"/>
      </w:pPr>
      <w:r>
        <w:t xml:space="preserve">Singh, I. (2020) ‘Being a good parent with a child with ADHD: navigating diagnosis and treatment decisions’, </w:t>
      </w:r>
      <w:proofErr w:type="spellStart"/>
      <w:r>
        <w:t>Biosocieties</w:t>
      </w:r>
      <w:proofErr w:type="spellEnd"/>
      <w:r>
        <w:t>, 15(4), pp. 604–624.</w:t>
      </w:r>
    </w:p>
    <w:p w14:paraId="26437E0D" w14:textId="77777777" w:rsidR="00B117FB" w:rsidRDefault="00B14F15">
      <w:pPr>
        <w:spacing w:after="160" w:line="360" w:lineRule="auto"/>
        <w:ind w:left="720" w:hanging="720"/>
      </w:pPr>
      <w:r>
        <w:t>Thapar, A. and Cooper, M. (2016) ‘</w:t>
      </w:r>
      <w:proofErr w:type="gramStart"/>
      <w:r>
        <w:t>Attention deficit hyperactivity disorder</w:t>
      </w:r>
      <w:proofErr w:type="gramEnd"/>
      <w:r>
        <w:t>’, The Lancet, 387(10024), pp. 1240–1250.</w:t>
      </w:r>
    </w:p>
    <w:p w14:paraId="26437E0E" w14:textId="77777777" w:rsidR="00B117FB" w:rsidRDefault="00B14F15">
      <w:pPr>
        <w:spacing w:after="160" w:line="360" w:lineRule="auto"/>
        <w:ind w:left="720" w:hanging="720"/>
      </w:pPr>
      <w:proofErr w:type="spellStart"/>
      <w:r>
        <w:t>Timimi</w:t>
      </w:r>
      <w:proofErr w:type="spellEnd"/>
      <w:r>
        <w:t>, S. (2021) ‘Insane Medicine: How the Mental Health Industry Creates Damaging Treatment Traps and How You Can Escape Them’. Self-published.</w:t>
      </w:r>
    </w:p>
    <w:p w14:paraId="26437E0F" w14:textId="77777777" w:rsidR="00B117FB" w:rsidRDefault="00B14F15">
      <w:pPr>
        <w:spacing w:after="160" w:line="360" w:lineRule="auto"/>
        <w:ind w:left="720" w:hanging="720"/>
      </w:pPr>
      <w:r>
        <w:t>World Health Organization (2022) International Classification of Diseases, 11th Revision (ICD-11). Geneva: WHO.</w:t>
      </w:r>
    </w:p>
    <w:p w14:paraId="26437E10" w14:textId="77777777" w:rsidR="00B117FB" w:rsidRDefault="00B14F15">
      <w:pPr>
        <w:spacing w:after="160" w:line="360" w:lineRule="auto"/>
        <w:ind w:left="720" w:hanging="720"/>
      </w:pPr>
      <w:r>
        <w:t>Young, S., Adamo, N., Asgeirsdottir, B.B., Branney, P., Beckett, M., Colley, W., Cubbin, S., Deeley, Q., Farrag, E., Gudjonsson, G. and Hill, P. (2020) ‘Females with ADHD: an expert consensus statement taking a lifespan approach providing guidance for the identification and treatment of attention-deficit/hyperactivity disorder in girls and women’, BMC Psychiatry, 20(1), p. 404.</w:t>
      </w:r>
    </w:p>
    <w:sectPr w:rsidR="00B117FB">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6ECC1" w14:textId="77777777" w:rsidR="003467AE" w:rsidRDefault="003467AE">
      <w:r>
        <w:separator/>
      </w:r>
    </w:p>
  </w:endnote>
  <w:endnote w:type="continuationSeparator" w:id="0">
    <w:p w14:paraId="20A8427A" w14:textId="77777777" w:rsidR="003467AE" w:rsidRDefault="003467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437E12" w14:textId="1E003FCA" w:rsidR="00B117FB" w:rsidRDefault="00B14F15">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14790C">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0B5361" w14:textId="77777777" w:rsidR="003467AE" w:rsidRDefault="003467AE">
      <w:r>
        <w:separator/>
      </w:r>
    </w:p>
  </w:footnote>
  <w:footnote w:type="continuationSeparator" w:id="0">
    <w:p w14:paraId="5EEB9DEE" w14:textId="77777777" w:rsidR="003467AE" w:rsidRDefault="003467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437E11" w14:textId="77777777" w:rsidR="00B117FB" w:rsidRDefault="00B14F15">
    <w:pPr>
      <w:jc w:val="right"/>
    </w:pPr>
    <w:r>
      <w:rPr>
        <w:color w:val="888888"/>
        <w:sz w:val="18"/>
        <w:szCs w:val="18"/>
      </w:rPr>
      <w:t>BMHP6029 – ADHD Report – Catalin Anca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B2DDB"/>
    <w:multiLevelType w:val="hybridMultilevel"/>
    <w:tmpl w:val="9DF44048"/>
    <w:lvl w:ilvl="0" w:tplc="9EE08574">
      <w:start w:val="1"/>
      <w:numFmt w:val="bullet"/>
      <w:lvlText w:val="●"/>
      <w:lvlJc w:val="left"/>
      <w:pPr>
        <w:ind w:left="720" w:hanging="360"/>
      </w:pPr>
    </w:lvl>
    <w:lvl w:ilvl="1" w:tplc="2ACA1058">
      <w:start w:val="1"/>
      <w:numFmt w:val="bullet"/>
      <w:lvlText w:val="○"/>
      <w:lvlJc w:val="left"/>
      <w:pPr>
        <w:ind w:left="1440" w:hanging="360"/>
      </w:pPr>
    </w:lvl>
    <w:lvl w:ilvl="2" w:tplc="4170C7F4">
      <w:start w:val="1"/>
      <w:numFmt w:val="bullet"/>
      <w:lvlText w:val="■"/>
      <w:lvlJc w:val="left"/>
      <w:pPr>
        <w:ind w:left="2160" w:hanging="360"/>
      </w:pPr>
    </w:lvl>
    <w:lvl w:ilvl="3" w:tplc="885A55B8">
      <w:start w:val="1"/>
      <w:numFmt w:val="bullet"/>
      <w:lvlText w:val="●"/>
      <w:lvlJc w:val="left"/>
      <w:pPr>
        <w:ind w:left="2880" w:hanging="360"/>
      </w:pPr>
    </w:lvl>
    <w:lvl w:ilvl="4" w:tplc="080883FE">
      <w:start w:val="1"/>
      <w:numFmt w:val="bullet"/>
      <w:lvlText w:val="○"/>
      <w:lvlJc w:val="left"/>
      <w:pPr>
        <w:ind w:left="3600" w:hanging="360"/>
      </w:pPr>
    </w:lvl>
    <w:lvl w:ilvl="5" w:tplc="2E42E8D8">
      <w:start w:val="1"/>
      <w:numFmt w:val="bullet"/>
      <w:lvlText w:val="■"/>
      <w:lvlJc w:val="left"/>
      <w:pPr>
        <w:ind w:left="4320" w:hanging="360"/>
      </w:pPr>
    </w:lvl>
    <w:lvl w:ilvl="6" w:tplc="424E3088">
      <w:start w:val="1"/>
      <w:numFmt w:val="bullet"/>
      <w:lvlText w:val="●"/>
      <w:lvlJc w:val="left"/>
      <w:pPr>
        <w:ind w:left="5040" w:hanging="360"/>
      </w:pPr>
    </w:lvl>
    <w:lvl w:ilvl="7" w:tplc="5FC2EFE8">
      <w:start w:val="1"/>
      <w:numFmt w:val="bullet"/>
      <w:lvlText w:val="●"/>
      <w:lvlJc w:val="left"/>
      <w:pPr>
        <w:ind w:left="5760" w:hanging="360"/>
      </w:pPr>
    </w:lvl>
    <w:lvl w:ilvl="8" w:tplc="333869D8">
      <w:start w:val="1"/>
      <w:numFmt w:val="bullet"/>
      <w:lvlText w:val="●"/>
      <w:lvlJc w:val="left"/>
      <w:pPr>
        <w:ind w:left="6480" w:hanging="360"/>
      </w:pPr>
    </w:lvl>
  </w:abstractNum>
  <w:num w:numId="1" w16cid:durableId="164877956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7FB"/>
    <w:rsid w:val="0014790C"/>
    <w:rsid w:val="001F759D"/>
    <w:rsid w:val="002E1B4A"/>
    <w:rsid w:val="003467AE"/>
    <w:rsid w:val="00666155"/>
    <w:rsid w:val="008346CD"/>
    <w:rsid w:val="00A1324E"/>
    <w:rsid w:val="00B117FB"/>
    <w:rsid w:val="00B14F15"/>
    <w:rsid w:val="00D71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37DBC"/>
  <w15:docId w15:val="{722E98E8-7480-43ED-A0C7-66828574F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60"/>
      <w:outlineLvl w:val="0"/>
    </w:pPr>
    <w:rPr>
      <w:b/>
      <w:bCs/>
      <w:sz w:val="28"/>
      <w:szCs w:val="28"/>
    </w:rPr>
  </w:style>
  <w:style w:type="paragraph" w:styleId="Heading2">
    <w:name w:val="heading 2"/>
    <w:uiPriority w:val="9"/>
    <w:unhideWhenUsed/>
    <w:qFormat/>
    <w:pPr>
      <w:spacing w:before="240" w:after="120"/>
      <w:outlineLvl w:val="1"/>
    </w:pPr>
    <w:rPr>
      <w:b/>
      <w:bCs/>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2718</Words>
  <Characters>15494</Characters>
  <Application>Microsoft Office Word</Application>
  <DocSecurity>0</DocSecurity>
  <Lines>129</Lines>
  <Paragraphs>36</Paragraphs>
  <ScaleCrop>false</ScaleCrop>
  <Company/>
  <LinksUpToDate>false</LinksUpToDate>
  <CharactersWithSpaces>18176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Catalin Anca</cp:lastModifiedBy>
  <cp:revision>4</cp:revision>
  <dcterms:created xsi:type="dcterms:W3CDTF">2026-04-15T11:56:00Z</dcterms:created>
  <dcterms:modified xsi:type="dcterms:W3CDTF">2026-04-21T05:14:00Z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f831c206-a3ba-4eb8-99c1-8b01c4056776</vt:lpwstr>
  </property>
</Properties>
</file>