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u w:val="single"/>
          <w:lang w:val="en-US"/>
        </w:rPr>
      </w:pPr>
      <w:r>
        <w:rPr>
          <w:u w:val="single"/>
          <w:lang w:val="en-US"/>
        </w:rPr>
        <w:t>Discuss the representation of disability (physical or mental) in either Greek or Roman literature and art.</w:t>
      </w:r>
    </w:p>
    <w:p>
      <w:pPr>
        <w:jc w:val="left"/>
        <w:rPr>
          <w:rFonts w:ascii="Times" w:hAnsi="Times" w:cs="Times"/>
          <w:sz w:val="21"/>
          <w:szCs w:val="21"/>
          <w:lang w:val="en-GB"/>
        </w:rPr>
      </w:pPr>
    </w:p>
    <w:p>
      <w:pPr>
        <w:jc w:val="left"/>
        <w:rPr>
          <w:rFonts w:ascii="Times" w:hAnsi="Times" w:cs="Times"/>
          <w:sz w:val="21"/>
          <w:szCs w:val="21"/>
          <w:lang w:val="en-GB"/>
        </w:rPr>
      </w:pPr>
      <w:bookmarkStart w:id="0" w:name="_GoBack"/>
      <w:r>
        <w:rPr>
          <w:rFonts w:ascii="Times" w:hAnsi="Times" w:cs="Times"/>
          <w:sz w:val="21"/>
          <w:szCs w:val="21"/>
          <w:lang w:val="en-GB"/>
        </w:rPr>
        <w:t>As it is in the contemporary world, physical and mental disabilities were ever present in the ancient world. Like today, everyone was effected by these disabilities, and no one was exempt from them, not even the ruling classes. One of the most prominent cases of this was the Roman Emperor Claudius, who was said to have been club-footed, have a stutter and maybe even tourette syndrome</w:t>
      </w:r>
      <w:r>
        <w:rPr>
          <w:rStyle w:val="9"/>
          <w:rFonts w:ascii="Times" w:hAnsi="Times" w:cs="Times"/>
          <w:sz w:val="21"/>
          <w:szCs w:val="21"/>
          <w:lang w:val="en-GB"/>
        </w:rPr>
        <w:footnoteReference w:id="0"/>
      </w:r>
      <w:r>
        <w:rPr>
          <w:rFonts w:ascii="Times" w:hAnsi="Times" w:cs="Times"/>
          <w:sz w:val="21"/>
          <w:szCs w:val="21"/>
          <w:lang w:val="en-GB"/>
        </w:rPr>
        <w:t xml:space="preserve">. It can be difficult to determine where the ancient peoples had mental disabilities as we know them due to the difficulties in diagnosing them, but this could also mean the ancient people had mental illness that have died out that we will never know of. Where some disabilities were hidden, others were flaunted, such as the Greek God Hephaestus, who is depicted with his feet pointing the wrong way. However, did people in the ancient world, attempt to keep their disabilities, mental or physical hidden from the public view. </w:t>
      </w:r>
    </w:p>
    <w:p>
      <w:pPr>
        <w:jc w:val="left"/>
        <w:rPr>
          <w:rFonts w:ascii="Times" w:hAnsi="Times" w:cs="Times"/>
          <w:sz w:val="21"/>
          <w:szCs w:val="21"/>
          <w:lang w:val="en-GB"/>
        </w:rPr>
      </w:pPr>
    </w:p>
    <w:p>
      <w:pPr>
        <w:jc w:val="left"/>
        <w:rPr>
          <w:rFonts w:ascii="Times" w:hAnsi="Times" w:cs="Times"/>
          <w:sz w:val="21"/>
          <w:szCs w:val="21"/>
          <w:lang w:val="en-GB"/>
        </w:rPr>
      </w:pPr>
      <w:r>
        <w:rPr>
          <w:rFonts w:ascii="Times" w:hAnsi="Times" w:cs="Times"/>
          <w:sz w:val="21"/>
          <w:szCs w:val="21"/>
          <w:lang w:val="en-GB"/>
        </w:rPr>
        <w:t>One of the most infamous Roman politician and general of the late Republic, Gaius Julius Caesar was said to have been suffering from a form of mental illness. Modern scholarship believes that Julius Caesar may have been suffering from a form of epilepsy. Bruschi, a medial scholar believes that Caesar’s epilepsy may have come later in life following the effects of another illness which resulted in its cause, rather than being born with it.</w:t>
      </w:r>
    </w:p>
    <w:p>
      <w:pPr>
        <w:jc w:val="left"/>
        <w:rPr>
          <w:rFonts w:ascii="Times" w:hAnsi="Times" w:cs="Times"/>
          <w:sz w:val="21"/>
          <w:szCs w:val="21"/>
          <w:lang w:val="en-GB"/>
        </w:rPr>
      </w:pPr>
    </w:p>
    <w:p>
      <w:pPr>
        <w:jc w:val="center"/>
        <w:rPr>
          <w:rFonts w:hint="default"/>
          <w:sz w:val="21"/>
          <w:szCs w:val="21"/>
          <w:lang w:val="en-GB"/>
        </w:rPr>
      </w:pPr>
      <w:r>
        <w:rPr>
          <w:rFonts w:hint="default" w:ascii="Times" w:hAnsi="Times" w:cs="Times"/>
          <w:sz w:val="21"/>
          <w:szCs w:val="21"/>
          <w:lang w:val="en-GB"/>
        </w:rPr>
        <w:t>“</w:t>
      </w:r>
      <w:r>
        <w:rPr>
          <w:sz w:val="21"/>
          <w:szCs w:val="21"/>
        </w:rPr>
        <w:t>Thus, the epilepsy of Caesar appeared late in his life, suggesting an acquired rather than a congenital nature</w:t>
      </w:r>
      <w:r>
        <w:rPr>
          <w:rStyle w:val="9"/>
          <w:sz w:val="21"/>
          <w:szCs w:val="21"/>
        </w:rPr>
        <w:footnoteReference w:id="1"/>
      </w:r>
      <w:r>
        <w:rPr>
          <w:rFonts w:hint="default"/>
          <w:sz w:val="21"/>
          <w:szCs w:val="21"/>
          <w:lang w:val="en-GB"/>
        </w:rPr>
        <w:t>”</w:t>
      </w:r>
    </w:p>
    <w:p>
      <w:pPr>
        <w:jc w:val="center"/>
        <w:rPr>
          <w:rFonts w:hint="default"/>
          <w:sz w:val="21"/>
          <w:szCs w:val="21"/>
          <w:lang w:val="en-GB"/>
        </w:rPr>
      </w:pPr>
    </w:p>
    <w:p>
      <w:pPr>
        <w:jc w:val="left"/>
        <w:rPr>
          <w:rFonts w:hint="default"/>
          <w:sz w:val="21"/>
          <w:szCs w:val="21"/>
          <w:lang w:val="en-GB"/>
        </w:rPr>
      </w:pPr>
      <w:r>
        <w:rPr>
          <w:rFonts w:hint="default"/>
          <w:sz w:val="21"/>
          <w:szCs w:val="21"/>
          <w:lang w:val="en-GB"/>
        </w:rPr>
        <w:t>Montemurro, agrees with Bruschi’s suggestion that Caesar did not always have epilepsy, but in fact developed epilepsy later in life following another illness that led the way to it’s development. However, Montemurro does try to explain what may have been the cause, it is speculation at best, without a true diagnosis, we cannot be sure what caused it.</w:t>
      </w:r>
    </w:p>
    <w:p>
      <w:pPr>
        <w:jc w:val="left"/>
        <w:rPr>
          <w:rFonts w:hint="default"/>
          <w:sz w:val="21"/>
          <w:szCs w:val="21"/>
          <w:lang w:val="en-GB"/>
        </w:rPr>
      </w:pPr>
    </w:p>
    <w:p>
      <w:pPr>
        <w:jc w:val="center"/>
        <w:rPr>
          <w:rFonts w:hint="default"/>
          <w:sz w:val="21"/>
          <w:szCs w:val="21"/>
          <w:lang w:val="en-GB"/>
        </w:rPr>
      </w:pPr>
      <w:r>
        <w:rPr>
          <w:rFonts w:hint="default"/>
          <w:sz w:val="21"/>
          <w:szCs w:val="21"/>
          <w:lang w:val="en-GB"/>
        </w:rPr>
        <w:t>“</w:t>
      </w:r>
      <w:r>
        <w:rPr>
          <w:sz w:val="21"/>
          <w:szCs w:val="21"/>
        </w:rPr>
        <w:t xml:space="preserve">Some scholars believe that he was plagued by malaria, whereas others believed that his seizures were caused by </w:t>
      </w:r>
      <w:r>
        <w:rPr>
          <w:sz w:val="21"/>
          <w:szCs w:val="21"/>
          <w:lang w:val="en-GB"/>
        </w:rPr>
        <w:t>hyperglycaemia</w:t>
      </w:r>
      <w:r>
        <w:rPr>
          <w:rStyle w:val="9"/>
          <w:rFonts w:hint="default"/>
          <w:sz w:val="21"/>
          <w:szCs w:val="21"/>
          <w:lang w:val="en-GB"/>
        </w:rPr>
        <w:footnoteReference w:id="2"/>
      </w:r>
      <w:r>
        <w:rPr>
          <w:rFonts w:hint="default"/>
          <w:sz w:val="21"/>
          <w:szCs w:val="21"/>
          <w:lang w:val="en-GB"/>
        </w:rPr>
        <w:t xml:space="preserve">” </w:t>
      </w:r>
    </w:p>
    <w:p>
      <w:pPr>
        <w:jc w:val="left"/>
        <w:rPr>
          <w:rFonts w:hint="default"/>
          <w:sz w:val="21"/>
          <w:szCs w:val="21"/>
          <w:lang w:val="en-GB"/>
        </w:rPr>
      </w:pPr>
    </w:p>
    <w:p>
      <w:pPr>
        <w:jc w:val="left"/>
        <w:rPr>
          <w:rFonts w:hint="default"/>
          <w:sz w:val="21"/>
          <w:szCs w:val="21"/>
          <w:lang w:val="en-GB"/>
        </w:rPr>
      </w:pPr>
      <w:r>
        <w:rPr>
          <w:rFonts w:hint="default"/>
          <w:sz w:val="21"/>
          <w:szCs w:val="21"/>
          <w:lang w:val="en-GB"/>
        </w:rPr>
        <w:t>Hodder’s work regarding the diagnoses of Caesar’s condition agrees with the conclusions that both Bruschi and Montemurro reach.</w:t>
      </w:r>
      <w:r>
        <w:rPr>
          <w:rStyle w:val="9"/>
          <w:rFonts w:hint="default"/>
          <w:sz w:val="21"/>
          <w:szCs w:val="21"/>
          <w:lang w:val="en-GB"/>
        </w:rPr>
        <w:footnoteReference w:id="3"/>
      </w:r>
      <w:r>
        <w:rPr>
          <w:rFonts w:hint="default"/>
          <w:sz w:val="21"/>
          <w:szCs w:val="21"/>
          <w:lang w:val="en-GB"/>
        </w:rPr>
        <w:t xml:space="preserve"> Due to the amount of medical processionals and scholars agreeing on the possible cause of his epilepsy, it is more than likely he did develop it earlier. The Greek author and biographer Plutarch, wrote about Caesar’s fits: </w:t>
      </w:r>
    </w:p>
    <w:p>
      <w:pPr>
        <w:jc w:val="left"/>
        <w:rPr>
          <w:rFonts w:hint="default"/>
          <w:sz w:val="21"/>
          <w:szCs w:val="21"/>
          <w:lang w:val="en-GB"/>
        </w:rPr>
      </w:pPr>
    </w:p>
    <w:p>
      <w:pPr>
        <w:jc w:val="center"/>
        <w:rPr>
          <w:rFonts w:hint="default"/>
          <w:sz w:val="21"/>
          <w:szCs w:val="21"/>
          <w:lang w:val="en-GB"/>
        </w:rPr>
      </w:pPr>
      <w:r>
        <w:rPr>
          <w:rFonts w:hint="default"/>
          <w:sz w:val="21"/>
          <w:szCs w:val="21"/>
          <w:lang w:val="en-GB"/>
        </w:rPr>
        <w:t>“W</w:t>
      </w:r>
      <w:r>
        <w:rPr>
          <w:sz w:val="21"/>
          <w:szCs w:val="21"/>
        </w:rPr>
        <w:t>as subject to epileptic fits, a trouble which first attacked him, we are told, in Corduba.</w:t>
      </w:r>
      <w:r>
        <w:rPr>
          <w:rStyle w:val="9"/>
          <w:rFonts w:ascii="Georgia" w:hAnsi="Georgia" w:eastAsia="Georgia" w:cs="Georgia"/>
          <w:i w:val="0"/>
          <w:caps w:val="0"/>
          <w:color w:val="000000"/>
          <w:spacing w:val="0"/>
          <w:sz w:val="21"/>
          <w:szCs w:val="21"/>
        </w:rPr>
        <w:footnoteReference w:id="4"/>
      </w:r>
      <w:r>
        <w:rPr>
          <w:rFonts w:hint="default"/>
          <w:sz w:val="21"/>
          <w:szCs w:val="21"/>
          <w:lang w:val="en-GB"/>
        </w:rPr>
        <w:t>”</w:t>
      </w:r>
    </w:p>
    <w:p>
      <w:pPr>
        <w:jc w:val="center"/>
        <w:rPr>
          <w:rFonts w:hint="default"/>
          <w:sz w:val="21"/>
          <w:szCs w:val="21"/>
          <w:lang w:val="en-GB"/>
        </w:rPr>
      </w:pPr>
    </w:p>
    <w:p>
      <w:pPr>
        <w:jc w:val="left"/>
        <w:rPr>
          <w:rFonts w:hint="default"/>
          <w:sz w:val="21"/>
          <w:szCs w:val="21"/>
          <w:lang w:val="en-GB"/>
        </w:rPr>
      </w:pPr>
      <w:r>
        <w:rPr>
          <w:rFonts w:hint="default"/>
          <w:sz w:val="21"/>
          <w:szCs w:val="21"/>
          <w:lang w:val="en-GB"/>
        </w:rPr>
        <w:t>Due to a lack of contemporary evidence of Caesar’s epileptic seizures, we have to rely on later authors and modern scholarship to determine the effects of them. Lovano, working with Plutarch claims Caesar tended to leave his affairs after having suffering from a seizure</w:t>
      </w:r>
      <w:r>
        <w:rPr>
          <w:rStyle w:val="9"/>
          <w:rFonts w:hint="default"/>
          <w:sz w:val="21"/>
          <w:szCs w:val="21"/>
          <w:lang w:val="en-GB"/>
        </w:rPr>
        <w:footnoteReference w:id="5"/>
      </w:r>
      <w:r>
        <w:rPr>
          <w:rFonts w:hint="default"/>
          <w:sz w:val="21"/>
          <w:szCs w:val="21"/>
          <w:lang w:val="en-GB"/>
        </w:rPr>
        <w:t>. As good as it is to have Plutarch as a source, he is know for over dramatising events to help fit his own narrative</w:t>
      </w:r>
      <w:r>
        <w:rPr>
          <w:rStyle w:val="9"/>
          <w:rFonts w:hint="default"/>
          <w:sz w:val="21"/>
          <w:szCs w:val="21"/>
          <w:lang w:val="en-GB"/>
        </w:rPr>
        <w:footnoteReference w:id="6"/>
      </w:r>
      <w:r>
        <w:rPr>
          <w:rFonts w:hint="default"/>
          <w:sz w:val="21"/>
          <w:szCs w:val="21"/>
          <w:lang w:val="en-GB"/>
        </w:rPr>
        <w:t>. However, Plutarch is still our best source for the time, despite him not being contemporary for the life of Caesar. From what we know, it does seem to suggest that Julius Caesar did attempt to keep his mental illness out of the public eye the best that he could.</w:t>
      </w:r>
    </w:p>
    <w:p>
      <w:pPr>
        <w:jc w:val="left"/>
        <w:rPr>
          <w:rFonts w:hint="default"/>
          <w:sz w:val="21"/>
          <w:szCs w:val="21"/>
          <w:lang w:val="en-GB"/>
        </w:rPr>
      </w:pPr>
    </w:p>
    <w:p>
      <w:pPr>
        <w:jc w:val="left"/>
        <w:rPr>
          <w:rFonts w:hint="default"/>
          <w:sz w:val="21"/>
          <w:szCs w:val="21"/>
          <w:lang w:val="en-GB"/>
        </w:rPr>
      </w:pPr>
      <w:r>
        <w:rPr>
          <w:rFonts w:hint="default"/>
          <w:sz w:val="21"/>
          <w:szCs w:val="21"/>
          <w:lang w:val="en-GB"/>
        </w:rPr>
        <w:t>Another case of a high profile Roman who may have suffered from a form of mental illness was the fourth ruler of the Roman Empire, the emperor Claudius. Claudius is said to have had a multitude of disabilities effecting him, including both mental and physical ones. Potter, a Roman scholar, writes about Claudius’s disabilities. Potter claims that Claudius suffered from, a club foot amongst other ailments</w:t>
      </w:r>
      <w:r>
        <w:rPr>
          <w:rStyle w:val="9"/>
          <w:rFonts w:hint="default"/>
          <w:sz w:val="21"/>
          <w:szCs w:val="21"/>
          <w:lang w:val="en-GB"/>
        </w:rPr>
        <w:footnoteReference w:id="7"/>
      </w:r>
    </w:p>
    <w:p>
      <w:pPr>
        <w:jc w:val="center"/>
        <w:rPr>
          <w:rFonts w:hint="default"/>
          <w:sz w:val="21"/>
          <w:szCs w:val="21"/>
          <w:lang w:val="en-GB"/>
        </w:rPr>
      </w:pPr>
    </w:p>
    <w:p>
      <w:pPr>
        <w:jc w:val="center"/>
        <w:rPr>
          <w:rFonts w:hint="default"/>
          <w:sz w:val="21"/>
          <w:szCs w:val="21"/>
          <w:lang w:val="en-GB"/>
        </w:rPr>
      </w:pPr>
      <w:r>
        <w:rPr>
          <w:rFonts w:hint="default"/>
          <w:sz w:val="21"/>
          <w:szCs w:val="21"/>
          <w:lang w:val="en-GB"/>
        </w:rPr>
        <w:t>“Claudius, who had a club foot and whom Augustus did not want to be seen in public.</w:t>
      </w:r>
      <w:r>
        <w:rPr>
          <w:rStyle w:val="9"/>
          <w:rFonts w:hint="default"/>
          <w:sz w:val="21"/>
          <w:szCs w:val="21"/>
          <w:lang w:val="en-GB"/>
        </w:rPr>
        <w:footnoteReference w:id="8"/>
      </w:r>
      <w:r>
        <w:rPr>
          <w:rFonts w:hint="default"/>
          <w:sz w:val="21"/>
          <w:szCs w:val="21"/>
          <w:lang w:val="en-GB"/>
        </w:rPr>
        <w:t>”</w:t>
      </w:r>
    </w:p>
    <w:p>
      <w:pPr>
        <w:jc w:val="center"/>
        <w:rPr>
          <w:rFonts w:hint="default"/>
          <w:sz w:val="21"/>
          <w:szCs w:val="21"/>
          <w:lang w:val="en-GB"/>
        </w:rPr>
      </w:pPr>
    </w:p>
    <w:p>
      <w:pPr>
        <w:jc w:val="both"/>
        <w:rPr>
          <w:rFonts w:hint="default"/>
          <w:sz w:val="21"/>
          <w:szCs w:val="21"/>
          <w:lang w:val="en-GB"/>
        </w:rPr>
      </w:pPr>
      <w:r>
        <w:rPr>
          <w:rFonts w:hint="default"/>
          <w:sz w:val="21"/>
          <w:szCs w:val="21"/>
          <w:lang w:val="en-GB"/>
        </w:rPr>
        <w:t>Potter doesn't only just talk about Claudius’s physical disabilities, he also talks about his mental disabilities. Potter speculates that Claudius may have also suffered from a form of cerebral palsy</w:t>
      </w:r>
      <w:r>
        <w:rPr>
          <w:rStyle w:val="9"/>
          <w:rFonts w:hint="default"/>
          <w:sz w:val="21"/>
          <w:szCs w:val="21"/>
          <w:lang w:val="en-GB"/>
        </w:rPr>
        <w:footnoteReference w:id="9"/>
      </w:r>
      <w:r>
        <w:rPr>
          <w:rFonts w:hint="default"/>
          <w:sz w:val="21"/>
          <w:szCs w:val="21"/>
          <w:lang w:val="en-GB"/>
        </w:rPr>
        <w:t>. “and (possibly) suffered cerebral palsy</w:t>
      </w:r>
      <w:r>
        <w:rPr>
          <w:rStyle w:val="9"/>
          <w:rFonts w:hint="default"/>
          <w:sz w:val="21"/>
          <w:szCs w:val="21"/>
          <w:lang w:val="en-GB"/>
        </w:rPr>
        <w:footnoteReference w:id="10"/>
      </w:r>
      <w:r>
        <w:rPr>
          <w:rFonts w:hint="default"/>
          <w:sz w:val="21"/>
          <w:szCs w:val="21"/>
          <w:lang w:val="en-GB"/>
        </w:rPr>
        <w:t>” Due to the nature of cerebral palsy Claudius would have been born with the cerebral palsy that later effected him life, instead of developing it like Julius Caesar did with his epilepsy</w:t>
      </w:r>
      <w:r>
        <w:rPr>
          <w:rStyle w:val="9"/>
          <w:rFonts w:hint="default"/>
          <w:sz w:val="21"/>
          <w:szCs w:val="21"/>
          <w:lang w:val="en-GB"/>
        </w:rPr>
        <w:footnoteReference w:id="11"/>
      </w:r>
    </w:p>
    <w:p>
      <w:pPr>
        <w:jc w:val="both"/>
        <w:rPr>
          <w:rFonts w:hint="default"/>
          <w:sz w:val="21"/>
          <w:szCs w:val="21"/>
          <w:lang w:val="en-GB"/>
        </w:rPr>
      </w:pPr>
    </w:p>
    <w:p>
      <w:pPr>
        <w:jc w:val="center"/>
        <w:rPr>
          <w:rFonts w:hint="default"/>
          <w:sz w:val="21"/>
          <w:szCs w:val="21"/>
          <w:lang w:val="en-GB"/>
        </w:rPr>
      </w:pPr>
      <w:r>
        <w:rPr>
          <w:rFonts w:hint="default"/>
          <w:sz w:val="21"/>
          <w:szCs w:val="21"/>
          <w:lang w:val="en-GB"/>
        </w:rPr>
        <w:t>“</w:t>
      </w:r>
      <w:r>
        <w:rPr>
          <w:sz w:val="21"/>
          <w:szCs w:val="21"/>
        </w:rPr>
        <w:t>But when he walked, his weak knees gave way under him and he had many disagreeable traits</w:t>
      </w:r>
      <w:r>
        <w:rPr>
          <w:rStyle w:val="9"/>
          <w:sz w:val="21"/>
          <w:szCs w:val="21"/>
        </w:rPr>
        <w:footnoteReference w:id="12"/>
      </w:r>
      <w:r>
        <w:rPr>
          <w:rFonts w:hint="default"/>
          <w:sz w:val="21"/>
          <w:szCs w:val="21"/>
          <w:lang w:val="en-GB"/>
        </w:rPr>
        <w:t>”</w:t>
      </w:r>
    </w:p>
    <w:p>
      <w:pPr>
        <w:jc w:val="center"/>
        <w:rPr>
          <w:rFonts w:hint="default"/>
          <w:sz w:val="21"/>
          <w:szCs w:val="21"/>
          <w:lang w:val="en-GB"/>
        </w:rPr>
      </w:pPr>
    </w:p>
    <w:p>
      <w:pPr>
        <w:jc w:val="left"/>
        <w:rPr>
          <w:rFonts w:hint="default"/>
          <w:sz w:val="21"/>
          <w:szCs w:val="21"/>
          <w:lang w:val="en-GB"/>
        </w:rPr>
      </w:pPr>
      <w:r>
        <w:rPr>
          <w:rFonts w:hint="default"/>
          <w:sz w:val="21"/>
          <w:szCs w:val="21"/>
          <w:lang w:val="en-GB"/>
        </w:rPr>
        <w:t xml:space="preserve">Suetonius writes about Claudius in his work </w:t>
      </w:r>
      <w:r>
        <w:rPr>
          <w:rFonts w:hint="default"/>
          <w:i/>
          <w:iCs/>
          <w:sz w:val="21"/>
          <w:szCs w:val="21"/>
          <w:lang w:val="en-GB"/>
        </w:rPr>
        <w:t>The lives of the twelve Caesars</w:t>
      </w:r>
      <w:r>
        <w:rPr>
          <w:rStyle w:val="9"/>
          <w:rFonts w:hint="default"/>
          <w:i/>
          <w:iCs/>
          <w:sz w:val="21"/>
          <w:szCs w:val="21"/>
          <w:lang w:val="en-GB"/>
        </w:rPr>
        <w:footnoteReference w:id="13"/>
      </w:r>
      <w:r>
        <w:rPr>
          <w:rFonts w:hint="default"/>
          <w:i w:val="0"/>
          <w:iCs w:val="0"/>
          <w:sz w:val="21"/>
          <w:szCs w:val="21"/>
          <w:lang w:val="en-GB"/>
        </w:rPr>
        <w:t xml:space="preserve">. He goes on to talk about the way Claudius walks and the effect the disabilities he had on his knees. Suetonius was writing his works shortly after the reign of Claudius, therefore he would not have been able to see his disabilities in the flesh, meaning people would have known about them to be able to tell Suetonius. The account from Suetonius does make sense when you look at Potter’s ‘diagnosis’ of cerebral palsy. Due to the way cerebral palsy effects a person, Claudius would have found it hard to hide the physical and mental effects he suffered from the public view. </w:t>
      </w:r>
      <w:r>
        <w:rPr>
          <w:rFonts w:hint="default"/>
          <w:sz w:val="21"/>
          <w:szCs w:val="21"/>
          <w:lang w:val="en-GB"/>
        </w:rPr>
        <w:t>From what Potter tells us about Claudius and his great uncle August’s view on his physical disability, it was important that the people did not see Claudius’s club foot. We do not know the exact reason, but it is quite likely that Augustus did not want the Imperial family to be presented as weak and disabled. So it is very likely that Claudius’s physical disability was at least tried to be kept hidden from the public light.</w:t>
      </w:r>
    </w:p>
    <w:p>
      <w:pPr>
        <w:jc w:val="left"/>
        <w:rPr>
          <w:rFonts w:hint="default"/>
          <w:sz w:val="21"/>
          <w:szCs w:val="21"/>
          <w:lang w:val="en-GB"/>
        </w:rPr>
      </w:pPr>
    </w:p>
    <w:p>
      <w:pPr>
        <w:jc w:val="left"/>
        <w:rPr>
          <w:rFonts w:hint="default"/>
          <w:sz w:val="21"/>
          <w:szCs w:val="21"/>
          <w:lang w:val="en-GB"/>
        </w:rPr>
      </w:pPr>
      <w:r>
        <w:rPr>
          <w:rFonts w:hint="default"/>
          <w:sz w:val="21"/>
          <w:szCs w:val="21"/>
          <w:lang w:val="en-GB"/>
        </w:rPr>
        <w:t>During the early years of the foundation of the city and republic of Rome, the twelve tables were created as their form of law</w:t>
      </w:r>
      <w:r>
        <w:rPr>
          <w:rStyle w:val="9"/>
          <w:rFonts w:hint="default"/>
          <w:sz w:val="21"/>
          <w:szCs w:val="21"/>
          <w:lang w:val="en-GB"/>
        </w:rPr>
        <w:footnoteReference w:id="14"/>
      </w:r>
      <w:r>
        <w:rPr>
          <w:rFonts w:hint="default"/>
          <w:sz w:val="21"/>
          <w:szCs w:val="21"/>
          <w:lang w:val="en-GB"/>
        </w:rPr>
        <w:t xml:space="preserve">. The tables each ascertain to different aspects of Roman life, table four of the twelve tables talks about the rights of the </w:t>
      </w:r>
      <w:r>
        <w:rPr>
          <w:rFonts w:hint="default"/>
          <w:sz w:val="21"/>
          <w:szCs w:val="21"/>
        </w:rPr>
        <w:t>paterfamilias</w:t>
      </w:r>
      <w:r>
        <w:rPr>
          <w:rFonts w:hint="default"/>
          <w:sz w:val="21"/>
          <w:szCs w:val="21"/>
          <w:vertAlign w:val="superscript"/>
        </w:rPr>
        <w:footnoteReference w:id="15"/>
      </w:r>
      <w:r>
        <w:rPr>
          <w:rFonts w:hint="default"/>
          <w:sz w:val="21"/>
          <w:szCs w:val="21"/>
          <w:lang w:val="en-GB"/>
        </w:rPr>
        <w:t>, the head of the family and what he allowed to do. The twelve tables are quite explicit on what to do with disabled children. “</w:t>
      </w:r>
      <w:r>
        <w:rPr>
          <w:sz w:val="21"/>
          <w:szCs w:val="21"/>
        </w:rPr>
        <w:t>A dreadfully deformed child shall be quickly killed</w:t>
      </w:r>
      <w:r>
        <w:rPr>
          <w:rStyle w:val="9"/>
          <w:sz w:val="21"/>
          <w:szCs w:val="21"/>
        </w:rPr>
        <w:footnoteReference w:id="16"/>
      </w:r>
      <w:r>
        <w:rPr>
          <w:rFonts w:hint="default"/>
          <w:sz w:val="21"/>
          <w:szCs w:val="21"/>
          <w:lang w:val="en-GB"/>
        </w:rPr>
        <w:t>”. As we know, in the late republic and early imperial periods, there were physically disabled people. This either shows us that the laws changed and allowed these people to live normal lives, or no one paid attention to it. The twelve tables show us that disabilities were portrayed in a highly negative view, so bad that it was effectively publishable by death</w:t>
      </w:r>
      <w:r>
        <w:rPr>
          <w:rStyle w:val="9"/>
          <w:rFonts w:hint="default"/>
          <w:sz w:val="21"/>
          <w:szCs w:val="21"/>
          <w:lang w:val="en-GB"/>
        </w:rPr>
        <w:footnoteReference w:id="17"/>
      </w:r>
      <w:r>
        <w:rPr>
          <w:rFonts w:hint="default"/>
          <w:sz w:val="21"/>
          <w:szCs w:val="21"/>
          <w:lang w:val="en-GB"/>
        </w:rPr>
        <w:t>. This shows us that disabilities were portrayed in a bad light during Rome’s early history.</w:t>
      </w:r>
    </w:p>
    <w:p>
      <w:pPr>
        <w:jc w:val="left"/>
        <w:rPr>
          <w:rFonts w:hint="default"/>
          <w:sz w:val="21"/>
          <w:szCs w:val="21"/>
          <w:lang w:val="en-GB"/>
        </w:rPr>
      </w:pPr>
    </w:p>
    <w:p>
      <w:pPr>
        <w:jc w:val="left"/>
        <w:rPr>
          <w:rFonts w:hint="default"/>
          <w:sz w:val="21"/>
          <w:szCs w:val="21"/>
          <w:lang w:val="en-GB"/>
        </w:rPr>
      </w:pPr>
    </w:p>
    <w:p>
      <w:pPr>
        <w:jc w:val="left"/>
        <w:rPr>
          <w:rFonts w:hint="default"/>
          <w:sz w:val="21"/>
          <w:szCs w:val="21"/>
          <w:lang w:val="en-GB"/>
        </w:rPr>
      </w:pPr>
      <w:r>
        <w:rPr>
          <w:rFonts w:hint="default"/>
          <w:sz w:val="21"/>
          <w:szCs w:val="21"/>
          <w:lang w:val="en-GB"/>
        </w:rPr>
        <w:t>In the ancient world it wasn't only literature where things were recorded, we also have depictions of disabilities, both mental and physical in the art they created. One of the most notable depictions of a physical disability comes from the mythical king of Thebes, Oedipus</w:t>
      </w:r>
      <w:r>
        <w:rPr>
          <w:rStyle w:val="9"/>
          <w:rFonts w:hint="default"/>
          <w:sz w:val="21"/>
          <w:szCs w:val="21"/>
          <w:lang w:val="en-GB"/>
        </w:rPr>
        <w:footnoteReference w:id="18"/>
      </w:r>
      <w:r>
        <w:rPr>
          <w:rFonts w:hint="default"/>
          <w:sz w:val="21"/>
          <w:szCs w:val="21"/>
          <w:lang w:val="en-GB"/>
        </w:rPr>
        <w:t>. According to the literary traditions and the art of the ancient world, Oedipus blinded himself after discovering that he had in fact married and slept with his mother</w:t>
      </w:r>
      <w:r>
        <w:rPr>
          <w:rStyle w:val="9"/>
          <w:rFonts w:hint="default"/>
          <w:sz w:val="21"/>
          <w:szCs w:val="21"/>
          <w:lang w:val="en-GB"/>
        </w:rPr>
        <w:footnoteReference w:id="19"/>
      </w:r>
      <w:r>
        <w:rPr>
          <w:rFonts w:hint="default"/>
          <w:sz w:val="21"/>
          <w:szCs w:val="21"/>
          <w:lang w:val="en-GB"/>
        </w:rPr>
        <w:t>. This shows us that the ancient people had no problem displaying physical disabilities on their artwork. Yet people still attempted to hide them.</w:t>
      </w:r>
    </w:p>
    <w:p>
      <w:pPr>
        <w:jc w:val="left"/>
        <w:rPr>
          <w:rFonts w:hint="default"/>
          <w:sz w:val="21"/>
          <w:szCs w:val="21"/>
          <w:lang w:val="en-GB"/>
        </w:rPr>
      </w:pPr>
    </w:p>
    <w:p>
      <w:pPr>
        <w:jc w:val="left"/>
        <w:rPr>
          <w:rFonts w:hint="default"/>
          <w:sz w:val="21"/>
          <w:szCs w:val="21"/>
          <w:lang w:val="en-GB"/>
        </w:rPr>
      </w:pPr>
      <w:r>
        <w:rPr>
          <w:rFonts w:hint="default"/>
          <w:sz w:val="21"/>
          <w:szCs w:val="21"/>
          <w:lang w:val="en-GB"/>
        </w:rPr>
        <w:t>As we can see, in ancient Rome, people did generally attempt to try and hide their disabilities both mental and physical from the public eye. In the early republican times, the twelve tables almost made it illegal to be allowed to live with a deformity or disability. However, the type of disability the person was suffering from would effect their attempt to hid it. Caesar would have found it easier to hide his epilepsy</w:t>
      </w:r>
      <w:r>
        <w:rPr>
          <w:rStyle w:val="9"/>
          <w:rFonts w:hint="default"/>
          <w:sz w:val="21"/>
          <w:szCs w:val="21"/>
          <w:lang w:val="en-GB"/>
        </w:rPr>
        <w:footnoteReference w:id="20"/>
      </w:r>
      <w:r>
        <w:rPr>
          <w:rFonts w:hint="default"/>
          <w:sz w:val="21"/>
          <w:szCs w:val="21"/>
          <w:lang w:val="en-GB"/>
        </w:rPr>
        <w:t>than Claudius would his cerebral palsy</w:t>
      </w:r>
      <w:r>
        <w:rPr>
          <w:rStyle w:val="9"/>
          <w:rFonts w:hint="default"/>
          <w:sz w:val="21"/>
          <w:szCs w:val="21"/>
          <w:lang w:val="en-GB"/>
        </w:rPr>
        <w:footnoteReference w:id="21"/>
      </w:r>
      <w:r>
        <w:rPr>
          <w:rFonts w:hint="default"/>
          <w:sz w:val="21"/>
          <w:szCs w:val="21"/>
          <w:lang w:val="en-GB"/>
        </w:rPr>
        <w:t>. This can be seen prominently in the upper echelons in society, even the Imperial family were not exempt from disability. This is generally not the case in the artistic traditions of the ancient world. Most of the depictions we have on pottery and from images are of the mythical figures, but this still shows us how the ancients viewed disabilities. From this, we can see that the ancients did attempt to hide their disabilities in person, however, their Gods and heroes were depicted in art with their disabilities for people to see.</w:t>
      </w:r>
    </w:p>
    <w:p>
      <w:pPr>
        <w:jc w:val="left"/>
        <w:rPr>
          <w:rFonts w:hint="default"/>
          <w:sz w:val="21"/>
          <w:szCs w:val="21"/>
          <w:lang w:val="en-GB"/>
        </w:rPr>
      </w:pPr>
    </w:p>
    <w:p>
      <w:pPr>
        <w:jc w:val="left"/>
        <w:rPr>
          <w:rFonts w:hint="default"/>
          <w:sz w:val="21"/>
          <w:szCs w:val="21"/>
          <w:lang w:val="en-GB"/>
        </w:rPr>
      </w:pPr>
    </w:p>
    <w:p>
      <w:pPr>
        <w:jc w:val="left"/>
        <w:rPr>
          <w:rFonts w:hint="default"/>
          <w:sz w:val="21"/>
          <w:szCs w:val="21"/>
          <w:lang w:val="en-GB"/>
        </w:rPr>
      </w:pPr>
    </w:p>
    <w:p>
      <w:pPr>
        <w:jc w:val="left"/>
        <w:rPr>
          <w:rFonts w:hint="default"/>
          <w:sz w:val="21"/>
          <w:szCs w:val="21"/>
          <w:lang w:val="en-GB"/>
        </w:rPr>
      </w:pPr>
    </w:p>
    <w:p>
      <w:pPr>
        <w:jc w:val="left"/>
        <w:rPr>
          <w:rFonts w:hint="default"/>
          <w:sz w:val="21"/>
          <w:szCs w:val="21"/>
          <w:lang w:val="en-GB"/>
        </w:rPr>
      </w:pPr>
    </w:p>
    <w:p>
      <w:pPr>
        <w:jc w:val="left"/>
        <w:rPr>
          <w:rFonts w:hint="default"/>
          <w:sz w:val="21"/>
          <w:szCs w:val="21"/>
          <w:lang w:val="en-GB"/>
        </w:rPr>
      </w:pPr>
    </w:p>
    <w:p>
      <w:pPr>
        <w:rPr>
          <w:rFonts w:hint="default"/>
          <w:sz w:val="21"/>
          <w:szCs w:val="21"/>
          <w:lang w:val="en-GB"/>
        </w:rPr>
      </w:pPr>
    </w:p>
    <w:p>
      <w:pPr>
        <w:rPr>
          <w:rFonts w:hint="default"/>
          <w:sz w:val="21"/>
          <w:szCs w:val="21"/>
          <w:lang w:val="en-GB"/>
        </w:rPr>
      </w:pPr>
    </w:p>
    <w:bookmarkEnd w:id="0"/>
    <w:p>
      <w:pPr>
        <w:rPr>
          <w:rFonts w:hint="default"/>
          <w:sz w:val="21"/>
          <w:szCs w:val="21"/>
          <w:lang w:val="en-GB"/>
        </w:rPr>
      </w:pPr>
    </w:p>
    <w:p>
      <w:pPr>
        <w:rPr>
          <w:rFonts w:hint="default"/>
          <w:sz w:val="21"/>
          <w:szCs w:val="21"/>
          <w:lang w:val="en-GB"/>
        </w:rPr>
      </w:pPr>
    </w:p>
    <w:p>
      <w:pPr>
        <w:rPr>
          <w:rFonts w:hint="default"/>
          <w:sz w:val="21"/>
          <w:szCs w:val="21"/>
          <w:lang w:val="en-GB"/>
        </w:rPr>
      </w:pPr>
    </w:p>
    <w:p>
      <w:pPr>
        <w:rPr>
          <w:rFonts w:hint="default"/>
          <w:sz w:val="21"/>
          <w:szCs w:val="21"/>
          <w:lang w:val="en-GB"/>
        </w:rPr>
      </w:pPr>
    </w:p>
    <w:p>
      <w:pPr>
        <w:rPr>
          <w:rFonts w:hint="default"/>
          <w:sz w:val="21"/>
          <w:szCs w:val="21"/>
          <w:lang w:val="en-GB"/>
        </w:rPr>
      </w:pPr>
    </w:p>
    <w:p>
      <w:pPr>
        <w:rPr>
          <w:rFonts w:hint="default"/>
          <w:sz w:val="21"/>
          <w:szCs w:val="21"/>
          <w:lang w:val="en-GB"/>
        </w:rPr>
      </w:pPr>
    </w:p>
    <w:p>
      <w:pPr>
        <w:rPr>
          <w:rFonts w:hint="default"/>
          <w:sz w:val="21"/>
          <w:szCs w:val="21"/>
          <w:lang w:val="en-GB"/>
        </w:rPr>
      </w:pPr>
    </w:p>
    <w:p>
      <w:pPr>
        <w:rPr>
          <w:rFonts w:hint="default"/>
          <w:sz w:val="21"/>
          <w:szCs w:val="21"/>
          <w:lang w:val="en-GB"/>
        </w:rPr>
      </w:pPr>
    </w:p>
    <w:p>
      <w:pPr>
        <w:rPr>
          <w:rFonts w:hint="default"/>
          <w:sz w:val="21"/>
          <w:szCs w:val="21"/>
          <w:lang w:val="en-GB"/>
        </w:rPr>
      </w:pPr>
    </w:p>
    <w:p>
      <w:pPr>
        <w:rPr>
          <w:rFonts w:hint="default"/>
          <w:sz w:val="21"/>
          <w:szCs w:val="21"/>
          <w:lang w:val="en-GB"/>
        </w:rPr>
      </w:pPr>
    </w:p>
    <w:p>
      <w:pPr>
        <w:rPr>
          <w:rFonts w:hint="default"/>
          <w:sz w:val="21"/>
          <w:szCs w:val="21"/>
          <w:lang w:val="en-GB"/>
        </w:rPr>
      </w:pPr>
    </w:p>
    <w:p>
      <w:pPr>
        <w:rPr>
          <w:rFonts w:hint="default"/>
          <w:sz w:val="21"/>
          <w:szCs w:val="21"/>
          <w:lang w:val="en-GB"/>
        </w:rPr>
      </w:pPr>
    </w:p>
    <w:p>
      <w:pPr>
        <w:rPr>
          <w:rFonts w:hint="default"/>
          <w:sz w:val="21"/>
          <w:szCs w:val="21"/>
          <w:lang w:val="en-GB"/>
        </w:rPr>
      </w:pPr>
    </w:p>
    <w:p>
      <w:pPr>
        <w:rPr>
          <w:rFonts w:hint="default"/>
          <w:sz w:val="21"/>
          <w:szCs w:val="21"/>
          <w:lang w:val="en-GB"/>
        </w:rPr>
      </w:pPr>
    </w:p>
    <w:p>
      <w:pPr>
        <w:rPr>
          <w:rFonts w:hint="default"/>
          <w:sz w:val="21"/>
          <w:szCs w:val="21"/>
          <w:lang w:val="en-GB"/>
        </w:rPr>
      </w:pPr>
    </w:p>
    <w:p>
      <w:pPr>
        <w:rPr>
          <w:rFonts w:hint="default"/>
          <w:sz w:val="21"/>
          <w:szCs w:val="21"/>
          <w:lang w:val="en-GB"/>
        </w:rPr>
      </w:pPr>
    </w:p>
    <w:p>
      <w:pPr>
        <w:rPr>
          <w:rFonts w:hint="default"/>
          <w:sz w:val="21"/>
          <w:szCs w:val="21"/>
          <w:lang w:val="en-GB"/>
        </w:rPr>
      </w:pPr>
    </w:p>
    <w:p>
      <w:pPr>
        <w:rPr>
          <w:rFonts w:hint="default"/>
          <w:sz w:val="21"/>
          <w:szCs w:val="21"/>
          <w:lang w:val="en-GB"/>
        </w:rPr>
      </w:pPr>
    </w:p>
    <w:p>
      <w:pPr>
        <w:rPr>
          <w:rFonts w:hint="default"/>
          <w:sz w:val="21"/>
          <w:szCs w:val="21"/>
          <w:lang w:val="en-GB"/>
        </w:rPr>
      </w:pPr>
    </w:p>
    <w:p>
      <w:pPr>
        <w:rPr>
          <w:rFonts w:hint="default"/>
          <w:sz w:val="21"/>
          <w:szCs w:val="21"/>
          <w:lang w:val="en-GB"/>
        </w:rPr>
      </w:pPr>
    </w:p>
    <w:p>
      <w:pPr>
        <w:rPr>
          <w:rFonts w:hint="default"/>
          <w:sz w:val="21"/>
          <w:szCs w:val="21"/>
          <w:lang w:val="en-GB"/>
        </w:rPr>
      </w:pPr>
    </w:p>
    <w:p>
      <w:pPr>
        <w:rPr>
          <w:rFonts w:hint="default"/>
          <w:sz w:val="21"/>
          <w:szCs w:val="21"/>
          <w:lang w:val="en-GB"/>
        </w:rPr>
      </w:pPr>
    </w:p>
    <w:p>
      <w:pPr>
        <w:rPr>
          <w:rFonts w:hint="default"/>
          <w:sz w:val="21"/>
          <w:szCs w:val="21"/>
          <w:lang w:val="en-GB"/>
        </w:rPr>
      </w:pPr>
    </w:p>
    <w:p/>
    <w:p/>
    <w:p/>
    <w:p>
      <w:pPr>
        <w:rPr>
          <w:sz w:val="21"/>
          <w:szCs w:val="21"/>
          <w:u w:val="single"/>
          <w:lang w:val="en-GB"/>
        </w:rPr>
      </w:pPr>
      <w:r>
        <w:rPr>
          <w:sz w:val="21"/>
          <w:szCs w:val="21"/>
          <w:u w:val="single"/>
          <w:lang w:val="en-GB"/>
        </w:rPr>
        <w:t>Bibliography.</w:t>
      </w:r>
    </w:p>
    <w:p>
      <w:pPr>
        <w:rPr>
          <w:sz w:val="21"/>
          <w:szCs w:val="21"/>
          <w:u w:val="single"/>
          <w:lang w:val="en-GB"/>
        </w:rPr>
      </w:pPr>
    </w:p>
    <w:p>
      <w:pPr>
        <w:rPr>
          <w:sz w:val="21"/>
          <w:szCs w:val="21"/>
        </w:rPr>
      </w:pPr>
      <w:r>
        <w:rPr>
          <w:sz w:val="21"/>
          <w:szCs w:val="21"/>
        </w:rPr>
        <w:t>Plutarch. Plutarch's Lives. with an English Translation by. Bernadotte Perrin. Cambridge, MA. Harvard University Press. London. William Heinemann Ltd. 1919. 7.</w:t>
      </w:r>
    </w:p>
    <w:p>
      <w:pPr>
        <w:rPr>
          <w:sz w:val="21"/>
          <w:szCs w:val="21"/>
        </w:rPr>
      </w:pPr>
    </w:p>
    <w:p>
      <w:pPr>
        <w:rPr>
          <w:sz w:val="21"/>
          <w:szCs w:val="21"/>
        </w:rPr>
      </w:pPr>
      <w:r>
        <w:rPr>
          <w:rFonts w:hint="default"/>
          <w:sz w:val="21"/>
          <w:szCs w:val="21"/>
          <w:lang w:val="en-GB"/>
        </w:rPr>
        <w:t>Suetonius. Lives of the twelve Caesars. Claudius. 30. trans F</w:t>
      </w:r>
      <w:r>
        <w:rPr>
          <w:sz w:val="21"/>
          <w:szCs w:val="21"/>
        </w:rPr>
        <w:t xml:space="preserve"> Maximilian Ihm</w:t>
      </w:r>
      <w:r>
        <w:rPr>
          <w:sz w:val="21"/>
          <w:szCs w:val="21"/>
          <w:lang w:val="en-GB"/>
        </w:rPr>
        <w:t xml:space="preserve">. 1907. </w:t>
      </w:r>
      <w:r>
        <w:rPr>
          <w:rFonts w:hint="default"/>
          <w:sz w:val="21"/>
          <w:szCs w:val="21"/>
          <w:lang w:val="en-GB"/>
        </w:rPr>
        <w:t xml:space="preserve"> </w:t>
      </w:r>
      <w:r>
        <w:rPr>
          <w:sz w:val="21"/>
          <w:szCs w:val="21"/>
        </w:rPr>
        <w:t>Loeb Classical Library edition</w:t>
      </w:r>
    </w:p>
    <w:p>
      <w:pPr>
        <w:rPr>
          <w:sz w:val="21"/>
          <w:szCs w:val="21"/>
        </w:rPr>
      </w:pPr>
    </w:p>
    <w:p>
      <w:pPr>
        <w:rPr>
          <w:sz w:val="21"/>
          <w:szCs w:val="21"/>
        </w:rPr>
      </w:pPr>
    </w:p>
    <w:p>
      <w:pPr>
        <w:rPr>
          <w:sz w:val="21"/>
          <w:szCs w:val="21"/>
        </w:rPr>
      </w:pPr>
      <w:r>
        <w:rPr>
          <w:sz w:val="21"/>
          <w:szCs w:val="21"/>
          <w:lang w:val="en-GB"/>
        </w:rPr>
        <w:t>Bennes. J Hillard. T. 2001. ‘The Theatricality of the deaths of C. Gracchus and friends’. The classical quarterly 51:1. 135-140</w:t>
      </w:r>
    </w:p>
    <w:p>
      <w:pPr>
        <w:rPr>
          <w:sz w:val="21"/>
          <w:szCs w:val="21"/>
        </w:rPr>
      </w:pPr>
    </w:p>
    <w:p>
      <w:pPr>
        <w:rPr>
          <w:rFonts w:hint="default"/>
          <w:sz w:val="21"/>
          <w:szCs w:val="21"/>
          <w:lang w:val="en-GB"/>
        </w:rPr>
      </w:pPr>
      <w:r>
        <w:rPr>
          <w:sz w:val="21"/>
          <w:szCs w:val="21"/>
        </w:rPr>
        <w:t>Delahunty, A. and Dignen, S. (2010).</w:t>
      </w:r>
      <w:r>
        <w:rPr>
          <w:rFonts w:hint="default"/>
          <w:sz w:val="21"/>
          <w:szCs w:val="21"/>
        </w:rPr>
        <w:t> The Oxford dictionary of reference and allusion. Oxford: Oxford University Press.</w:t>
      </w:r>
    </w:p>
    <w:p>
      <w:pPr>
        <w:rPr>
          <w:rFonts w:hint="default"/>
          <w:sz w:val="21"/>
          <w:szCs w:val="21"/>
          <w:lang w:val="en-GB"/>
        </w:rPr>
      </w:pPr>
    </w:p>
    <w:p>
      <w:pPr>
        <w:rPr>
          <w:rFonts w:hint="default"/>
          <w:sz w:val="21"/>
          <w:szCs w:val="21"/>
          <w:lang w:val="en-GB"/>
        </w:rPr>
      </w:pPr>
      <w:r>
        <w:rPr>
          <w:rFonts w:hint="default"/>
          <w:sz w:val="21"/>
          <w:szCs w:val="21"/>
          <w:lang w:val="en-GB"/>
        </w:rPr>
        <w:t>Hodder, Harbour Fraser (September 2003). "Epilepsy and Empire, Caveat Caesar". Accredited Psychiatry &amp; Medicine. Harvard, Boston: Harvard University. 106 (1): 19.</w:t>
      </w:r>
    </w:p>
    <w:p>
      <w:pPr>
        <w:rPr>
          <w:sz w:val="21"/>
          <w:szCs w:val="21"/>
        </w:rPr>
      </w:pPr>
      <w:r>
        <w:rPr>
          <w:rFonts w:hint="default"/>
          <w:sz w:val="21"/>
          <w:szCs w:val="21"/>
        </w:rPr>
        <w:t>https://www-sciencedirect-com.ezproxy.uwtsd.ac.uk/science/article/pii/S1878875015007895 [Accessed 24 Nov. 2017].</w:t>
      </w:r>
    </w:p>
    <w:p>
      <w:pPr>
        <w:rPr>
          <w:rFonts w:hint="default"/>
          <w:sz w:val="21"/>
          <w:szCs w:val="21"/>
        </w:rPr>
      </w:pPr>
    </w:p>
    <w:p>
      <w:pPr>
        <w:rPr>
          <w:rFonts w:hint="default"/>
          <w:sz w:val="21"/>
          <w:szCs w:val="21"/>
          <w:lang w:val="en-GB"/>
        </w:rPr>
      </w:pPr>
      <w:r>
        <w:rPr>
          <w:sz w:val="21"/>
          <w:szCs w:val="21"/>
        </w:rPr>
        <w:t>Hornblower, S., Spawforth, A. and Eidinow, E. (2012).</w:t>
      </w:r>
      <w:r>
        <w:rPr>
          <w:rFonts w:hint="default"/>
          <w:sz w:val="21"/>
          <w:szCs w:val="21"/>
        </w:rPr>
        <w:t> The Oxford classical dictionary. Oxford: Oxford University Press.</w:t>
      </w:r>
    </w:p>
    <w:p>
      <w:pPr>
        <w:rPr>
          <w:rFonts w:hint="default"/>
          <w:sz w:val="21"/>
          <w:szCs w:val="21"/>
          <w:lang w:val="en-GB"/>
        </w:rPr>
      </w:pPr>
    </w:p>
    <w:p>
      <w:pPr>
        <w:rPr>
          <w:rFonts w:hint="default"/>
          <w:sz w:val="21"/>
          <w:szCs w:val="21"/>
          <w:lang w:val="en-GB"/>
        </w:rPr>
      </w:pPr>
      <w:r>
        <w:rPr>
          <w:sz w:val="21"/>
          <w:szCs w:val="21"/>
        </w:rPr>
        <w:t>Lovano, M. (2015).</w:t>
      </w:r>
      <w:r>
        <w:rPr>
          <w:rFonts w:hint="default"/>
          <w:sz w:val="21"/>
          <w:szCs w:val="21"/>
        </w:rPr>
        <w:t> All things Julius Caesar. Santa Barbara, California: Greenwood.</w:t>
      </w:r>
    </w:p>
    <w:p>
      <w:pPr>
        <w:rPr>
          <w:rFonts w:hint="default"/>
          <w:sz w:val="21"/>
          <w:szCs w:val="21"/>
        </w:rPr>
      </w:pPr>
      <w:r>
        <w:rPr>
          <w:sz w:val="21"/>
          <w:szCs w:val="21"/>
        </w:rPr>
        <w:t>Ronald., Mellor, (2013-01</w:t>
      </w:r>
      <w:r>
        <w:rPr>
          <w:sz w:val="21"/>
          <w:szCs w:val="21"/>
        </w:rPr>
        <w:t>-01).</w:t>
      </w:r>
      <w:r>
        <w:rPr>
          <w:rFonts w:hint="default"/>
          <w:sz w:val="21"/>
          <w:szCs w:val="21"/>
        </w:rPr>
        <w:t> </w:t>
      </w:r>
      <w:r>
        <w:rPr>
          <w:rFonts w:hint="default"/>
          <w:sz w:val="21"/>
          <w:szCs w:val="21"/>
        </w:rPr>
        <w:fldChar w:fldCharType="begin"/>
      </w:r>
      <w:r>
        <w:rPr>
          <w:rFonts w:hint="default"/>
          <w:sz w:val="21"/>
          <w:szCs w:val="21"/>
        </w:rPr>
        <w:instrText xml:space="preserve"> HYPERLINK "https://www.worldcat.org/oclc/819515201" </w:instrText>
      </w:r>
      <w:r>
        <w:rPr>
          <w:rFonts w:hint="default"/>
          <w:sz w:val="21"/>
          <w:szCs w:val="21"/>
        </w:rPr>
        <w:fldChar w:fldCharType="separate"/>
      </w:r>
      <w:r>
        <w:rPr>
          <w:rFonts w:hint="default"/>
          <w:sz w:val="21"/>
          <w:szCs w:val="21"/>
        </w:rPr>
        <w:t>The historians of ancient Rome : an anthology of the major writings</w:t>
      </w:r>
      <w:r>
        <w:rPr>
          <w:rFonts w:hint="default"/>
          <w:sz w:val="21"/>
          <w:szCs w:val="21"/>
        </w:rPr>
        <w:fldChar w:fldCharType="end"/>
      </w:r>
      <w:r>
        <w:rPr>
          <w:rFonts w:hint="default"/>
          <w:sz w:val="21"/>
          <w:szCs w:val="21"/>
        </w:rPr>
        <w:t>. Routledge.</w:t>
      </w:r>
    </w:p>
    <w:p>
      <w:pPr>
        <w:rPr>
          <w:sz w:val="21"/>
          <w:szCs w:val="21"/>
        </w:rPr>
      </w:pPr>
    </w:p>
    <w:p>
      <w:pPr>
        <w:rPr>
          <w:sz w:val="21"/>
          <w:szCs w:val="21"/>
        </w:rPr>
      </w:pPr>
      <w:r>
        <w:rPr>
          <w:sz w:val="21"/>
          <w:szCs w:val="21"/>
        </w:rPr>
        <w:t>McCarty, Nick "Rome The Greatest Empire of the Ancient World", The Rosen Publishing Group, 2008</w:t>
      </w:r>
    </w:p>
    <w:p>
      <w:pPr>
        <w:rPr>
          <w:rFonts w:hint="default"/>
          <w:sz w:val="21"/>
          <w:szCs w:val="21"/>
          <w:lang w:val="en-GB"/>
        </w:rPr>
      </w:pPr>
    </w:p>
    <w:p>
      <w:pPr>
        <w:rPr>
          <w:rFonts w:hint="default"/>
          <w:sz w:val="21"/>
          <w:szCs w:val="21"/>
          <w:lang w:val="en-GB"/>
        </w:rPr>
      </w:pPr>
      <w:r>
        <w:rPr>
          <w:rFonts w:hint="default"/>
          <w:sz w:val="21"/>
          <w:szCs w:val="21"/>
        </w:rPr>
        <w:t xml:space="preserve">Potter, D. </w:t>
      </w:r>
      <w:r>
        <w:rPr>
          <w:rFonts w:hint="default"/>
          <w:sz w:val="21"/>
          <w:szCs w:val="21"/>
          <w:lang w:val="en-GB"/>
        </w:rPr>
        <w:t xml:space="preserve">2014. </w:t>
      </w:r>
      <w:r>
        <w:rPr>
          <w:rFonts w:hint="default"/>
          <w:sz w:val="21"/>
          <w:szCs w:val="21"/>
        </w:rPr>
        <w:t>Rome in the ancient world</w:t>
      </w:r>
      <w:r>
        <w:rPr>
          <w:rFonts w:hint="default"/>
          <w:sz w:val="21"/>
          <w:szCs w:val="21"/>
          <w:lang w:val="en-GB"/>
        </w:rPr>
        <w:t>. Thames and hudson LTD. London</w:t>
      </w:r>
    </w:p>
    <w:p>
      <w:pPr>
        <w:rPr>
          <w:rFonts w:hint="default"/>
          <w:sz w:val="21"/>
          <w:szCs w:val="21"/>
          <w:lang w:val="en-GB"/>
        </w:rPr>
      </w:pPr>
    </w:p>
    <w:p>
      <w:pPr>
        <w:rPr>
          <w:rFonts w:hint="default"/>
          <w:sz w:val="21"/>
          <w:szCs w:val="21"/>
        </w:rPr>
      </w:pPr>
      <w:r>
        <w:rPr>
          <w:sz w:val="21"/>
          <w:szCs w:val="21"/>
        </w:rPr>
        <w:t> </w:t>
      </w:r>
      <w:r>
        <w:rPr>
          <w:rFonts w:hint="default"/>
          <w:sz w:val="21"/>
          <w:szCs w:val="21"/>
        </w:rPr>
        <w:t>https://www-sciencedirect-com.ezproxy.uwtsd.ac.uk/science/article/pii/S1471492211001139#! [Accessed 24 Nov. 2017].</w:t>
      </w:r>
    </w:p>
    <w:p>
      <w:pPr>
        <w:rPr>
          <w:rFonts w:hint="default"/>
          <w:sz w:val="21"/>
          <w:szCs w:val="21"/>
          <w:lang w:val="en-GB"/>
        </w:rPr>
      </w:pPr>
    </w:p>
    <w:p>
      <w:pPr>
        <w:rPr>
          <w:rFonts w:hint="default"/>
          <w:sz w:val="21"/>
          <w:szCs w:val="21"/>
        </w:rPr>
      </w:pPr>
      <w:r>
        <w:rPr>
          <w:sz w:val="21"/>
          <w:szCs w:val="21"/>
        </w:rPr>
        <w:t>Ninds.nih.gov. (2017).</w:t>
      </w:r>
      <w:r>
        <w:rPr>
          <w:rFonts w:hint="default"/>
          <w:sz w:val="21"/>
          <w:szCs w:val="21"/>
        </w:rPr>
        <w:t xml:space="preserve"> Cerebral Palsy: Hope Through Research | National Institute of Neurological Disorders and Stroke. [online] Available at: https://www.ninds.nih.gov/Disorders/Patient-Caregiver-Education/Hope-Through-Research/Cerebral-Palsy-Hope-Through-Research </w:t>
      </w:r>
    </w:p>
    <w:p>
      <w:pPr>
        <w:rPr>
          <w:rFonts w:hint="default"/>
          <w:lang w:val="en-GB"/>
        </w:rPr>
      </w:pPr>
    </w:p>
    <w:sectPr>
      <w:pgSz w:w="11906" w:h="16838"/>
      <w:pgMar w:top="1440" w:right="1800" w:bottom="1440" w:left="180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endnote>
  <w:endnote w:type="continuationSeparator" w:id="1">
    <w:p>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AFF" w:usb1="C0007843"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AFF" w:usb1="C0007843" w:usb2="00000009" w:usb3="00000000" w:csb0="400001FF" w:csb1="FFFF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 w:name="MS Mincho">
    <w:panose1 w:val="02020609040205080304"/>
    <w:charset w:val="4E"/>
    <w:family w:val="auto"/>
    <w:pitch w:val="default"/>
    <w:sig w:usb0="E00002FF" w:usb1="6AC7FDFB" w:usb2="00000012" w:usb3="00000000" w:csb0="4002009F" w:csb1="DFD70000"/>
  </w:font>
  <w:font w:name="Lucida Grande">
    <w:altName w:val="Segoe Print"/>
    <w:panose1 w:val="020B0600040502020204"/>
    <w:charset w:val="00"/>
    <w:family w:val="auto"/>
    <w:pitch w:val="default"/>
    <w:sig w:usb0="00000000" w:usb1="00000000" w:usb2="00000000" w:usb3="00000000" w:csb0="000001BF" w:csb1="00000000"/>
  </w:font>
  <w:font w:name="Times">
    <w:altName w:val="Times New Roman"/>
    <w:panose1 w:val="02000500000000000000"/>
    <w:charset w:val="00"/>
    <w:family w:val="auto"/>
    <w:pitch w:val="default"/>
    <w:sig w:usb0="00000000" w:usb1="00000000" w:usb2="00000000" w:usb3="00000000" w:csb0="00000001" w:csb1="00000000"/>
  </w:font>
  <w:font w:name="-webkit-standard">
    <w:altName w:val="Times New Roman"/>
    <w:panose1 w:val="00000000000000000000"/>
    <w:charset w:val="00"/>
    <w:family w:val="roman"/>
    <w:pitch w:val="default"/>
    <w:sig w:usb0="00000000" w:usb1="00000000" w:usb2="00000000" w:usb3="00000000" w:csb0="00000000" w:csb1="00000000"/>
  </w:font>
  <w:font w:name="MS Gothic">
    <w:panose1 w:val="020B0609070205080204"/>
    <w:charset w:val="4E"/>
    <w:family w:val="auto"/>
    <w:pitch w:val="default"/>
    <w:sig w:usb0="E00002FF" w:usb1="6AC7FDFB" w:usb2="00000012" w:usb3="00000000" w:csb0="4002009F" w:csb1="DFD70000"/>
  </w:font>
  <w:font w:name="MS Mincho">
    <w:panose1 w:val="02020609040205080304"/>
    <w:charset w:val="80"/>
    <w:family w:val="auto"/>
    <w:pitch w:val="default"/>
    <w:sig w:usb0="E00002FF" w:usb1="6AC7FDFB" w:usb2="00000012" w:usb3="00000000" w:csb0="4002009F" w:csb1="DFD70000"/>
  </w:font>
  <w:font w:name="Segoe Print">
    <w:panose1 w:val="02000600000000000000"/>
    <w:charset w:val="00"/>
    <w:family w:val="auto"/>
    <w:pitch w:val="default"/>
    <w:sig w:usb0="0000028F" w:usb1="00000000" w:usb2="00000000" w:usb3="00000000" w:csb0="2000009F" w:csb1="47010000"/>
  </w:font>
  <w:font w:name="sans-serif">
    <w:altName w:val="Segoe Print"/>
    <w:panose1 w:val="00000000000000000000"/>
    <w:charset w:val="00"/>
    <w:family w:val="auto"/>
    <w:pitch w:val="default"/>
    <w:sig w:usb0="00000000" w:usb1="00000000" w:usb2="00000000" w:usb3="00000000" w:csb0="00000000" w:csb1="00000000"/>
  </w:font>
  <w:font w:name="Open Sans">
    <w:altName w:val="Segoe Print"/>
    <w:panose1 w:val="00000000000000000000"/>
    <w:charset w:val="00"/>
    <w:family w:val="auto"/>
    <w:pitch w:val="default"/>
    <w:sig w:usb0="00000000" w:usb1="00000000" w:usb2="00000000" w:usb3="00000000" w:csb0="00000000" w:csb1="00000000"/>
  </w:font>
  <w:font w:name="Georgia">
    <w:panose1 w:val="02040502050405020303"/>
    <w:charset w:val="00"/>
    <w:family w:val="auto"/>
    <w:pitch w:val="default"/>
    <w:sig w:usb0="00000287" w:usb1="00000000" w:usb2="00000000" w:usb3="00000000" w:csb0="2000009F" w:csb1="00000000"/>
  </w:font>
  <w:font w:name="Segoe UI">
    <w:panose1 w:val="020B0502040204020203"/>
    <w:charset w:val="00"/>
    <w:family w:val="swiss"/>
    <w:pitch w:val="default"/>
    <w:sig w:usb0="E10022FF" w:usb1="C000E47F" w:usb2="00000029" w:usb3="00000000" w:csb0="200001DF" w:csb1="20000000"/>
  </w:font>
  <w:font w:name="Trebuchet MS">
    <w:panose1 w:val="020B0603020202020204"/>
    <w:charset w:val="00"/>
    <w:family w:val="swiss"/>
    <w:pitch w:val="default"/>
    <w:sig w:usb0="00000287" w:usb1="00000000" w:usb2="00000000" w:usb3="00000000" w:csb0="2000009F" w:csb1="00000000"/>
  </w:font>
  <w:font w:name="Tahoma">
    <w:panose1 w:val="020B0604030504040204"/>
    <w:charset w:val="00"/>
    <w:family w:val="swiss"/>
    <w:pitch w:val="default"/>
    <w:sig w:usb0="E1002EFF" w:usb1="C000605B" w:usb2="00000029" w:usb3="00000000" w:csb0="200101FF" w:csb1="20280000"/>
  </w:font>
  <w:font w:name="Palatino Linotype">
    <w:panose1 w:val="02040502050505030304"/>
    <w:charset w:val="00"/>
    <w:family w:val="roman"/>
    <w:pitch w:val="default"/>
    <w:sig w:usb0="E0000287" w:usb1="40000013" w:usb2="00000000" w:usb3="00000000" w:csb0="2000019F" w:csb1="00000000"/>
  </w:font>
  <w:font w:name="PT Serif">
    <w:altName w:val="Segoe Print"/>
    <w:panose1 w:val="00000000000000000000"/>
    <w:charset w:val="00"/>
    <w:family w:val="auto"/>
    <w:pitch w:val="default"/>
    <w:sig w:usb0="00000000" w:usb1="00000000" w:usb2="00000000" w:usb3="00000000" w:csb0="00040001" w:csb1="00000000"/>
  </w:font>
  <w:font w:name="Verdana">
    <w:panose1 w:val="020B0604030504040204"/>
    <w:charset w:val="00"/>
    <w:family w:val="swiss"/>
    <w:pitch w:val="default"/>
    <w:sig w:usb0="A10006FF" w:usb1="4000205B" w:usb2="00000010" w:usb3="00000000" w:csb0="2000019F" w:csb1="00000000"/>
  </w:font>
  <w:font w:name="Vijaya">
    <w:panose1 w:val="020B0604020202020204"/>
    <w:charset w:val="00"/>
    <w:family w:val="auto"/>
    <w:pitch w:val="default"/>
    <w:sig w:usb0="00100003" w:usb1="00000000" w:usb2="00000000" w:usb3="00000000" w:csb0="00000001" w:csb1="00000000"/>
  </w:font>
  <w:font w:name="Calibri Light">
    <w:panose1 w:val="020F0302020204030204"/>
    <w:charset w:val="00"/>
    <w:family w:val="auto"/>
    <w:pitch w:val="default"/>
    <w:sig w:usb0="A00002EF" w:usb1="4000207B" w:usb2="00000000" w:usb3="00000000" w:csb0="2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44">
    <w:p/>
  </w:footnote>
  <w:footnote w:type="continuationSeparator" w:id="45">
    <w:p>
      <w:r>
        <w:continuationSeparator/>
      </w:r>
    </w:p>
  </w:footnote>
  <w:footnote w:id="0">
    <w:p>
      <w:r>
        <w:rPr>
          <w:rStyle w:val="9"/>
          <w:rFonts w:asciiTheme="minorAscii"/>
          <w:color w:val="auto"/>
          <w:szCs w:val="21"/>
        </w:rPr>
        <w:footnoteRef/>
      </w:r>
      <w:r>
        <w:t xml:space="preserve">  </w:t>
      </w:r>
      <w:r>
        <w:rPr>
          <w:rFonts w:hint="default"/>
        </w:rPr>
        <w:t>Burden, George. </w:t>
      </w:r>
      <w:r>
        <w:rPr>
          <w:rFonts w:hint="default"/>
        </w:rPr>
        <w:fldChar w:fldCharType="begin"/>
      </w:r>
      <w:r>
        <w:rPr>
          <w:rFonts w:hint="default"/>
        </w:rPr>
        <w:instrText xml:space="preserve"> HYPERLINK "http://www.mentalhealth.com/mag1/p5m-tor1.html" </w:instrText>
      </w:r>
      <w:r>
        <w:rPr>
          <w:rFonts w:hint="default"/>
        </w:rPr>
        <w:fldChar w:fldCharType="separate"/>
      </w:r>
      <w:r>
        <w:rPr>
          <w:rStyle w:val="10"/>
          <w:rFonts w:hint="default" w:hAnsi="sans-serif" w:eastAsia="sans-serif" w:cs="sans-serif" w:asciiTheme="minorAscii"/>
          <w:i w:val="0"/>
          <w:caps w:val="0"/>
          <w:color w:val="auto"/>
          <w:spacing w:val="0"/>
          <w:szCs w:val="21"/>
          <w:u w:val="none"/>
        </w:rPr>
        <w:t>The Imperial Gene</w:t>
      </w:r>
      <w:r>
        <w:rPr>
          <w:rFonts w:hint="default"/>
        </w:rPr>
        <w:fldChar w:fldCharType="end"/>
      </w:r>
      <w:r>
        <w:rPr>
          <w:rFonts w:hint="default"/>
        </w:rPr>
        <w:t> </w:t>
      </w:r>
      <w:r>
        <w:rPr>
          <w:rFonts w:hint="default"/>
        </w:rPr>
        <w:fldChar w:fldCharType="begin"/>
      </w:r>
      <w:r>
        <w:rPr>
          <w:rFonts w:hint="default"/>
        </w:rPr>
        <w:instrText xml:space="preserve"> HYPERLINK "https://web.archive.org/web/20010611131717/http://www.mentalhealth.com/mag1/p5m-tor1.html" </w:instrText>
      </w:r>
      <w:r>
        <w:rPr>
          <w:rFonts w:hint="default"/>
        </w:rPr>
        <w:fldChar w:fldCharType="separate"/>
      </w:r>
      <w:r>
        <w:rPr>
          <w:rStyle w:val="10"/>
          <w:rFonts w:hint="default" w:hAnsi="sans-serif" w:eastAsia="sans-serif" w:cs="sans-serif" w:asciiTheme="minorAscii"/>
          <w:i w:val="0"/>
          <w:caps w:val="0"/>
          <w:color w:val="auto"/>
          <w:spacing w:val="0"/>
          <w:szCs w:val="21"/>
          <w:u w:val="none"/>
        </w:rPr>
        <w:t>Archived</w:t>
      </w:r>
      <w:r>
        <w:rPr>
          <w:rFonts w:hint="default"/>
        </w:rPr>
        <w:fldChar w:fldCharType="end"/>
      </w:r>
      <w:r>
        <w:rPr>
          <w:rFonts w:hint="default"/>
        </w:rPr>
        <w:t> 11 June 2001 at the </w:t>
      </w:r>
      <w:r>
        <w:rPr>
          <w:rFonts w:hint="default"/>
        </w:rPr>
        <w:fldChar w:fldCharType="begin"/>
      </w:r>
      <w:r>
        <w:rPr>
          <w:rFonts w:hint="default"/>
        </w:rPr>
        <w:instrText xml:space="preserve"> HYPERLINK "https://en.wikipedia.org/wiki/Wayback_Machine" \o "Wayback Machine" </w:instrText>
      </w:r>
      <w:r>
        <w:rPr>
          <w:rFonts w:hint="default"/>
        </w:rPr>
        <w:fldChar w:fldCharType="separate"/>
      </w:r>
      <w:r>
        <w:rPr>
          <w:rStyle w:val="10"/>
          <w:rFonts w:hint="default" w:hAnsi="sans-serif" w:eastAsia="sans-serif" w:cs="sans-serif" w:asciiTheme="minorAscii"/>
          <w:i w:val="0"/>
          <w:caps w:val="0"/>
          <w:color w:val="auto"/>
          <w:spacing w:val="0"/>
          <w:szCs w:val="21"/>
          <w:u w:val="none"/>
        </w:rPr>
        <w:t>Wayback Machine</w:t>
      </w:r>
      <w:r>
        <w:rPr>
          <w:rFonts w:hint="default"/>
        </w:rPr>
        <w:fldChar w:fldCharType="end"/>
      </w:r>
      <w:r>
        <w:rPr>
          <w:rFonts w:hint="default"/>
        </w:rPr>
        <w:t>., The Medical Post, 16 July 1996. </w:t>
      </w:r>
    </w:p>
  </w:footnote>
  <w:footnote w:id="1">
    <w:p>
      <w:r>
        <w:rPr>
          <w:rStyle w:val="9"/>
          <w:rFonts w:asciiTheme="minorAscii"/>
          <w:color w:val="auto"/>
          <w:szCs w:val="21"/>
        </w:rPr>
        <w:footnoteRef/>
      </w:r>
      <w:r>
        <w:t xml:space="preserve"> (Www-sciencedirect-com.ezproxy.uwtsd.ac.uk, 2017)</w:t>
      </w:r>
    </w:p>
  </w:footnote>
  <w:footnote w:id="2">
    <w:p>
      <w:r>
        <w:rPr>
          <w:rStyle w:val="9"/>
          <w:rFonts w:asciiTheme="minorAscii"/>
          <w:color w:val="auto"/>
          <w:szCs w:val="21"/>
        </w:rPr>
        <w:footnoteRef/>
      </w:r>
      <w:r>
        <w:t xml:space="preserve">  </w:t>
      </w:r>
      <w:r>
        <w:rPr>
          <w:rFonts w:hint="default"/>
        </w:rPr>
        <w:t>(Www-sciencedirect-com.ezproxy.uwtsd.ac.uk, 2017)</w:t>
      </w:r>
    </w:p>
  </w:footnote>
  <w:footnote w:id="3">
    <w:p>
      <w:r>
        <w:rPr>
          <w:rStyle w:val="9"/>
          <w:rFonts w:asciiTheme="minorAscii"/>
          <w:color w:val="auto"/>
          <w:szCs w:val="21"/>
        </w:rPr>
        <w:footnoteRef/>
      </w:r>
      <w:r>
        <w:t xml:space="preserve"> </w:t>
      </w:r>
      <w:r>
        <w:rPr>
          <w:rFonts w:hint="default"/>
          <w:lang w:val="en-GB"/>
        </w:rPr>
        <w:t>Hodder, Harbour Fraser (September 2003).</w:t>
      </w:r>
    </w:p>
  </w:footnote>
  <w:footnote w:id="4">
    <w:p>
      <w:r>
        <w:rPr>
          <w:rStyle w:val="9"/>
          <w:rFonts w:asciiTheme="minorAscii"/>
          <w:color w:val="auto"/>
          <w:szCs w:val="21"/>
        </w:rPr>
        <w:footnoteRef/>
      </w:r>
      <w:r>
        <w:t xml:space="preserve"> </w:t>
      </w:r>
      <w:r>
        <w:rPr>
          <w:rFonts w:hint="default"/>
        </w:rPr>
        <w:t>Plut. Caes. 17</w:t>
      </w:r>
      <w:r>
        <w:rPr>
          <w:rFonts w:hint="default"/>
          <w:lang w:val="en-GB"/>
        </w:rPr>
        <w:t>. Trans Perrin</w:t>
      </w:r>
    </w:p>
  </w:footnote>
  <w:footnote w:id="5">
    <w:p>
      <w:r>
        <w:rPr>
          <w:rStyle w:val="9"/>
          <w:rFonts w:asciiTheme="minorAscii"/>
          <w:color w:val="auto"/>
          <w:szCs w:val="21"/>
        </w:rPr>
        <w:footnoteRef/>
      </w:r>
      <w:r>
        <w:t xml:space="preserve"> Lovano, 2015)</w:t>
      </w:r>
    </w:p>
  </w:footnote>
  <w:footnote w:id="6">
    <w:p>
      <w:r>
        <w:rPr>
          <w:rStyle w:val="9"/>
          <w:rFonts w:asciiTheme="minorAscii"/>
          <w:szCs w:val="21"/>
        </w:rPr>
        <w:footnoteRef/>
      </w:r>
      <w:r>
        <w:t xml:space="preserve"> </w:t>
      </w:r>
      <w:r>
        <w:rPr>
          <w:lang w:val="en-GB"/>
        </w:rPr>
        <w:t>Bennes. J Hillard. T. 2001. 135-140</w:t>
      </w:r>
    </w:p>
  </w:footnote>
  <w:footnote w:id="7">
    <w:p>
      <w:r>
        <w:rPr>
          <w:rStyle w:val="9"/>
        </w:rPr>
        <w:footnoteRef/>
      </w:r>
      <w:r>
        <w:t xml:space="preserve"> </w:t>
      </w:r>
      <w:r>
        <w:rPr>
          <w:lang w:val="en-GB"/>
        </w:rPr>
        <w:t>Potter. 2014</w:t>
      </w:r>
    </w:p>
  </w:footnote>
  <w:footnote w:id="8">
    <w:p>
      <w:r>
        <w:rPr>
          <w:rStyle w:val="9"/>
        </w:rPr>
        <w:footnoteRef/>
      </w:r>
      <w:r>
        <w:t xml:space="preserve"> </w:t>
      </w:r>
      <w:r>
        <w:rPr>
          <w:lang w:val="en-GB"/>
        </w:rPr>
        <w:t>Potter. 2014</w:t>
      </w:r>
    </w:p>
  </w:footnote>
  <w:footnote w:id="9">
    <w:p>
      <w:r>
        <w:rPr>
          <w:rStyle w:val="9"/>
        </w:rPr>
        <w:footnoteRef/>
      </w:r>
      <w:r>
        <w:t xml:space="preserve"> </w:t>
      </w:r>
      <w:r>
        <w:rPr>
          <w:lang w:val="en-GB"/>
        </w:rPr>
        <w:t>Potter. 2014</w:t>
      </w:r>
    </w:p>
  </w:footnote>
  <w:footnote w:id="10">
    <w:p>
      <w:r>
        <w:rPr>
          <w:rStyle w:val="9"/>
        </w:rPr>
        <w:footnoteRef/>
      </w:r>
      <w:r>
        <w:t xml:space="preserve"> </w:t>
      </w:r>
      <w:r>
        <w:rPr>
          <w:lang w:val="en-GB"/>
        </w:rPr>
        <w:t>Potter. 2014</w:t>
      </w:r>
    </w:p>
  </w:footnote>
  <w:footnote w:id="11">
    <w:p>
      <w:r>
        <w:rPr>
          <w:rStyle w:val="9"/>
        </w:rPr>
        <w:footnoteRef/>
      </w:r>
      <w:r>
        <w:t xml:space="preserve"> Ninds.nih.gov, 2017</w:t>
      </w:r>
    </w:p>
  </w:footnote>
  <w:footnote w:id="12">
    <w:p>
      <w:r>
        <w:rPr>
          <w:rStyle w:val="9"/>
        </w:rPr>
        <w:footnoteRef/>
      </w:r>
      <w:r>
        <w:t xml:space="preserve"> </w:t>
      </w:r>
      <w:r>
        <w:rPr>
          <w:lang w:val="en-GB"/>
        </w:rPr>
        <w:t>Claud. Suet. Trans Ihm</w:t>
      </w:r>
    </w:p>
  </w:footnote>
  <w:footnote w:id="13">
    <w:p>
      <w:r>
        <w:rPr>
          <w:rStyle w:val="9"/>
        </w:rPr>
        <w:footnoteRef/>
      </w:r>
      <w:r>
        <w:t xml:space="preserve"> </w:t>
      </w:r>
      <w:r>
        <w:rPr>
          <w:lang w:val="en-GB"/>
        </w:rPr>
        <w:t>Claud. Suet. Trans Ihm</w:t>
      </w:r>
    </w:p>
  </w:footnote>
  <w:footnote w:id="14">
    <w:p>
      <w:r>
        <w:rPr>
          <w:rStyle w:val="9"/>
        </w:rPr>
        <w:footnoteRef/>
      </w:r>
      <w:r>
        <w:t xml:space="preserve"> McCarty</w:t>
      </w:r>
      <w:r>
        <w:rPr>
          <w:lang w:val="en-GB"/>
        </w:rPr>
        <w:t>. 2008</w:t>
      </w:r>
    </w:p>
  </w:footnote>
  <w:footnote w:id="15">
    <w:p>
      <w:r>
        <w:rPr>
          <w:rStyle w:val="9"/>
        </w:rPr>
        <w:footnoteRef/>
      </w:r>
      <w:r>
        <w:rPr>
          <w:lang w:val="en-GB"/>
        </w:rPr>
        <w:t xml:space="preserve"> </w:t>
      </w:r>
      <w:r>
        <w:t>Hornblower, Spawforth and Eidinow, 201</w:t>
      </w:r>
      <w:r>
        <w:rPr>
          <w:lang w:val="en-GB"/>
        </w:rPr>
        <w:t>3</w:t>
      </w:r>
    </w:p>
  </w:footnote>
  <w:footnote w:id="16">
    <w:p>
      <w:r>
        <w:rPr>
          <w:rStyle w:val="9"/>
        </w:rPr>
        <w:footnoteRef/>
      </w:r>
      <w:r>
        <w:t xml:space="preserve"> Mellor</w:t>
      </w:r>
      <w:r>
        <w:rPr>
          <w:lang w:val="en-GB"/>
        </w:rPr>
        <w:t>. 2013</w:t>
      </w:r>
    </w:p>
  </w:footnote>
  <w:footnote w:id="17">
    <w:p>
      <w:r>
        <w:rPr>
          <w:rStyle w:val="9"/>
        </w:rPr>
        <w:footnoteRef/>
      </w:r>
      <w:r>
        <w:t xml:space="preserve"> Mellor</w:t>
      </w:r>
      <w:r>
        <w:rPr>
          <w:lang w:val="en-GB"/>
        </w:rPr>
        <w:t>. 2013</w:t>
      </w:r>
    </w:p>
  </w:footnote>
  <w:footnote w:id="18">
    <w:p>
      <w:r>
        <w:rPr>
          <w:rStyle w:val="9"/>
        </w:rPr>
        <w:footnoteRef/>
      </w:r>
      <w:r>
        <w:t xml:space="preserve"> Delahunty</w:t>
      </w:r>
      <w:r>
        <w:rPr>
          <w:lang w:val="en-GB"/>
        </w:rPr>
        <w:t>,</w:t>
      </w:r>
      <w:r>
        <w:t xml:space="preserve"> Dignen, 2010</w:t>
      </w:r>
    </w:p>
  </w:footnote>
  <w:footnote w:id="19">
    <w:p>
      <w:pPr>
        <w:rPr>
          <w:sz w:val="21"/>
          <w:szCs w:val="21"/>
        </w:rPr>
      </w:pPr>
      <w:r>
        <w:rPr>
          <w:rStyle w:val="9"/>
        </w:rPr>
        <w:footnoteRef/>
      </w:r>
      <w:r>
        <w:rPr>
          <w:sz w:val="21"/>
          <w:szCs w:val="21"/>
        </w:rPr>
        <w:t xml:space="preserve"> Delahunty and Dignen, 2010</w:t>
      </w:r>
    </w:p>
  </w:footnote>
  <w:footnote w:id="20">
    <w:p>
      <w:pPr>
        <w:rPr>
          <w:sz w:val="21"/>
          <w:szCs w:val="21"/>
        </w:rPr>
      </w:pPr>
      <w:r>
        <w:rPr>
          <w:rStyle w:val="9"/>
          <w:sz w:val="21"/>
          <w:szCs w:val="21"/>
        </w:rPr>
        <w:footnoteRef/>
      </w:r>
      <w:r>
        <w:rPr>
          <w:sz w:val="21"/>
          <w:szCs w:val="21"/>
        </w:rPr>
        <w:t xml:space="preserve"> </w:t>
      </w:r>
      <w:r>
        <w:rPr>
          <w:rFonts w:hint="default"/>
          <w:sz w:val="21"/>
          <w:szCs w:val="21"/>
        </w:rPr>
        <w:t>Plut. Caes. 17</w:t>
      </w:r>
      <w:r>
        <w:rPr>
          <w:rFonts w:hint="default"/>
          <w:sz w:val="21"/>
          <w:szCs w:val="21"/>
          <w:lang w:val="en-GB"/>
        </w:rPr>
        <w:t>. Trans Perrin</w:t>
      </w:r>
    </w:p>
  </w:footnote>
  <w:footnote w:id="21">
    <w:p>
      <w:pPr>
        <w:rPr>
          <w:sz w:val="21"/>
          <w:szCs w:val="21"/>
        </w:rPr>
      </w:pPr>
      <w:r>
        <w:rPr>
          <w:rStyle w:val="9"/>
          <w:sz w:val="21"/>
          <w:szCs w:val="21"/>
        </w:rPr>
        <w:footnoteRef/>
      </w:r>
      <w:r>
        <w:rPr>
          <w:sz w:val="21"/>
          <w:szCs w:val="21"/>
        </w:rPr>
        <w:t xml:space="preserve"> </w:t>
      </w:r>
      <w:r>
        <w:rPr>
          <w:sz w:val="21"/>
          <w:szCs w:val="21"/>
          <w:lang w:val="en-GB"/>
        </w:rPr>
        <w:t>Potter. 2014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44"/>
    <w:footnote w:id="45"/>
  </w:footnotePr>
  <w:endnotePr>
    <w:endnote w:id="0"/>
    <w:endnote w:id="1"/>
  </w:endnotePr>
  <w:compat>
    <w:spaceForUL/>
    <w:balanceSingleByteDoubleByteWidth/>
    <w:doNotLeaveBackslashAlon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CB66801"/>
    <w:rsid w:val="1CEE4688"/>
    <w:rsid w:val="29D8620A"/>
    <w:rsid w:val="43C56108"/>
    <w:rsid w:val="688D17DA"/>
    <w:rsid w:val="68A15916"/>
    <w:rsid w:val="75041EC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link w:val="13"/>
    <w:qFormat/>
    <w:uiPriority w:val="0"/>
    <w:pPr>
      <w:keepNext/>
      <w:keepLines/>
      <w:spacing w:before="340" w:after="330" w:line="578" w:lineRule="auto"/>
      <w:outlineLvl w:val="0"/>
    </w:pPr>
    <w:rPr>
      <w:b/>
      <w:bCs/>
      <w:kern w:val="44"/>
      <w:sz w:val="44"/>
      <w:szCs w:val="44"/>
    </w:rPr>
  </w:style>
  <w:style w:type="paragraph" w:styleId="3">
    <w:name w:val="heading 2"/>
    <w:basedOn w:val="1"/>
    <w:next w:val="1"/>
    <w:unhideWhenUsed/>
    <w:qFormat/>
    <w:uiPriority w:val="0"/>
    <w:pPr>
      <w:keepNext/>
      <w:keepLines/>
      <w:spacing w:before="260" w:after="260" w:line="416" w:lineRule="auto"/>
      <w:outlineLvl w:val="1"/>
    </w:pPr>
    <w:rPr>
      <w:b/>
      <w:bCs/>
      <w:sz w:val="32"/>
      <w:szCs w:val="32"/>
    </w:rPr>
  </w:style>
  <w:style w:type="character" w:default="1" w:styleId="8">
    <w:name w:val="Default Paragraph Font"/>
    <w:semiHidden/>
    <w:qFormat/>
    <w:uiPriority w:val="0"/>
  </w:style>
  <w:style w:type="table" w:default="1" w:styleId="12">
    <w:name w:val="Normal Table"/>
    <w:semiHidden/>
    <w:qFormat/>
    <w:uiPriority w:val="0"/>
    <w:tblPr>
      <w:tblLayout w:type="fixed"/>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szCs w:val="18"/>
    </w:rPr>
  </w:style>
  <w:style w:type="paragraph" w:styleId="5">
    <w:name w:val="footnote text"/>
    <w:basedOn w:val="1"/>
    <w:uiPriority w:val="0"/>
    <w:pPr>
      <w:snapToGrid w:val="0"/>
      <w:jc w:val="left"/>
    </w:pPr>
    <w:rPr>
      <w:sz w:val="18"/>
      <w:szCs w:val="18"/>
    </w:rPr>
  </w:style>
  <w:style w:type="paragraph" w:styleId="6">
    <w:name w:val="header"/>
    <w:basedOn w:val="1"/>
    <w:qFormat/>
    <w:uiPriority w:val="0"/>
    <w:pPr>
      <w:tabs>
        <w:tab w:val="center" w:pos="4153"/>
        <w:tab w:val="right" w:pos="8306"/>
      </w:tabs>
      <w:snapToGrid w:val="0"/>
    </w:pPr>
    <w:rPr>
      <w:sz w:val="18"/>
      <w:szCs w:val="18"/>
    </w:rPr>
  </w:style>
  <w:style w:type="paragraph" w:styleId="7">
    <w:name w:val="Normal (Web)"/>
    <w:qFormat/>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9">
    <w:name w:val="footnote reference"/>
    <w:basedOn w:val="8"/>
    <w:qFormat/>
    <w:uiPriority w:val="0"/>
    <w:rPr>
      <w:vertAlign w:val="superscript"/>
    </w:rPr>
  </w:style>
  <w:style w:type="character" w:styleId="10">
    <w:name w:val="Hyperlink"/>
    <w:basedOn w:val="8"/>
    <w:qFormat/>
    <w:uiPriority w:val="0"/>
    <w:rPr>
      <w:color w:val="0000FF"/>
      <w:u w:val="single"/>
    </w:rPr>
  </w:style>
  <w:style w:type="character" w:styleId="11">
    <w:name w:val="Strong"/>
    <w:basedOn w:val="8"/>
    <w:qFormat/>
    <w:uiPriority w:val="0"/>
    <w:rPr>
      <w:b/>
      <w:bCs/>
    </w:rPr>
  </w:style>
  <w:style w:type="character" w:customStyle="1" w:styleId="13">
    <w:name w:val="Heading 1 Char"/>
    <w:link w:val="2"/>
    <w:qFormat/>
    <w:uiPriority w:val="0"/>
    <w:rPr>
      <w:b/>
      <w:bCs/>
      <w:kern w:val="44"/>
      <w:sz w:val="44"/>
      <w:szCs w:val="44"/>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Office_10.2.0.5965_F1E327BC-269C-435d-A152-05C5408002CA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2017-11-23T18:29:00Z</dcterms:created>
  <dc:creator>Jeff</dc:creator>
  <cp:lastModifiedBy>Jeff</cp:lastModifiedBy>
  <dcterms:modified xsi:type="dcterms:W3CDTF">2017-11-27T23:58:17Z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1033-10.2.0.5965</vt:lpwstr>
  </property>
</Properties>
</file>