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tbl>
      <w:tblPr>
        <w:tblW w:w="15390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dd4e9"/>
        <w:tblLayout w:type="fixed"/>
      </w:tblPr>
      <w:tblGrid>
        <w:gridCol w:w="2291"/>
        <w:gridCol w:w="1930"/>
        <w:gridCol w:w="1440"/>
        <w:gridCol w:w="2686"/>
        <w:gridCol w:w="2637"/>
        <w:gridCol w:w="4406"/>
      </w:tblGrid>
      <w:tr>
        <w:tblPrEx>
          <w:shd w:val="clear" w:color="auto" w:fill="cdd4e9"/>
        </w:tblPrEx>
        <w:trPr>
          <w:trHeight w:val="243" w:hRule="atLeast"/>
        </w:trPr>
        <w:tc>
          <w:tcPr>
            <w:tcW w:type="dxa" w:w="229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Why</w:t>
            </w:r>
          </w:p>
        </w:tc>
        <w:tc>
          <w:tcPr>
            <w:tcW w:type="dxa" w:w="19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Who</w:t>
            </w:r>
          </w:p>
        </w:tc>
        <w:tc>
          <w:tcPr>
            <w:tcW w:type="dxa" w:w="143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Where</w:t>
            </w:r>
          </w:p>
        </w:tc>
        <w:tc>
          <w:tcPr>
            <w:tcW w:type="dxa" w:w="268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How</w:t>
            </w:r>
          </w:p>
        </w:tc>
        <w:tc>
          <w:tcPr>
            <w:tcW w:type="dxa" w:w="263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When</w:t>
            </w:r>
          </w:p>
        </w:tc>
        <w:tc>
          <w:tcPr>
            <w:tcW w:type="dxa" w:w="44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Cost</w:t>
            </w:r>
          </w:p>
        </w:tc>
      </w:tr>
      <w:tr>
        <w:tblPrEx>
          <w:shd w:val="clear" w:color="auto" w:fill="cdd4e9"/>
        </w:tblPrEx>
        <w:trPr>
          <w:trHeight w:val="243" w:hRule="atLeast"/>
        </w:trPr>
        <w:tc>
          <w:tcPr>
            <w:tcW w:type="dxa" w:w="15390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eeaf6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 xml:space="preserve">Recommendation 1: </w:t>
            </w: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Implement a new overtime arrangement</w:t>
            </w:r>
          </w:p>
        </w:tc>
      </w:tr>
      <w:tr>
        <w:tblPrEx>
          <w:shd w:val="clear" w:color="auto" w:fill="cdd4e9"/>
        </w:tblPrEx>
        <w:trPr>
          <w:trHeight w:val="6003" w:hRule="atLeast"/>
        </w:trPr>
        <w:tc>
          <w:tcPr>
            <w:tcW w:type="dxa" w:w="229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rPr>
                <w:lang w:val="en-US"/>
              </w:rPr>
            </w:pPr>
            <w:r>
              <w:rPr>
                <w:rtl w:val="0"/>
                <w:lang w:val="en-US"/>
              </w:rPr>
              <w:t>Overtime is paid at various rates depending on time of day/week. This does not fall in line with industry standard and brings a cost burden, this includes Bank Holidays (Thatcher, 2021). An exception would be to attain double time on Christmas Day and New Year</w:t>
            </w:r>
            <w:r>
              <w:rPr>
                <w:rtl w:val="0"/>
                <w:lang w:val="en-US"/>
              </w:rPr>
              <w:t>’</w:t>
            </w:r>
            <w:r>
              <w:rPr>
                <w:rtl w:val="0"/>
                <w:lang w:val="en-US"/>
              </w:rPr>
              <w:t>s Day.</w:t>
            </w: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</w:pPr>
            <w:r>
              <w:rPr>
                <w:lang w:val="en-US"/>
              </w:rPr>
            </w:r>
          </w:p>
        </w:tc>
        <w:tc>
          <w:tcPr>
            <w:tcW w:type="dxa" w:w="19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Impact on all VA colleagues.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Action needed by HR and Managers to consult with colleagues. 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Head of Service to provide input on agreed rates in line with budget.</w:t>
            </w:r>
          </w:p>
        </w:tc>
        <w:tc>
          <w:tcPr>
            <w:tcW w:type="dxa" w:w="143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This will affect all contract types within VA at all 5 sites.</w:t>
            </w:r>
          </w:p>
        </w:tc>
        <w:tc>
          <w:tcPr>
            <w:tcW w:type="dxa" w:w="268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Consultation will need to be started with colleagues around what the change will be and the need. Industry background will be beneficial here to contextualise to colleagues the differences.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Training is needed for managers on rota management to avoid unnecessary overtime being processed when annualised hours have not been utilised first. </w:t>
            </w:r>
          </w:p>
        </w:tc>
        <w:tc>
          <w:tcPr>
            <w:tcW w:type="dxa" w:w="263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</w:pPr>
            <w:r>
              <w:rPr>
                <w:rtl w:val="0"/>
                <w:lang w:val="en-US"/>
              </w:rPr>
              <w:t xml:space="preserve">This change should be effective April 2025. The 12 week consultation process needs to begin in January to cover for any potential extensions. </w:t>
            </w:r>
          </w:p>
        </w:tc>
        <w:tc>
          <w:tcPr>
            <w:tcW w:type="dxa" w:w="44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line="240" w:lineRule="auto"/>
              <w:ind w:left="0" w:right="0" w:firstLine="0"/>
              <w:jc w:val="left"/>
              <w:rPr>
                <w:rFonts w:ascii="Arial" w:cs="Arial" w:hAnsi="Arial" w:eastAsia="Arial"/>
                <w:sz w:val="22"/>
                <w:szCs w:val="22"/>
                <w:rtl w:val="0"/>
              </w:rPr>
            </w:pPr>
            <w:r>
              <w:rPr>
                <w:rFonts w:ascii="Arial" w:hAnsi="Arial"/>
                <w:sz w:val="22"/>
                <w:szCs w:val="22"/>
                <w:u w:val="single"/>
                <w:rtl w:val="0"/>
              </w:rPr>
              <w:t>2023</w:t>
            </w:r>
            <w:r>
              <w:rPr>
                <w:rFonts w:ascii="Arial" w:hAnsi="Arial"/>
                <w:sz w:val="22"/>
                <w:szCs w:val="22"/>
                <w:u w:val="single"/>
                <w:rtl w:val="0"/>
                <w:lang w:val="en-US"/>
              </w:rPr>
              <w:t xml:space="preserve"> costs:</w:t>
            </w:r>
            <w:r>
              <w:rPr>
                <w:rFonts w:ascii="Arial" w:hAnsi="Arial"/>
                <w:sz w:val="22"/>
                <w:szCs w:val="22"/>
                <w:rtl w:val="0"/>
              </w:rPr>
              <w:t xml:space="preserve"> </w:t>
            </w:r>
          </w:p>
          <w:p>
            <w:pPr>
              <w:pStyle w:val="Default"/>
              <w:numPr>
                <w:ilvl w:val="0"/>
                <w:numId w:val="1"/>
              </w:numPr>
              <w:bidi w:val="0"/>
              <w:spacing w:before="0" w:line="240" w:lineRule="auto"/>
              <w:ind w:right="0"/>
              <w:jc w:val="left"/>
              <w:rPr>
                <w:rFonts w:ascii="Arial" w:hAnsi="Arial"/>
                <w:sz w:val="22"/>
                <w:szCs w:val="22"/>
                <w:rtl w:val="0"/>
                <w:lang w:val="en-US"/>
              </w:rPr>
            </w:pP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Bank Holiday d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ouble time on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-</w:t>
            </w:r>
            <w:r>
              <w:rPr>
                <w:rFonts w:ascii="Arial" w:hAnsi="Arial"/>
                <w:sz w:val="22"/>
                <w:szCs w:val="22"/>
                <w:rtl w:val="0"/>
              </w:rPr>
              <w:t xml:space="preserve"> </w:t>
            </w:r>
            <w:r>
              <w:rPr>
                <w:rFonts w:ascii="Arial" w:hAnsi="Arial" w:hint="default"/>
                <w:b w:val="1"/>
                <w:bCs w:val="1"/>
                <w:sz w:val="22"/>
                <w:szCs w:val="22"/>
                <w:rtl w:val="0"/>
              </w:rPr>
              <w:t>£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rtl w:val="0"/>
              </w:rPr>
              <w:t>28,733.79</w:t>
            </w:r>
          </w:p>
          <w:p>
            <w:pPr>
              <w:pStyle w:val="Default"/>
              <w:numPr>
                <w:ilvl w:val="0"/>
                <w:numId w:val="1"/>
              </w:numPr>
              <w:bidi w:val="0"/>
              <w:spacing w:before="0" w:line="240" w:lineRule="auto"/>
              <w:ind w:right="0"/>
              <w:jc w:val="left"/>
              <w:rPr>
                <w:rFonts w:ascii="Arial" w:hAnsi="Arial"/>
                <w:sz w:val="22"/>
                <w:szCs w:val="22"/>
                <w:rtl w:val="0"/>
                <w:lang w:val="en-US"/>
              </w:rPr>
            </w:pP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Overtime claims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made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between January and November 2023 for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single</w:t>
            </w:r>
            <w:r>
              <w:rPr>
                <w:rFonts w:ascii="Arial" w:hAnsi="Arial"/>
                <w:sz w:val="22"/>
                <w:szCs w:val="22"/>
                <w:rtl w:val="0"/>
              </w:rPr>
              <w:t>,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time and a half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and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double time payments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totalled to </w:t>
            </w:r>
            <w:r>
              <w:rPr>
                <w:rFonts w:ascii="Arial" w:hAnsi="Arial" w:hint="default"/>
                <w:b w:val="1"/>
                <w:bCs w:val="1"/>
                <w:sz w:val="22"/>
                <w:szCs w:val="22"/>
                <w:rtl w:val="0"/>
              </w:rPr>
              <w:t>£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rtl w:val="0"/>
              </w:rPr>
              <w:t>16,935.78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rtl w:val="0"/>
                <w:lang w:val="en-US"/>
              </w:rPr>
              <w:t xml:space="preserve">.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T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he individuals had not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completed their contracted annualised hours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so overtime was not contractually applicable.</w:t>
            </w:r>
          </w:p>
          <w:p>
            <w:pPr>
              <w:pStyle w:val="Default"/>
              <w:numPr>
                <w:ilvl w:val="0"/>
                <w:numId w:val="1"/>
              </w:numPr>
              <w:bidi w:val="0"/>
              <w:spacing w:before="0" w:line="240" w:lineRule="auto"/>
              <w:ind w:right="0"/>
              <w:jc w:val="left"/>
              <w:rPr>
                <w:rFonts w:ascii="Arial" w:hAnsi="Arial"/>
                <w:sz w:val="22"/>
                <w:szCs w:val="22"/>
                <w:rtl w:val="0"/>
                <w:lang w:val="en-US"/>
              </w:rPr>
            </w:pP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Total - </w:t>
            </w:r>
            <w:r>
              <w:rPr>
                <w:rFonts w:ascii="Arial" w:hAnsi="Arial" w:hint="default"/>
                <w:b w:val="1"/>
                <w:bCs w:val="1"/>
                <w:sz w:val="22"/>
                <w:szCs w:val="22"/>
                <w:rtl w:val="0"/>
                <w:lang w:val="en-US"/>
              </w:rPr>
              <w:t>£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rtl w:val="0"/>
                <w:lang w:val="en-US"/>
              </w:rPr>
              <w:t xml:space="preserve">45,724.57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(this could be 100% saved if changes are adopted)</w:t>
            </w:r>
          </w:p>
        </w:tc>
      </w:tr>
      <w:tr>
        <w:tblPrEx>
          <w:shd w:val="clear" w:color="auto" w:fill="cdd4e9"/>
        </w:tblPrEx>
        <w:trPr>
          <w:trHeight w:val="243" w:hRule="atLeast"/>
        </w:trPr>
        <w:tc>
          <w:tcPr>
            <w:tcW w:type="dxa" w:w="15390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eeaf6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 xml:space="preserve">Recommendation 2: </w:t>
            </w: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Consolidate contract types to better match working patterns</w:t>
            </w:r>
          </w:p>
        </w:tc>
      </w:tr>
      <w:tr>
        <w:tblPrEx>
          <w:shd w:val="clear" w:color="auto" w:fill="cdd4e9"/>
        </w:tblPrEx>
        <w:trPr>
          <w:trHeight w:val="5043" w:hRule="atLeast"/>
        </w:trPr>
        <w:tc>
          <w:tcPr>
            <w:tcW w:type="dxa" w:w="229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</w:pPr>
            <w:r>
              <w:rPr>
                <w:rtl w:val="0"/>
                <w:lang w:val="en-US"/>
              </w:rPr>
              <w:t>Ethically</w:t>
            </w:r>
            <w:r>
              <w:rPr>
                <w:rtl w:val="0"/>
                <w:lang w:val="en-US"/>
              </w:rPr>
              <w:t>, an employee consistently working certain hours should have a contract that reflects this. This use of casual contracts does not create a good level of job security (</w:t>
            </w:r>
            <w:r>
              <w:rPr>
                <w:rtl w:val="0"/>
                <w:lang w:val="en-US"/>
              </w:rPr>
              <w:t>Fitriano, Jufrizen and Rohim, 2023)</w:t>
            </w:r>
            <w:r>
              <w:rPr>
                <w:rtl w:val="0"/>
                <w:lang w:val="en-US"/>
              </w:rPr>
              <w:t xml:space="preserve">. Internally, there are reward implications of being on a casual contract, such as lack of company of sick pay and bonus payment eligibility. </w:t>
            </w:r>
          </w:p>
        </w:tc>
        <w:tc>
          <w:tcPr>
            <w:tcW w:type="dxa" w:w="19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M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anagers need to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conduct a review. Head of Service will give approval to convert the contracts identified.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Not all colleagues will be affected, but the review needs to include all employees so this can be determined.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Acceptance of new contracts will be down to individuals.</w:t>
            </w:r>
          </w:p>
        </w:tc>
        <w:tc>
          <w:tcPr>
            <w:tcW w:type="dxa" w:w="143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</w:pPr>
            <w:r>
              <w:rPr>
                <w:rtl w:val="0"/>
                <w:lang w:val="en-US"/>
              </w:rPr>
              <w:t>This will need to take place at all VA sites to ensure a consistent approach is taken.</w:t>
            </w:r>
          </w:p>
        </w:tc>
        <w:tc>
          <w:tcPr>
            <w:tcW w:type="dxa" w:w="268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Identify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who is consistently working the same average number of hours per week,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the time period for this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and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whether there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are any immediate plans for this to change (with a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business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fr-FR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justification).</w:t>
            </w:r>
            <w:r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r>
          </w:p>
        </w:tc>
        <w:tc>
          <w:tcPr>
            <w:tcW w:type="dxa" w:w="263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The implementation date should be April 2025. 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This will give managers time to prepare their structures ahead of the Summer season commencing. </w:t>
            </w:r>
          </w:p>
        </w:tc>
        <w:tc>
          <w:tcPr>
            <w:tcW w:type="dxa" w:w="44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There will be no cost increase from a working hours perspective as the hours have been paid at the same rate whether on a casual or permanent contract.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There will be difference when counting payments for the bonus scheme, sick leave and family friendly schemes. The latter 2 are difficult to predict as some colleagues won</w:t>
            </w:r>
            <w:r>
              <w:rPr>
                <w:rFonts w:ascii="Arial" w:cs="Arial Unicode MS" w:hAnsi="Arial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t naturally utilise these.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Bonus Payment amount - </w:t>
            </w:r>
            <w:r>
              <w:rPr>
                <w:rFonts w:ascii="Arial" w:cs="Arial Unicode MS" w:hAnsi="Arial" w:eastAsia="Arial Unicode MS" w:hint="default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£</w:t>
            </w: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1000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 per colleague per year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Company Sick Pay - </w:t>
            </w:r>
            <w:r>
              <w:rPr>
                <w:rFonts w:ascii="Arial" w:cs="Arial Unicode MS" w:hAnsi="Arial" w:eastAsia="Arial Unicode MS" w:hint="default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£</w:t>
            </w: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379.46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 (average per person - 2023)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Total potential impact - </w:t>
            </w:r>
            <w:r>
              <w:rPr>
                <w:rFonts w:ascii="Arial" w:cs="Arial Unicode MS" w:hAnsi="Arial" w:eastAsia="Arial Unicode MS" w:hint="default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£</w:t>
            </w: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1379.46 x 30 = </w:t>
            </w:r>
            <w:r>
              <w:rPr>
                <w:rFonts w:ascii="Arial" w:cs="Arial Unicode MS" w:hAnsi="Arial" w:eastAsia="Arial Unicode MS" w:hint="default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£</w:t>
            </w: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41,383.80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1"/>
                <w:iCs w:val="1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Based on converting 30 colleagues to permanent contracts.</w:t>
            </w:r>
          </w:p>
        </w:tc>
      </w:tr>
      <w:tr>
        <w:tblPrEx>
          <w:shd w:val="clear" w:color="auto" w:fill="cdd4e9"/>
        </w:tblPrEx>
        <w:trPr>
          <w:trHeight w:val="243" w:hRule="atLeast"/>
        </w:trPr>
        <w:tc>
          <w:tcPr>
            <w:tcW w:type="dxa" w:w="15390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eeaf6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Recommendation 3:</w:t>
            </w: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 xml:space="preserve"> Retain and promote current family friendly schemes</w:t>
            </w:r>
          </w:p>
        </w:tc>
      </w:tr>
      <w:tr>
        <w:tblPrEx>
          <w:shd w:val="clear" w:color="auto" w:fill="cdd4e9"/>
        </w:tblPrEx>
        <w:trPr>
          <w:trHeight w:val="2643" w:hRule="atLeast"/>
        </w:trPr>
        <w:tc>
          <w:tcPr>
            <w:tcW w:type="dxa" w:w="229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</w:pPr>
            <w:r>
              <w:rPr>
                <w:rtl w:val="0"/>
                <w:lang w:val="en-US"/>
              </w:rPr>
              <w:t>DCWW does not actively promote their family friendly schemes during VA recruitment. This could be excluding a segment of applicants with skills that the department needs</w:t>
            </w:r>
            <w:r>
              <w:rPr>
                <w:rtl w:val="0"/>
                <w:lang w:val="en-US"/>
              </w:rPr>
              <w:t xml:space="preserve"> (C</w:t>
            </w:r>
            <w:r>
              <w:rPr>
                <w:rtl w:val="0"/>
                <w:lang w:val="en-US"/>
              </w:rPr>
              <w:t>aterer.com</w:t>
            </w:r>
            <w:r>
              <w:rPr>
                <w:rtl w:val="0"/>
                <w:lang w:val="en-US"/>
              </w:rPr>
              <w:t xml:space="preserve">, </w:t>
            </w:r>
            <w:r>
              <w:rPr>
                <w:rtl w:val="0"/>
                <w:lang w:val="en-US"/>
              </w:rPr>
              <w:t>2023)</w:t>
            </w:r>
            <w:r>
              <w:rPr>
                <w:rtl w:val="0"/>
                <w:lang w:val="en-US"/>
              </w:rPr>
              <w:t>.</w:t>
            </w:r>
          </w:p>
        </w:tc>
        <w:tc>
          <w:tcPr>
            <w:tcW w:type="dxa" w:w="19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Managers need to work with recruitment to improve promotion of benefits and communicate to current staff.</w:t>
            </w:r>
          </w:p>
        </w:tc>
        <w:tc>
          <w:tcPr>
            <w:tcW w:type="dxa" w:w="143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</w:pPr>
            <w:r>
              <w:rPr>
                <w:rtl w:val="0"/>
                <w:lang w:val="en-US"/>
              </w:rPr>
              <w:t xml:space="preserve">DCWW website and other career channels, e.g. career fairs, internal communications. </w:t>
            </w:r>
          </w:p>
        </w:tc>
        <w:tc>
          <w:tcPr>
            <w:tcW w:type="dxa" w:w="268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Education piece for managers for the benefit of current colleagues. 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Updating current job adverts and the company careers portal to bring the enhanced schemes to the attention of candidates.</w:t>
            </w:r>
          </w:p>
        </w:tc>
        <w:tc>
          <w:tcPr>
            <w:tcW w:type="dxa" w:w="263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Immediately.</w:t>
            </w:r>
          </w:p>
        </w:tc>
        <w:tc>
          <w:tcPr>
            <w:tcW w:type="dxa" w:w="44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No cost for internal changes, e.g. briefing managers, updating careers portal and adverts.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The recruitment team already pay to attend certain careers functions so no additional cost would be required.</w:t>
            </w:r>
          </w:p>
        </w:tc>
      </w:tr>
    </w:tbl>
    <w:p>
      <w:pPr>
        <w:pStyle w:val="Body"/>
        <w:tabs>
          <w:tab w:val="left" w:pos="1760"/>
        </w:tabs>
      </w:pPr>
    </w:p>
    <w:sectPr>
      <w:headerReference w:type="default" r:id="rId4"/>
      <w:footerReference w:type="default" r:id="rId5"/>
      <w:pgSz w:w="16840" w:h="11900" w:orient="landscape"/>
      <w:pgMar w:top="720" w:right="720" w:bottom="720" w:left="72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Calibri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Body"/>
      <w:spacing w:line="360" w:lineRule="auto"/>
      <w:jc w:val="center"/>
    </w:pPr>
    <w:r>
      <w:rPr>
        <w:sz w:val="24"/>
        <w:szCs w:val="24"/>
        <w:rtl w:val="0"/>
        <w:lang w:val="de-DE"/>
      </w:rPr>
      <w:t xml:space="preserve">Name: </w:t>
    </w:r>
    <w:r>
      <w:rPr>
        <w:sz w:val="24"/>
        <w:szCs w:val="24"/>
        <w:rtl w:val="0"/>
        <w:lang w:val="en-US"/>
      </w:rPr>
      <w:t xml:space="preserve">Callum Griffiths-Barlow                                                    </w:t>
    </w:r>
    <w:r>
      <w:rPr>
        <w:sz w:val="24"/>
        <w:szCs w:val="24"/>
        <w:rtl w:val="0"/>
        <w:lang w:val="en-US"/>
      </w:rPr>
      <w:t xml:space="preserve">Student number: </w:t>
    </w:r>
    <w:r>
      <w:rPr>
        <w:sz w:val="24"/>
        <w:szCs w:val="24"/>
        <w:rtl w:val="0"/>
        <w:lang w:val="en-US"/>
      </w:rPr>
      <w:t>2316490</w:t>
    </w:r>
    <w:r>
      <w:rPr>
        <w:b w:val="1"/>
        <w:bCs w:val="1"/>
        <w:sz w:val="28"/>
        <w:szCs w:val="28"/>
        <w:rtl w:val="0"/>
        <w:lang w:val="en-US"/>
      </w:rPr>
      <w:t xml:space="preserve">                                                   </w:t>
    </w:r>
    <w:r>
      <w:rPr>
        <w:sz w:val="24"/>
        <w:szCs w:val="24"/>
        <w:rtl w:val="0"/>
        <w:lang w:val="en-US"/>
      </w:rPr>
      <w:t>Word Count: 629</w:t>
    </w:r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lvl w:ilvl="0">
      <w:start w:val="1"/>
      <w:numFmt w:val="bullet"/>
      <w:suff w:val="tab"/>
      <w:lvlText w:val="-"/>
      <w:lvlJc w:val="left"/>
      <w:pPr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1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1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25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31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3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4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4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59" w:lineRule="auto"/>
      <w:ind w:left="0" w:right="0" w:firstLine="0"/>
      <w:jc w:val="left"/>
      <w:outlineLvl w:val="9"/>
    </w:pPr>
    <w:rPr>
      <w:rFonts w:ascii="Arial" w:cs="Arial Unicode MS" w:hAnsi="Arial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shd w:val="nil" w:color="auto" w:fill="auto"/>
      <w:vertAlign w:val="baseline"/>
      <w:lang w:val="de-DE"/>
      <w14:textOutline>
        <w14:noFill/>
      </w14:textOutline>
      <w14:textFill>
        <w14:solidFill>
          <w14:srgbClr w14:val="000000"/>
        </w14:solidFill>
      </w14:textFill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numbering" Target="numbering.xml"/><Relationship Id="rId7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