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27C46" w14:textId="75207466" w:rsidR="00CA0D25" w:rsidRDefault="00CA0D25" w:rsidP="00CA0D25">
      <w:pPr>
        <w:spacing w:line="360" w:lineRule="auto"/>
        <w:rPr>
          <w:rFonts w:ascii="Arial" w:hAnsi="Arial" w:cs="Arial"/>
          <w:b/>
          <w:bCs/>
          <w:sz w:val="36"/>
          <w:szCs w:val="36"/>
          <w:u w:val="single"/>
        </w:rPr>
      </w:pPr>
      <w:r w:rsidRPr="00CA0D25">
        <w:rPr>
          <w:rFonts w:ascii="Arial" w:hAnsi="Arial" w:cs="Arial"/>
          <w:b/>
          <w:bCs/>
          <w:sz w:val="36"/>
          <w:szCs w:val="36"/>
          <w:u w:val="single"/>
        </w:rPr>
        <w:t xml:space="preserve">Critically reflect on your progress in planning, </w:t>
      </w:r>
      <w:r w:rsidRPr="00CA0D25">
        <w:rPr>
          <w:rFonts w:ascii="Arial" w:hAnsi="Arial" w:cs="Arial"/>
          <w:b/>
          <w:bCs/>
          <w:sz w:val="36"/>
          <w:szCs w:val="36"/>
          <w:u w:val="single"/>
        </w:rPr>
        <w:t>preparing,</w:t>
      </w:r>
      <w:r w:rsidRPr="00CA0D25">
        <w:rPr>
          <w:rFonts w:ascii="Arial" w:hAnsi="Arial" w:cs="Arial"/>
          <w:b/>
          <w:bCs/>
          <w:sz w:val="36"/>
          <w:szCs w:val="36"/>
          <w:u w:val="single"/>
        </w:rPr>
        <w:t xml:space="preserve"> and teaching lessons that incorporate</w:t>
      </w:r>
      <w:r w:rsidRPr="00CA0D25">
        <w:rPr>
          <w:rFonts w:ascii="Arial" w:hAnsi="Arial" w:cs="Arial"/>
          <w:b/>
          <w:bCs/>
          <w:sz w:val="36"/>
          <w:szCs w:val="36"/>
          <w:u w:val="single"/>
        </w:rPr>
        <w:t xml:space="preserve"> </w:t>
      </w:r>
      <w:r w:rsidRPr="00CA0D25">
        <w:rPr>
          <w:rFonts w:ascii="Arial" w:hAnsi="Arial" w:cs="Arial"/>
          <w:b/>
          <w:bCs/>
          <w:sz w:val="36"/>
          <w:szCs w:val="36"/>
          <w:u w:val="single"/>
        </w:rPr>
        <w:t>specific pedagogical principles. Identify one of these pedagogical principles as an area for development and justify the next steps in your development.</w:t>
      </w:r>
    </w:p>
    <w:tbl>
      <w:tblPr>
        <w:tblW w:w="901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158"/>
        <w:gridCol w:w="2048"/>
        <w:gridCol w:w="4804"/>
      </w:tblGrid>
      <w:tr w:rsidR="008F78A2" w:rsidRPr="008F78A2" w14:paraId="60EF10C0" w14:textId="77777777" w:rsidTr="008F78A2">
        <w:trPr>
          <w:trHeight w:val="1155"/>
        </w:trPr>
        <w:tc>
          <w:tcPr>
            <w:tcW w:w="2158" w:type="dxa"/>
            <w:tcBorders>
              <w:top w:val="single" w:sz="6" w:space="0" w:color="FFFFFF"/>
              <w:left w:val="single" w:sz="6" w:space="0" w:color="FFFFFF"/>
              <w:bottom w:val="single" w:sz="6" w:space="0" w:color="FFFFFF"/>
              <w:right w:val="single" w:sz="6" w:space="0" w:color="FFFFFF"/>
            </w:tcBorders>
            <w:shd w:val="clear" w:color="auto" w:fill="CDD4E9"/>
            <w:hideMark/>
          </w:tcPr>
          <w:p w14:paraId="3CAF1105" w14:textId="77777777"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Arial" w:eastAsia="Times New Roman" w:hAnsi="Arial" w:cs="Arial"/>
                <w:sz w:val="24"/>
                <w:szCs w:val="24"/>
                <w:lang w:eastAsia="en-GB"/>
              </w:rPr>
              <w:t> </w:t>
            </w:r>
          </w:p>
        </w:tc>
        <w:tc>
          <w:tcPr>
            <w:tcW w:w="2048" w:type="dxa"/>
            <w:tcBorders>
              <w:top w:val="single" w:sz="6" w:space="0" w:color="FFFFFF"/>
              <w:left w:val="single" w:sz="6" w:space="0" w:color="FFFFFF"/>
              <w:bottom w:val="single" w:sz="6" w:space="0" w:color="FFFFFF"/>
              <w:right w:val="single" w:sz="6" w:space="0" w:color="FFFFFF"/>
            </w:tcBorders>
            <w:shd w:val="clear" w:color="auto" w:fill="CDD4E9"/>
            <w:hideMark/>
          </w:tcPr>
          <w:p w14:paraId="232CCE00" w14:textId="77777777"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Calibri" w:eastAsia="Times New Roman" w:hAnsi="Calibri" w:cs="Calibri"/>
                <w:color w:val="000000"/>
                <w:sz w:val="24"/>
                <w:szCs w:val="24"/>
                <w:lang w:val="en-US" w:eastAsia="en-GB"/>
              </w:rPr>
              <w:t>Targed/Target</w:t>
            </w:r>
            <w:r w:rsidRPr="008F78A2">
              <w:rPr>
                <w:rFonts w:ascii="Calibri" w:eastAsia="Times New Roman" w:hAnsi="Calibri" w:cs="Calibri"/>
                <w:color w:val="000000"/>
                <w:sz w:val="24"/>
                <w:szCs w:val="24"/>
                <w:lang w:eastAsia="en-GB"/>
              </w:rPr>
              <w:t> </w:t>
            </w:r>
          </w:p>
        </w:tc>
        <w:tc>
          <w:tcPr>
            <w:tcW w:w="4804" w:type="dxa"/>
            <w:tcBorders>
              <w:top w:val="single" w:sz="6" w:space="0" w:color="FFFFFF"/>
              <w:left w:val="single" w:sz="6" w:space="0" w:color="FFFFFF"/>
              <w:bottom w:val="single" w:sz="6" w:space="0" w:color="FFFFFF"/>
              <w:right w:val="single" w:sz="6" w:space="0" w:color="FFFFFF"/>
            </w:tcBorders>
            <w:shd w:val="clear" w:color="auto" w:fill="CDD4E9"/>
            <w:hideMark/>
          </w:tcPr>
          <w:p w14:paraId="08E7A008" w14:textId="77777777"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Calibri" w:eastAsia="Times New Roman" w:hAnsi="Calibri" w:cs="Calibri"/>
                <w:color w:val="000000"/>
                <w:sz w:val="24"/>
                <w:szCs w:val="24"/>
                <w:lang w:val="en-US" w:eastAsia="en-GB"/>
              </w:rPr>
              <w:t>Yr hyn yr wyf wedi’i wneud yn yr aseiniad hwn….</w:t>
            </w:r>
            <w:r w:rsidRPr="008F78A2">
              <w:rPr>
                <w:rFonts w:ascii="Calibri" w:eastAsia="Times New Roman" w:hAnsi="Calibri" w:cs="Calibri"/>
                <w:color w:val="000000"/>
                <w:sz w:val="24"/>
                <w:szCs w:val="24"/>
                <w:lang w:eastAsia="en-GB"/>
              </w:rPr>
              <w:t> </w:t>
            </w:r>
          </w:p>
          <w:p w14:paraId="38F31811" w14:textId="77777777"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Calibri" w:eastAsia="Times New Roman" w:hAnsi="Calibri" w:cs="Calibri"/>
                <w:color w:val="000000"/>
                <w:sz w:val="24"/>
                <w:szCs w:val="24"/>
                <w:lang w:val="en-US" w:eastAsia="en-GB"/>
              </w:rPr>
              <w:t>What I have done in this assignment….</w:t>
            </w:r>
            <w:r w:rsidRPr="008F78A2">
              <w:rPr>
                <w:rFonts w:ascii="Calibri" w:eastAsia="Times New Roman" w:hAnsi="Calibri" w:cs="Calibri"/>
                <w:color w:val="000000"/>
                <w:sz w:val="24"/>
                <w:szCs w:val="24"/>
                <w:lang w:eastAsia="en-GB"/>
              </w:rPr>
              <w:t> </w:t>
            </w:r>
          </w:p>
        </w:tc>
      </w:tr>
      <w:tr w:rsidR="008F78A2" w:rsidRPr="008F78A2" w14:paraId="05EA83A8" w14:textId="77777777" w:rsidTr="008F78A2">
        <w:trPr>
          <w:trHeight w:val="450"/>
        </w:trPr>
        <w:tc>
          <w:tcPr>
            <w:tcW w:w="2158" w:type="dxa"/>
            <w:tcBorders>
              <w:top w:val="single" w:sz="6" w:space="0" w:color="FFFFFF"/>
              <w:left w:val="single" w:sz="6" w:space="0" w:color="FFFFFF"/>
              <w:bottom w:val="single" w:sz="6" w:space="0" w:color="FFFFFF"/>
              <w:right w:val="single" w:sz="6" w:space="0" w:color="FFFFFF"/>
            </w:tcBorders>
            <w:shd w:val="clear" w:color="auto" w:fill="E7EAF4"/>
            <w:hideMark/>
          </w:tcPr>
          <w:p w14:paraId="4E628804" w14:textId="77777777"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Calibri" w:eastAsia="Times New Roman" w:hAnsi="Calibri" w:cs="Calibri"/>
                <w:color w:val="000000"/>
                <w:sz w:val="28"/>
                <w:szCs w:val="28"/>
                <w:lang w:val="en-US" w:eastAsia="en-GB"/>
              </w:rPr>
              <w:t>Targed/Target 1</w:t>
            </w:r>
            <w:r w:rsidRPr="008F78A2">
              <w:rPr>
                <w:rFonts w:ascii="Calibri" w:eastAsia="Times New Roman" w:hAnsi="Calibri" w:cs="Calibri"/>
                <w:color w:val="000000"/>
                <w:sz w:val="28"/>
                <w:szCs w:val="28"/>
                <w:lang w:eastAsia="en-GB"/>
              </w:rPr>
              <w:t> </w:t>
            </w:r>
          </w:p>
        </w:tc>
        <w:tc>
          <w:tcPr>
            <w:tcW w:w="2048" w:type="dxa"/>
            <w:tcBorders>
              <w:top w:val="single" w:sz="6" w:space="0" w:color="FFFFFF"/>
              <w:left w:val="single" w:sz="6" w:space="0" w:color="FFFFFF"/>
              <w:bottom w:val="single" w:sz="6" w:space="0" w:color="FFFFFF"/>
              <w:right w:val="single" w:sz="6" w:space="0" w:color="FFFFFF"/>
            </w:tcBorders>
            <w:shd w:val="clear" w:color="auto" w:fill="E7EAF4"/>
            <w:hideMark/>
          </w:tcPr>
          <w:p w14:paraId="3508DB5E" w14:textId="13337923"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Arial" w:eastAsia="Times New Roman" w:hAnsi="Arial" w:cs="Arial"/>
                <w:sz w:val="24"/>
                <w:szCs w:val="24"/>
                <w:lang w:eastAsia="en-GB"/>
              </w:rPr>
              <w:t> </w:t>
            </w:r>
            <w:r w:rsidR="007E5F70">
              <w:rPr>
                <w:rFonts w:ascii="Arial" w:eastAsia="Times New Roman" w:hAnsi="Arial" w:cs="Arial"/>
                <w:sz w:val="24"/>
                <w:szCs w:val="24"/>
                <w:lang w:eastAsia="en-GB"/>
              </w:rPr>
              <w:t>Try not to be too over-reliant on key texts.</w:t>
            </w:r>
          </w:p>
        </w:tc>
        <w:tc>
          <w:tcPr>
            <w:tcW w:w="4804" w:type="dxa"/>
            <w:tcBorders>
              <w:top w:val="single" w:sz="6" w:space="0" w:color="FFFFFF"/>
              <w:left w:val="single" w:sz="6" w:space="0" w:color="FFFFFF"/>
              <w:bottom w:val="single" w:sz="6" w:space="0" w:color="FFFFFF"/>
              <w:right w:val="single" w:sz="6" w:space="0" w:color="FFFFFF"/>
            </w:tcBorders>
            <w:shd w:val="clear" w:color="auto" w:fill="E7EAF4"/>
            <w:hideMark/>
          </w:tcPr>
          <w:p w14:paraId="2FD47DCA" w14:textId="653A807A" w:rsidR="008F78A2" w:rsidRPr="008F78A2" w:rsidRDefault="008F78A2" w:rsidP="008F78A2">
            <w:pPr>
              <w:spacing w:after="0" w:line="240" w:lineRule="auto"/>
              <w:textAlignment w:val="baseline"/>
              <w:rPr>
                <w:rFonts w:ascii="Times New Roman" w:eastAsia="Times New Roman" w:hAnsi="Times New Roman" w:cs="Times New Roman"/>
                <w:sz w:val="24"/>
                <w:szCs w:val="24"/>
                <w:lang w:eastAsia="en-GB"/>
              </w:rPr>
            </w:pPr>
            <w:r w:rsidRPr="008F78A2">
              <w:rPr>
                <w:rFonts w:ascii="Arial" w:eastAsia="Times New Roman" w:hAnsi="Arial" w:cs="Arial"/>
                <w:sz w:val="24"/>
                <w:szCs w:val="24"/>
                <w:lang w:eastAsia="en-GB"/>
              </w:rPr>
              <w:t> </w:t>
            </w:r>
            <w:r w:rsidR="007E5F70">
              <w:rPr>
                <w:rFonts w:ascii="Arial" w:eastAsia="Times New Roman" w:hAnsi="Arial" w:cs="Arial"/>
                <w:sz w:val="24"/>
                <w:szCs w:val="24"/>
                <w:lang w:eastAsia="en-GB"/>
              </w:rPr>
              <w:t>I used a wide range of literature and tried to avoid referencing any text more than twice.</w:t>
            </w:r>
          </w:p>
        </w:tc>
      </w:tr>
    </w:tbl>
    <w:p w14:paraId="791E5BDF" w14:textId="0671E50C" w:rsidR="008F78A2" w:rsidRPr="008F78A2" w:rsidRDefault="008F78A2" w:rsidP="008F78A2">
      <w:pPr>
        <w:spacing w:after="0" w:line="240" w:lineRule="auto"/>
        <w:textAlignment w:val="baseline"/>
        <w:rPr>
          <w:rFonts w:ascii="Segoe UI" w:eastAsia="Times New Roman" w:hAnsi="Segoe UI" w:cs="Segoe UI"/>
          <w:color w:val="000000"/>
          <w:sz w:val="18"/>
          <w:szCs w:val="18"/>
          <w:lang w:eastAsia="en-GB"/>
        </w:rPr>
      </w:pPr>
      <w:r w:rsidRPr="008F78A2">
        <w:rPr>
          <w:rFonts w:ascii="Arial" w:eastAsia="Times New Roman" w:hAnsi="Arial" w:cs="Arial"/>
          <w:color w:val="000000"/>
          <w:lang w:eastAsia="en-GB"/>
        </w:rPr>
        <w:t> </w:t>
      </w:r>
    </w:p>
    <w:p w14:paraId="27EA0327" w14:textId="4A031847" w:rsidR="00CB1D84" w:rsidRDefault="00CB1D84" w:rsidP="00CB1D84">
      <w:pPr>
        <w:spacing w:line="360" w:lineRule="auto"/>
        <w:rPr>
          <w:rFonts w:ascii="Arial" w:hAnsi="Arial" w:cs="Arial"/>
          <w:b/>
          <w:bCs/>
          <w:sz w:val="28"/>
          <w:szCs w:val="28"/>
        </w:rPr>
      </w:pPr>
      <w:r w:rsidRPr="00C17408">
        <w:rPr>
          <w:rFonts w:ascii="Arial" w:hAnsi="Arial" w:cs="Arial"/>
          <w:b/>
          <w:bCs/>
          <w:sz w:val="28"/>
          <w:szCs w:val="28"/>
        </w:rPr>
        <w:t xml:space="preserve">Part </w:t>
      </w:r>
      <w:r>
        <w:rPr>
          <w:rFonts w:ascii="Arial" w:hAnsi="Arial" w:cs="Arial"/>
          <w:b/>
          <w:bCs/>
          <w:sz w:val="28"/>
          <w:szCs w:val="28"/>
        </w:rPr>
        <w:t>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1620F0" w:rsidRPr="001620F0" w14:paraId="01884F24" w14:textId="77777777" w:rsidTr="00537C57">
        <w:tc>
          <w:tcPr>
            <w:tcW w:w="2689" w:type="dxa"/>
          </w:tcPr>
          <w:p w14:paraId="3CCBB4BD" w14:textId="77777777" w:rsidR="001620F0" w:rsidRPr="001620F0" w:rsidRDefault="001620F0" w:rsidP="00537C57">
            <w:pPr>
              <w:pStyle w:val="Heading2"/>
              <w:jc w:val="center"/>
              <w:outlineLvl w:val="1"/>
              <w:rPr>
                <w:sz w:val="22"/>
                <w:szCs w:val="22"/>
              </w:rPr>
            </w:pPr>
            <w:r w:rsidRPr="001620F0">
              <w:rPr>
                <w:sz w:val="22"/>
                <w:szCs w:val="22"/>
              </w:rPr>
              <w:t>Professional Experience Template 1</w:t>
            </w:r>
          </w:p>
        </w:tc>
        <w:tc>
          <w:tcPr>
            <w:tcW w:w="6327" w:type="dxa"/>
          </w:tcPr>
          <w:p w14:paraId="6DE19119" w14:textId="77777777" w:rsidR="001620F0" w:rsidRPr="001620F0" w:rsidRDefault="001620F0" w:rsidP="00537C57">
            <w:r w:rsidRPr="001620F0">
              <w:t xml:space="preserve">Multiplication and division lessons (KS2) </w:t>
            </w:r>
          </w:p>
        </w:tc>
      </w:tr>
      <w:tr w:rsidR="001620F0" w:rsidRPr="001620F0" w14:paraId="78326164" w14:textId="77777777" w:rsidTr="00537C57">
        <w:tc>
          <w:tcPr>
            <w:tcW w:w="2689" w:type="dxa"/>
          </w:tcPr>
          <w:p w14:paraId="6550D0A6" w14:textId="77777777" w:rsidR="001620F0" w:rsidRPr="001620F0" w:rsidRDefault="001620F0" w:rsidP="00537C57">
            <w:pPr>
              <w:pStyle w:val="Heading2"/>
              <w:jc w:val="center"/>
              <w:outlineLvl w:val="1"/>
              <w:rPr>
                <w:sz w:val="22"/>
                <w:szCs w:val="22"/>
              </w:rPr>
            </w:pPr>
            <w:r w:rsidRPr="001620F0">
              <w:rPr>
                <w:sz w:val="22"/>
                <w:szCs w:val="22"/>
              </w:rPr>
              <w:t>Pedagogy Standard</w:t>
            </w:r>
          </w:p>
        </w:tc>
        <w:tc>
          <w:tcPr>
            <w:tcW w:w="6327" w:type="dxa"/>
          </w:tcPr>
          <w:p w14:paraId="68614F76" w14:textId="77777777" w:rsidR="001620F0" w:rsidRPr="001620F0" w:rsidRDefault="001620F0" w:rsidP="00537C57">
            <w:r w:rsidRPr="001620F0">
              <w:rPr>
                <w:rFonts w:cstheme="minorHAnsi"/>
                <w:color w:val="2F5496" w:themeColor="accent1" w:themeShade="BF"/>
              </w:rPr>
              <w:t>Assessment for learning</w:t>
            </w:r>
          </w:p>
        </w:tc>
      </w:tr>
      <w:tr w:rsidR="001620F0" w:rsidRPr="001620F0" w14:paraId="34CA74F7" w14:textId="77777777" w:rsidTr="00537C57">
        <w:tc>
          <w:tcPr>
            <w:tcW w:w="2689" w:type="dxa"/>
          </w:tcPr>
          <w:p w14:paraId="3FCF3F60" w14:textId="77777777" w:rsidR="001620F0" w:rsidRPr="001620F0" w:rsidRDefault="001620F0" w:rsidP="00537C57">
            <w:pPr>
              <w:pStyle w:val="Heading3"/>
              <w:jc w:val="center"/>
              <w:outlineLvl w:val="2"/>
              <w:rPr>
                <w:sz w:val="22"/>
                <w:szCs w:val="22"/>
              </w:rPr>
            </w:pPr>
            <w:r w:rsidRPr="001620F0">
              <w:rPr>
                <w:sz w:val="22"/>
                <w:szCs w:val="22"/>
              </w:rPr>
              <w:t>What did you do and why?</w:t>
            </w:r>
          </w:p>
          <w:p w14:paraId="0CBF1E12" w14:textId="77777777" w:rsidR="001620F0" w:rsidRPr="001620F0" w:rsidRDefault="001620F0" w:rsidP="00537C57">
            <w:pPr>
              <w:jc w:val="center"/>
            </w:pPr>
          </w:p>
        </w:tc>
        <w:tc>
          <w:tcPr>
            <w:tcW w:w="6327" w:type="dxa"/>
          </w:tcPr>
          <w:p w14:paraId="1AF14400" w14:textId="3E9EAA35" w:rsidR="001620F0" w:rsidRPr="001620F0" w:rsidRDefault="001620F0" w:rsidP="00537C57">
            <w:r w:rsidRPr="001620F0">
              <w:t xml:space="preserve">Over the course of three mathematic lessons, I utilised several different assessments for learning (AfL) strategies. The approaches I found most effective were the use of mini whiteboards for answers, growth mindset learning zones and reflective writebacks. I decided to use </w:t>
            </w:r>
            <w:r w:rsidR="008F78A2" w:rsidRPr="001620F0">
              <w:t>mini whiteboards</w:t>
            </w:r>
            <w:r w:rsidRPr="001620F0">
              <w:t xml:space="preserve"> after reading research on the concept of active responding and the role whiteboards can play in this (Gimbutas, 2019). Active responding allows for quicker student response and teacher feedback and increases learner engagement in the lesson. I utilised mini whiteboards in the opening phase of the lessons, writing a question on the board and asking pupils to work it out and show me their answer on their whiteboards. This not only allowed pupils to attempt a question with the ability to easily erase any errors – something I found that frequently worried pupils when working in their books – but it also allowed myself to gauge learners’ individual understanding of the topic before they attempted the main task. I could make several decisions based off this – I might spend longer on the opening phase; I might assign the TA to a particular pupil/s etc. Reflective writebacks and growth mindset learning zones involve a more student-directed approach to assessment. Pupils can decide what differentiated level or </w:t>
            </w:r>
            <w:r w:rsidRPr="001620F0">
              <w:lastRenderedPageBreak/>
              <w:t xml:space="preserve">‘challenge’ they work at based on how confident they feel in their abilities. Reflective writebacks were written during the plenary of a lesson using sentence starters provided by myself, with pupils noting what zone they felt they worked in today, one new thing they learnt in the lesson and how they feel they could progress next lesson. These two latter approaches allowed me to see how pupils assess themselves and their own capability in the topic, which I can then use to plan my next lesson. These approaches are used throughout the school and are familiar to the pupils, so I decided to utilise them after observing how well they worked as an AfL strategy. </w:t>
            </w:r>
          </w:p>
        </w:tc>
      </w:tr>
      <w:tr w:rsidR="001620F0" w:rsidRPr="001620F0" w14:paraId="6E8C4DB7" w14:textId="77777777" w:rsidTr="00537C57">
        <w:tc>
          <w:tcPr>
            <w:tcW w:w="2689" w:type="dxa"/>
          </w:tcPr>
          <w:p w14:paraId="55F5EDB6" w14:textId="77777777" w:rsidR="001620F0" w:rsidRPr="001620F0" w:rsidRDefault="001620F0" w:rsidP="00537C57">
            <w:pPr>
              <w:pStyle w:val="Heading3"/>
              <w:jc w:val="center"/>
              <w:outlineLvl w:val="2"/>
              <w:rPr>
                <w:sz w:val="22"/>
                <w:szCs w:val="22"/>
              </w:rPr>
            </w:pPr>
            <w:r w:rsidRPr="001620F0">
              <w:rPr>
                <w:sz w:val="22"/>
                <w:szCs w:val="22"/>
              </w:rPr>
              <w:lastRenderedPageBreak/>
              <w:t>What have you learned?</w:t>
            </w:r>
          </w:p>
          <w:p w14:paraId="56AD51FB" w14:textId="77777777" w:rsidR="001620F0" w:rsidRPr="001620F0" w:rsidRDefault="001620F0" w:rsidP="00537C57">
            <w:pPr>
              <w:jc w:val="center"/>
            </w:pPr>
          </w:p>
        </w:tc>
        <w:tc>
          <w:tcPr>
            <w:tcW w:w="6327" w:type="dxa"/>
          </w:tcPr>
          <w:p w14:paraId="522EF57B" w14:textId="77777777" w:rsidR="001620F0" w:rsidRPr="001620F0" w:rsidRDefault="001620F0" w:rsidP="00537C57">
            <w:r w:rsidRPr="001620F0">
              <w:t>I have learnt the value and witnessed the clear benefits of employing AfL strategies into lessons; using mini whiteboards allowed me to get an idea of pupils understanding before they started any work rather than after. This allowed me to help any pupils who were struggling with any confusion or misconceptions before the main lesson task, leading to them being more successful in their answers. Reflective writebacks allowed not just me to see how a pupil felt about a topic and use this to plan for their progress, but also provided a reference point for pupils to revisit when we did the next lesson e.g., if they felt they were in their danger zone with the challenge they picked last time, they could try a slightly easier challenge this time and put themselves in their stretch zone. </w:t>
            </w:r>
          </w:p>
        </w:tc>
      </w:tr>
      <w:tr w:rsidR="001620F0" w:rsidRPr="001620F0" w14:paraId="25ED2F8B" w14:textId="77777777" w:rsidTr="00537C57">
        <w:tc>
          <w:tcPr>
            <w:tcW w:w="2689" w:type="dxa"/>
          </w:tcPr>
          <w:p w14:paraId="178E641D" w14:textId="77777777" w:rsidR="001620F0" w:rsidRPr="001620F0" w:rsidRDefault="001620F0" w:rsidP="00537C57">
            <w:pPr>
              <w:pStyle w:val="Heading3"/>
              <w:jc w:val="center"/>
              <w:outlineLvl w:val="2"/>
              <w:rPr>
                <w:sz w:val="22"/>
                <w:szCs w:val="22"/>
              </w:rPr>
            </w:pPr>
            <w:r w:rsidRPr="001620F0">
              <w:rPr>
                <w:sz w:val="22"/>
                <w:szCs w:val="22"/>
              </w:rPr>
              <w:t>What next?</w:t>
            </w:r>
          </w:p>
          <w:p w14:paraId="4CA35F1C" w14:textId="77777777" w:rsidR="001620F0" w:rsidRPr="001620F0" w:rsidRDefault="001620F0" w:rsidP="00537C57">
            <w:pPr>
              <w:jc w:val="center"/>
            </w:pPr>
          </w:p>
        </w:tc>
        <w:tc>
          <w:tcPr>
            <w:tcW w:w="6327" w:type="dxa"/>
          </w:tcPr>
          <w:p w14:paraId="3284A651" w14:textId="77777777" w:rsidR="001620F0" w:rsidRPr="001620F0" w:rsidRDefault="001620F0" w:rsidP="00537C57">
            <w:r w:rsidRPr="001620F0">
              <w:t>Moving forward, I will continue to use these three approaches as I found them to be extremely effective. I plan to research more AfL strategies, as certain ones may work better within other AoLEs and in another phase. This research will include both reading literature around the topic and observing colleagues during my placement as I found that the familiarity of a strategy improved its effectiveness.  In the future, I will ensure that I use reflective writebacks or whole-class discussions in my plenary as a reference point when planning to ensure that progression is not hindered because pupils are not fully ready to move forward with a topic.</w:t>
            </w:r>
          </w:p>
        </w:tc>
      </w:tr>
    </w:tbl>
    <w:p w14:paraId="1745B13A" w14:textId="77777777" w:rsidR="001620F0" w:rsidRPr="001620F0" w:rsidRDefault="001620F0" w:rsidP="001620F0">
      <w:pPr>
        <w:jc w:val="center"/>
      </w:pPr>
    </w:p>
    <w:tbl>
      <w:tblPr>
        <w:tblStyle w:val="TableGrid"/>
        <w:tblW w:w="0" w:type="auto"/>
        <w:tblLook w:val="04A0" w:firstRow="1" w:lastRow="0" w:firstColumn="1" w:lastColumn="0" w:noHBand="0" w:noVBand="1"/>
      </w:tblPr>
      <w:tblGrid>
        <w:gridCol w:w="2689"/>
        <w:gridCol w:w="6327"/>
      </w:tblGrid>
      <w:tr w:rsidR="001620F0" w:rsidRPr="001620F0" w14:paraId="05BBDFA7" w14:textId="77777777" w:rsidTr="00537C57">
        <w:tc>
          <w:tcPr>
            <w:tcW w:w="2689" w:type="dxa"/>
          </w:tcPr>
          <w:p w14:paraId="67ACCDB8" w14:textId="77777777" w:rsidR="001620F0" w:rsidRPr="001620F0" w:rsidRDefault="001620F0" w:rsidP="00537C57">
            <w:pPr>
              <w:pStyle w:val="Heading2"/>
              <w:jc w:val="center"/>
              <w:outlineLvl w:val="1"/>
              <w:rPr>
                <w:sz w:val="22"/>
                <w:szCs w:val="22"/>
              </w:rPr>
            </w:pPr>
            <w:r w:rsidRPr="001620F0">
              <w:rPr>
                <w:sz w:val="22"/>
                <w:szCs w:val="22"/>
              </w:rPr>
              <w:lastRenderedPageBreak/>
              <w:t>Professional Experience Template 2</w:t>
            </w:r>
          </w:p>
        </w:tc>
        <w:tc>
          <w:tcPr>
            <w:tcW w:w="6327" w:type="dxa"/>
          </w:tcPr>
          <w:p w14:paraId="6B5CE8E7" w14:textId="77777777" w:rsidR="001620F0" w:rsidRPr="001620F0" w:rsidRDefault="001620F0" w:rsidP="00537C57">
            <w:r w:rsidRPr="001620F0">
              <w:t>Utilising Minecraft in a Science and Technology lesson (KS2)</w:t>
            </w:r>
          </w:p>
          <w:p w14:paraId="665FD6AF" w14:textId="77777777" w:rsidR="001620F0" w:rsidRPr="001620F0" w:rsidRDefault="001620F0" w:rsidP="00537C57"/>
        </w:tc>
      </w:tr>
      <w:tr w:rsidR="001620F0" w:rsidRPr="001620F0" w14:paraId="1D8BC459" w14:textId="77777777" w:rsidTr="00537C57">
        <w:tc>
          <w:tcPr>
            <w:tcW w:w="2689" w:type="dxa"/>
          </w:tcPr>
          <w:p w14:paraId="137FC89C" w14:textId="77777777" w:rsidR="001620F0" w:rsidRPr="001620F0" w:rsidRDefault="001620F0" w:rsidP="00537C57">
            <w:pPr>
              <w:pStyle w:val="Heading2"/>
              <w:jc w:val="center"/>
              <w:outlineLvl w:val="1"/>
              <w:rPr>
                <w:sz w:val="22"/>
                <w:szCs w:val="22"/>
              </w:rPr>
            </w:pPr>
            <w:r w:rsidRPr="001620F0">
              <w:rPr>
                <w:sz w:val="22"/>
                <w:szCs w:val="22"/>
              </w:rPr>
              <w:t>Pedagogy Standard</w:t>
            </w:r>
          </w:p>
        </w:tc>
        <w:tc>
          <w:tcPr>
            <w:tcW w:w="6327" w:type="dxa"/>
          </w:tcPr>
          <w:p w14:paraId="283FD254" w14:textId="77777777" w:rsidR="001620F0" w:rsidRPr="001620F0" w:rsidRDefault="001620F0" w:rsidP="00537C57">
            <w:pPr>
              <w:rPr>
                <w:rFonts w:asciiTheme="majorHAnsi" w:hAnsiTheme="majorHAnsi" w:cstheme="majorHAnsi"/>
                <w:b/>
                <w:color w:val="2F5496" w:themeColor="accent1" w:themeShade="BF"/>
              </w:rPr>
            </w:pPr>
            <w:r w:rsidRPr="001620F0">
              <w:rPr>
                <w:rFonts w:asciiTheme="majorHAnsi" w:hAnsiTheme="majorHAnsi" w:cstheme="majorHAnsi"/>
                <w:b/>
                <w:color w:val="2F5496" w:themeColor="accent1" w:themeShade="BF"/>
              </w:rPr>
              <w:t>Blended learning experiences</w:t>
            </w:r>
          </w:p>
          <w:p w14:paraId="3374A932" w14:textId="77777777" w:rsidR="001620F0" w:rsidRPr="001620F0" w:rsidRDefault="001620F0" w:rsidP="00537C57">
            <w:pPr>
              <w:rPr>
                <w:rFonts w:asciiTheme="majorHAnsi" w:hAnsiTheme="majorHAnsi" w:cstheme="majorHAnsi"/>
                <w:color w:val="2F5496" w:themeColor="accent1" w:themeShade="BF"/>
              </w:rPr>
            </w:pPr>
          </w:p>
        </w:tc>
      </w:tr>
      <w:tr w:rsidR="001620F0" w:rsidRPr="001620F0" w14:paraId="45600781" w14:textId="77777777" w:rsidTr="00537C57">
        <w:tc>
          <w:tcPr>
            <w:tcW w:w="2689" w:type="dxa"/>
          </w:tcPr>
          <w:p w14:paraId="15F8545D" w14:textId="77777777" w:rsidR="001620F0" w:rsidRPr="001620F0" w:rsidRDefault="001620F0" w:rsidP="00537C57">
            <w:pPr>
              <w:pStyle w:val="Heading3"/>
              <w:jc w:val="center"/>
              <w:outlineLvl w:val="2"/>
              <w:rPr>
                <w:sz w:val="22"/>
                <w:szCs w:val="22"/>
              </w:rPr>
            </w:pPr>
            <w:r w:rsidRPr="001620F0">
              <w:rPr>
                <w:sz w:val="22"/>
                <w:szCs w:val="22"/>
              </w:rPr>
              <w:t>What did you do and why?</w:t>
            </w:r>
          </w:p>
          <w:p w14:paraId="72C938F1" w14:textId="77777777" w:rsidR="001620F0" w:rsidRPr="001620F0" w:rsidRDefault="001620F0" w:rsidP="00537C57">
            <w:pPr>
              <w:jc w:val="center"/>
            </w:pPr>
          </w:p>
        </w:tc>
        <w:tc>
          <w:tcPr>
            <w:tcW w:w="6327" w:type="dxa"/>
          </w:tcPr>
          <w:p w14:paraId="2C9A687E" w14:textId="77777777" w:rsidR="001620F0" w:rsidRPr="001620F0" w:rsidRDefault="001620F0" w:rsidP="00537C57">
            <w:r w:rsidRPr="001620F0">
              <w:t>In this lesson, the pupils were carrying on from a previous lesson where they had designed a marble run in their books with a partner.</w:t>
            </w:r>
          </w:p>
          <w:p w14:paraId="3AA775D4" w14:textId="77777777" w:rsidR="001620F0" w:rsidRPr="001620F0" w:rsidRDefault="001620F0" w:rsidP="00537C57">
            <w:r w:rsidRPr="001620F0">
              <w:t xml:space="preserve">They then used Minecraft Education to build this design on Minecraft and use the tools on there to make the design function in the way they imagined. Learners were able to use Minecraft to not only visually view a 3D model of their design but could also observe how it might function. I chose to do this after attending a lecture on how Minecraft can be used in schools and reading about the skills pupils can develop through using computer games in teaching. Šajben, Kvaššayová Klimová and Lovászová (2020) stated that by playing a computer game, pupils can develop their spatial imagination, logic and strategic thinking and factual knowledge. This </w:t>
            </w:r>
            <w:proofErr w:type="gramStart"/>
            <w:r w:rsidRPr="001620F0">
              <w:t>definitely applies</w:t>
            </w:r>
            <w:proofErr w:type="gramEnd"/>
            <w:r w:rsidRPr="001620F0">
              <w:t xml:space="preserve"> to this lesson in particular, as the class virtually constructed a drawn design and had to consider the size of the model and how it would work. </w:t>
            </w:r>
          </w:p>
        </w:tc>
      </w:tr>
      <w:tr w:rsidR="001620F0" w:rsidRPr="001620F0" w14:paraId="774E0290" w14:textId="77777777" w:rsidTr="00537C57">
        <w:tc>
          <w:tcPr>
            <w:tcW w:w="2689" w:type="dxa"/>
          </w:tcPr>
          <w:p w14:paraId="100CB044" w14:textId="77777777" w:rsidR="001620F0" w:rsidRPr="001620F0" w:rsidRDefault="001620F0" w:rsidP="00537C57">
            <w:pPr>
              <w:pStyle w:val="Heading3"/>
              <w:jc w:val="center"/>
              <w:outlineLvl w:val="2"/>
              <w:rPr>
                <w:sz w:val="22"/>
                <w:szCs w:val="22"/>
              </w:rPr>
            </w:pPr>
            <w:r w:rsidRPr="001620F0">
              <w:rPr>
                <w:sz w:val="22"/>
                <w:szCs w:val="22"/>
              </w:rPr>
              <w:t>What have you learned?</w:t>
            </w:r>
          </w:p>
          <w:p w14:paraId="51D2D05B" w14:textId="77777777" w:rsidR="001620F0" w:rsidRPr="001620F0" w:rsidRDefault="001620F0" w:rsidP="00537C57">
            <w:pPr>
              <w:jc w:val="center"/>
            </w:pPr>
          </w:p>
        </w:tc>
        <w:tc>
          <w:tcPr>
            <w:tcW w:w="6327" w:type="dxa"/>
          </w:tcPr>
          <w:p w14:paraId="1F9020FB" w14:textId="77777777" w:rsidR="001620F0" w:rsidRPr="001620F0" w:rsidRDefault="001620F0" w:rsidP="00537C57">
            <w:r w:rsidRPr="001620F0">
              <w:t>I have learnt the benefits of using programmes that differ from the norm in my teaching. I was apprehensive at first and assumed that pupils would be distracted and simply see the activity as free play, but what I observed were the learners being fully engaged in the task and working with their partner to bring their designs to life virtually. I felt pupils were more interested in the task as I was using something they were familiar with and enjoyed.</w:t>
            </w:r>
          </w:p>
        </w:tc>
      </w:tr>
      <w:tr w:rsidR="001620F0" w:rsidRPr="001620F0" w14:paraId="42D942C0" w14:textId="77777777" w:rsidTr="00537C57">
        <w:tc>
          <w:tcPr>
            <w:tcW w:w="2689" w:type="dxa"/>
          </w:tcPr>
          <w:p w14:paraId="06C55629" w14:textId="77777777" w:rsidR="001620F0" w:rsidRPr="001620F0" w:rsidRDefault="001620F0" w:rsidP="00537C57">
            <w:pPr>
              <w:pStyle w:val="Heading3"/>
              <w:jc w:val="center"/>
              <w:outlineLvl w:val="2"/>
              <w:rPr>
                <w:sz w:val="22"/>
                <w:szCs w:val="22"/>
              </w:rPr>
            </w:pPr>
            <w:r w:rsidRPr="001620F0">
              <w:rPr>
                <w:sz w:val="22"/>
                <w:szCs w:val="22"/>
              </w:rPr>
              <w:t>What next?</w:t>
            </w:r>
          </w:p>
          <w:p w14:paraId="5B872282" w14:textId="77777777" w:rsidR="001620F0" w:rsidRPr="001620F0" w:rsidRDefault="001620F0" w:rsidP="00537C57">
            <w:pPr>
              <w:jc w:val="center"/>
            </w:pPr>
          </w:p>
        </w:tc>
        <w:tc>
          <w:tcPr>
            <w:tcW w:w="6327" w:type="dxa"/>
          </w:tcPr>
          <w:p w14:paraId="6A43B73B" w14:textId="77777777" w:rsidR="001620F0" w:rsidRPr="001620F0" w:rsidRDefault="001620F0" w:rsidP="00537C57">
            <w:r w:rsidRPr="001620F0">
              <w:t xml:space="preserve">I will continue to use Minecraft Education in future, across as many AoLEs as appropriate. I also plan to research into similar programmes I could use to encourage excitement in the pupils for their lessons. </w:t>
            </w:r>
          </w:p>
        </w:tc>
      </w:tr>
    </w:tbl>
    <w:p w14:paraId="23E2A44E" w14:textId="77777777" w:rsidR="001620F0" w:rsidRPr="001620F0" w:rsidRDefault="001620F0" w:rsidP="001620F0"/>
    <w:p w14:paraId="48C61509" w14:textId="77777777" w:rsidR="001620F0" w:rsidRPr="001620F0" w:rsidRDefault="001620F0" w:rsidP="001620F0"/>
    <w:tbl>
      <w:tblPr>
        <w:tblStyle w:val="TableGrid"/>
        <w:tblW w:w="9099" w:type="dxa"/>
        <w:tblLook w:val="04A0" w:firstRow="1" w:lastRow="0" w:firstColumn="1" w:lastColumn="0" w:noHBand="0" w:noVBand="1"/>
      </w:tblPr>
      <w:tblGrid>
        <w:gridCol w:w="2714"/>
        <w:gridCol w:w="6385"/>
      </w:tblGrid>
      <w:tr w:rsidR="001620F0" w:rsidRPr="001620F0" w14:paraId="7257C1D0" w14:textId="77777777" w:rsidTr="001620F0">
        <w:trPr>
          <w:trHeight w:val="1514"/>
        </w:trPr>
        <w:tc>
          <w:tcPr>
            <w:tcW w:w="2714" w:type="dxa"/>
          </w:tcPr>
          <w:p w14:paraId="7221C5CB" w14:textId="77777777" w:rsidR="001620F0" w:rsidRPr="001620F0" w:rsidRDefault="001620F0" w:rsidP="00537C57">
            <w:pPr>
              <w:pStyle w:val="Heading2"/>
              <w:jc w:val="center"/>
              <w:outlineLvl w:val="1"/>
              <w:rPr>
                <w:sz w:val="22"/>
                <w:szCs w:val="22"/>
              </w:rPr>
            </w:pPr>
            <w:r w:rsidRPr="001620F0">
              <w:rPr>
                <w:sz w:val="22"/>
                <w:szCs w:val="22"/>
              </w:rPr>
              <w:lastRenderedPageBreak/>
              <w:t>Professional Experience Template 3</w:t>
            </w:r>
          </w:p>
        </w:tc>
        <w:tc>
          <w:tcPr>
            <w:tcW w:w="6385" w:type="dxa"/>
          </w:tcPr>
          <w:p w14:paraId="14AE008C" w14:textId="77777777" w:rsidR="001620F0" w:rsidRPr="001620F0" w:rsidRDefault="001620F0" w:rsidP="00537C57">
            <w:r w:rsidRPr="001620F0">
              <w:t xml:space="preserve">Multilingualism lesson (KS2). </w:t>
            </w:r>
          </w:p>
        </w:tc>
      </w:tr>
      <w:tr w:rsidR="001620F0" w:rsidRPr="001620F0" w14:paraId="5EB5CCA1" w14:textId="77777777" w:rsidTr="001620F0">
        <w:trPr>
          <w:trHeight w:val="589"/>
        </w:trPr>
        <w:tc>
          <w:tcPr>
            <w:tcW w:w="2714" w:type="dxa"/>
          </w:tcPr>
          <w:p w14:paraId="2BB3494A" w14:textId="77777777" w:rsidR="001620F0" w:rsidRPr="001620F0" w:rsidRDefault="001620F0" w:rsidP="00537C57">
            <w:pPr>
              <w:pStyle w:val="Heading2"/>
              <w:jc w:val="center"/>
              <w:outlineLvl w:val="1"/>
              <w:rPr>
                <w:sz w:val="22"/>
                <w:szCs w:val="22"/>
              </w:rPr>
            </w:pPr>
            <w:r w:rsidRPr="001620F0">
              <w:rPr>
                <w:sz w:val="22"/>
                <w:szCs w:val="22"/>
              </w:rPr>
              <w:t>Pedagogy Standard</w:t>
            </w:r>
          </w:p>
        </w:tc>
        <w:tc>
          <w:tcPr>
            <w:tcW w:w="6385" w:type="dxa"/>
          </w:tcPr>
          <w:p w14:paraId="180F781F" w14:textId="77777777" w:rsidR="001620F0" w:rsidRPr="001620F0" w:rsidRDefault="001620F0" w:rsidP="00537C57">
            <w:pPr>
              <w:rPr>
                <w:rFonts w:asciiTheme="majorHAnsi" w:hAnsiTheme="majorHAnsi" w:cstheme="majorHAnsi"/>
                <w:b/>
                <w:color w:val="2F5496" w:themeColor="accent1" w:themeShade="BF"/>
              </w:rPr>
            </w:pPr>
            <w:r w:rsidRPr="001620F0">
              <w:rPr>
                <w:rFonts w:asciiTheme="majorHAnsi" w:hAnsiTheme="majorHAnsi" w:cstheme="majorHAnsi"/>
                <w:b/>
                <w:color w:val="2F5496" w:themeColor="accent1" w:themeShade="BF"/>
              </w:rPr>
              <w:t>Real life authentic contexts</w:t>
            </w:r>
          </w:p>
          <w:p w14:paraId="248007BE" w14:textId="77777777" w:rsidR="001620F0" w:rsidRPr="001620F0" w:rsidRDefault="001620F0" w:rsidP="00537C57"/>
        </w:tc>
      </w:tr>
      <w:tr w:rsidR="001620F0" w:rsidRPr="001620F0" w14:paraId="0CB3BC21" w14:textId="77777777" w:rsidTr="001620F0">
        <w:trPr>
          <w:trHeight w:val="9309"/>
        </w:trPr>
        <w:tc>
          <w:tcPr>
            <w:tcW w:w="2714" w:type="dxa"/>
          </w:tcPr>
          <w:p w14:paraId="7F7816B3" w14:textId="77777777" w:rsidR="001620F0" w:rsidRPr="001620F0" w:rsidRDefault="001620F0" w:rsidP="00537C57">
            <w:pPr>
              <w:pStyle w:val="Heading3"/>
              <w:jc w:val="center"/>
              <w:outlineLvl w:val="2"/>
              <w:rPr>
                <w:sz w:val="22"/>
                <w:szCs w:val="22"/>
              </w:rPr>
            </w:pPr>
            <w:r w:rsidRPr="001620F0">
              <w:rPr>
                <w:sz w:val="22"/>
                <w:szCs w:val="22"/>
              </w:rPr>
              <w:t>What did you do and why?</w:t>
            </w:r>
          </w:p>
          <w:p w14:paraId="3D0BC58B" w14:textId="77777777" w:rsidR="001620F0" w:rsidRPr="001620F0" w:rsidRDefault="001620F0" w:rsidP="00537C57">
            <w:pPr>
              <w:jc w:val="center"/>
            </w:pPr>
          </w:p>
        </w:tc>
        <w:tc>
          <w:tcPr>
            <w:tcW w:w="6385" w:type="dxa"/>
          </w:tcPr>
          <w:p w14:paraId="07A62A5C" w14:textId="77777777" w:rsidR="001620F0" w:rsidRPr="001620F0" w:rsidRDefault="001620F0" w:rsidP="00537C57">
            <w:r w:rsidRPr="001620F0">
              <w:t xml:space="preserve">In this lesson, we discussed the languages we hear and see around us in and outside of school. Focusing first on outside environments, we had a whole class discussion on where we may experience different languages and why we think it might be important that other languages/cultures are represented in places we frequent e.g., supermarkets. The purpose of this part of the discussion was to get pupils talking about why they feel it is important to experience many different cultures/languages in Wales. We then discussed the different languages present in school, and pupils were asked if they could think of any ways the school could be more inclusive. Lessons that utilise community members have been shown to not only improve pupil understanding, but also strengthen that relationship between the school and the wider community (Willems and </w:t>
            </w:r>
            <w:r w:rsidRPr="001620F0">
              <w:rPr>
                <w:rFonts w:ascii="Arial" w:hAnsi="Arial" w:cs="Arial"/>
                <w:color w:val="222222"/>
                <w:shd w:val="clear" w:color="auto" w:fill="FFFFFF"/>
              </w:rPr>
              <w:t>Gonzalez-DeHass, 2012</w:t>
            </w:r>
            <w:r w:rsidRPr="001620F0">
              <w:t xml:space="preserve">). In a pre-pandemic world, parents and community figures could have been invited in to voice their opinions on inclusion, but as this isn’t possible, I decided to ask pupils within the classroom if they would be willing to act as representatives of the diverse community. Around 20% of the class spoke English as a Second Language, and these pupils were very willing to vocalise their opinions, stating that they would like to see their language represented more around the school. This led very well into the main task of the lesson – pupils were placed in groups with at least 1 EAL learner and asked to design a poster to be placed around the school. By the end of the lesson, EAL pupils had taught their groups school-based words in their first language through the poster design. In the plenary, I asked pupils what they felt they had learnt this lesson. The non-EAL pupils voiced that they now realised that, although the school has some inclusion of languages in displays, their EAL peers would benefit from seeing more representation especially in the classroom e.g., where a word may be translated into Welsh, there could also be other translations of the world in the languages of the class. This lesson was focused on learners becoming ethical, informed citizens and I feel that by providing inside and outside contexts to their learning, it helped pupils gain a deeper understanding of the importance of representing everyone in a diverse society. </w:t>
            </w:r>
          </w:p>
        </w:tc>
      </w:tr>
      <w:tr w:rsidR="001620F0" w:rsidRPr="001620F0" w14:paraId="3B6291E5" w14:textId="77777777" w:rsidTr="001620F0">
        <w:trPr>
          <w:trHeight w:val="2324"/>
        </w:trPr>
        <w:tc>
          <w:tcPr>
            <w:tcW w:w="2714" w:type="dxa"/>
          </w:tcPr>
          <w:p w14:paraId="6644F402" w14:textId="77777777" w:rsidR="001620F0" w:rsidRPr="001620F0" w:rsidRDefault="001620F0" w:rsidP="00537C57">
            <w:pPr>
              <w:pStyle w:val="Heading3"/>
              <w:jc w:val="center"/>
              <w:outlineLvl w:val="2"/>
              <w:rPr>
                <w:sz w:val="22"/>
                <w:szCs w:val="22"/>
              </w:rPr>
            </w:pPr>
            <w:r w:rsidRPr="001620F0">
              <w:rPr>
                <w:sz w:val="22"/>
                <w:szCs w:val="22"/>
              </w:rPr>
              <w:lastRenderedPageBreak/>
              <w:t>What have you learned?</w:t>
            </w:r>
          </w:p>
          <w:p w14:paraId="7E51EF80" w14:textId="77777777" w:rsidR="001620F0" w:rsidRPr="001620F0" w:rsidRDefault="001620F0" w:rsidP="00537C57">
            <w:pPr>
              <w:jc w:val="center"/>
            </w:pPr>
          </w:p>
        </w:tc>
        <w:tc>
          <w:tcPr>
            <w:tcW w:w="6385" w:type="dxa"/>
          </w:tcPr>
          <w:p w14:paraId="285E0E97" w14:textId="77777777" w:rsidR="001620F0" w:rsidRPr="001620F0" w:rsidRDefault="001620F0" w:rsidP="00537C57">
            <w:r w:rsidRPr="001620F0">
              <w:t xml:space="preserve">I have learnt the positive impact that placing a topic into an authentic context can have on pupils’ learning. By providing real contexts to learners about multilingualism both in the school and in their classroom, pupils were much more engaged in the lesson than I think they would’ve been if it was just telling them about multilingualism around us. Being able to speak to peers who were multilingual about how they felt the school could be more inclusive really provided an insight that I could not and led to learners having a deeper understanding of the topic. </w:t>
            </w:r>
          </w:p>
        </w:tc>
      </w:tr>
      <w:tr w:rsidR="001620F0" w:rsidRPr="001620F0" w14:paraId="4D5183EC" w14:textId="77777777" w:rsidTr="001620F0">
        <w:trPr>
          <w:trHeight w:val="1295"/>
        </w:trPr>
        <w:tc>
          <w:tcPr>
            <w:tcW w:w="2714" w:type="dxa"/>
          </w:tcPr>
          <w:p w14:paraId="4F83CC44" w14:textId="77777777" w:rsidR="001620F0" w:rsidRPr="001620F0" w:rsidRDefault="001620F0" w:rsidP="00537C57">
            <w:pPr>
              <w:pStyle w:val="Heading3"/>
              <w:jc w:val="center"/>
              <w:outlineLvl w:val="2"/>
              <w:rPr>
                <w:sz w:val="22"/>
                <w:szCs w:val="22"/>
              </w:rPr>
            </w:pPr>
            <w:r w:rsidRPr="001620F0">
              <w:rPr>
                <w:sz w:val="22"/>
                <w:szCs w:val="22"/>
              </w:rPr>
              <w:t>What next?</w:t>
            </w:r>
          </w:p>
          <w:p w14:paraId="0E4030E3" w14:textId="77777777" w:rsidR="001620F0" w:rsidRPr="001620F0" w:rsidRDefault="001620F0" w:rsidP="00537C57">
            <w:pPr>
              <w:jc w:val="center"/>
            </w:pPr>
          </w:p>
        </w:tc>
        <w:tc>
          <w:tcPr>
            <w:tcW w:w="6385" w:type="dxa"/>
          </w:tcPr>
          <w:p w14:paraId="4FA02252" w14:textId="69562083" w:rsidR="001620F0" w:rsidRPr="001620F0" w:rsidRDefault="001620F0" w:rsidP="00537C57">
            <w:r w:rsidRPr="001620F0">
              <w:t xml:space="preserve">I will incorporate more authentic contexts into future lessons, potentially bringing visitors into the school and going on trips to fully immerse pupils in what they are learning. I would also like to bring in authentic contexts in smaller ways, </w:t>
            </w:r>
            <w:r w:rsidR="008F78A2" w:rsidRPr="001620F0">
              <w:t>e.g.,</w:t>
            </w:r>
            <w:r w:rsidRPr="001620F0">
              <w:t xml:space="preserve"> connecting a math topic to a </w:t>
            </w:r>
            <w:proofErr w:type="gramStart"/>
            <w:r w:rsidRPr="001620F0">
              <w:t>real life</w:t>
            </w:r>
            <w:proofErr w:type="gramEnd"/>
            <w:r w:rsidRPr="001620F0">
              <w:t xml:space="preserve"> application.</w:t>
            </w:r>
          </w:p>
        </w:tc>
      </w:tr>
    </w:tbl>
    <w:p w14:paraId="43C9CC1A" w14:textId="77777777" w:rsidR="001620F0" w:rsidRPr="001620F0" w:rsidRDefault="001620F0" w:rsidP="001620F0"/>
    <w:tbl>
      <w:tblPr>
        <w:tblStyle w:val="TableGrid"/>
        <w:tblW w:w="0" w:type="auto"/>
        <w:tblLook w:val="04A0" w:firstRow="1" w:lastRow="0" w:firstColumn="1" w:lastColumn="0" w:noHBand="0" w:noVBand="1"/>
      </w:tblPr>
      <w:tblGrid>
        <w:gridCol w:w="2689"/>
        <w:gridCol w:w="6327"/>
      </w:tblGrid>
      <w:tr w:rsidR="001620F0" w:rsidRPr="001620F0" w14:paraId="500B7332" w14:textId="77777777" w:rsidTr="00537C57">
        <w:tc>
          <w:tcPr>
            <w:tcW w:w="2689" w:type="dxa"/>
          </w:tcPr>
          <w:p w14:paraId="2FA7C8C7" w14:textId="77777777" w:rsidR="001620F0" w:rsidRPr="001620F0" w:rsidRDefault="001620F0" w:rsidP="00537C57">
            <w:pPr>
              <w:pStyle w:val="Heading2"/>
              <w:jc w:val="center"/>
              <w:outlineLvl w:val="1"/>
              <w:rPr>
                <w:sz w:val="22"/>
                <w:szCs w:val="22"/>
              </w:rPr>
            </w:pPr>
            <w:r w:rsidRPr="001620F0">
              <w:rPr>
                <w:sz w:val="22"/>
                <w:szCs w:val="22"/>
              </w:rPr>
              <w:lastRenderedPageBreak/>
              <w:t>Professional Experience Template 4</w:t>
            </w:r>
          </w:p>
        </w:tc>
        <w:tc>
          <w:tcPr>
            <w:tcW w:w="6327" w:type="dxa"/>
          </w:tcPr>
          <w:p w14:paraId="52CE5122" w14:textId="77777777" w:rsidR="001620F0" w:rsidRPr="001620F0" w:rsidRDefault="001620F0" w:rsidP="00537C57">
            <w:r w:rsidRPr="001620F0">
              <w:t>Guy Fawkes week – building the Houses of Parliament (KS2).</w:t>
            </w:r>
          </w:p>
        </w:tc>
      </w:tr>
      <w:tr w:rsidR="001620F0" w:rsidRPr="001620F0" w14:paraId="0D4A5C3A" w14:textId="77777777" w:rsidTr="00537C57">
        <w:tc>
          <w:tcPr>
            <w:tcW w:w="2689" w:type="dxa"/>
          </w:tcPr>
          <w:p w14:paraId="624F29F1" w14:textId="77777777" w:rsidR="001620F0" w:rsidRPr="001620F0" w:rsidRDefault="001620F0" w:rsidP="00537C57">
            <w:pPr>
              <w:pStyle w:val="Heading2"/>
              <w:jc w:val="center"/>
              <w:outlineLvl w:val="1"/>
              <w:rPr>
                <w:sz w:val="22"/>
                <w:szCs w:val="22"/>
              </w:rPr>
            </w:pPr>
            <w:r w:rsidRPr="001620F0">
              <w:rPr>
                <w:sz w:val="22"/>
                <w:szCs w:val="22"/>
              </w:rPr>
              <w:t>Pedagogy Standard</w:t>
            </w:r>
          </w:p>
        </w:tc>
        <w:tc>
          <w:tcPr>
            <w:tcW w:w="6327" w:type="dxa"/>
          </w:tcPr>
          <w:p w14:paraId="1208E828" w14:textId="77777777" w:rsidR="001620F0" w:rsidRPr="001620F0" w:rsidRDefault="001620F0" w:rsidP="00537C57">
            <w:pPr>
              <w:rPr>
                <w:rFonts w:asciiTheme="majorHAnsi" w:hAnsiTheme="majorHAnsi" w:cstheme="majorHAnsi"/>
                <w:b/>
                <w:color w:val="2F5496" w:themeColor="accent1" w:themeShade="BF"/>
              </w:rPr>
            </w:pPr>
            <w:r w:rsidRPr="001620F0">
              <w:rPr>
                <w:rFonts w:asciiTheme="majorHAnsi" w:hAnsiTheme="majorHAnsi" w:cstheme="majorHAnsi"/>
                <w:b/>
                <w:color w:val="2F5496" w:themeColor="accent1" w:themeShade="BF"/>
              </w:rPr>
              <w:t>Cross-curricular themes</w:t>
            </w:r>
          </w:p>
          <w:p w14:paraId="7ABF05B1" w14:textId="77777777" w:rsidR="001620F0" w:rsidRPr="001620F0" w:rsidRDefault="001620F0" w:rsidP="00537C57"/>
        </w:tc>
      </w:tr>
      <w:tr w:rsidR="001620F0" w:rsidRPr="001620F0" w14:paraId="540E0668" w14:textId="77777777" w:rsidTr="00537C57">
        <w:tc>
          <w:tcPr>
            <w:tcW w:w="2689" w:type="dxa"/>
          </w:tcPr>
          <w:p w14:paraId="78C0D989" w14:textId="77777777" w:rsidR="001620F0" w:rsidRPr="001620F0" w:rsidRDefault="001620F0" w:rsidP="00537C57">
            <w:pPr>
              <w:pStyle w:val="Heading3"/>
              <w:jc w:val="center"/>
              <w:outlineLvl w:val="2"/>
              <w:rPr>
                <w:sz w:val="22"/>
                <w:szCs w:val="22"/>
              </w:rPr>
            </w:pPr>
            <w:r w:rsidRPr="001620F0">
              <w:rPr>
                <w:sz w:val="22"/>
                <w:szCs w:val="22"/>
              </w:rPr>
              <w:t>What did you do and why?</w:t>
            </w:r>
          </w:p>
          <w:p w14:paraId="19664D04" w14:textId="77777777" w:rsidR="001620F0" w:rsidRPr="001620F0" w:rsidRDefault="001620F0" w:rsidP="00537C57">
            <w:pPr>
              <w:jc w:val="center"/>
            </w:pPr>
          </w:p>
        </w:tc>
        <w:tc>
          <w:tcPr>
            <w:tcW w:w="6327" w:type="dxa"/>
          </w:tcPr>
          <w:p w14:paraId="04A549D4" w14:textId="77777777" w:rsidR="001620F0" w:rsidRPr="001620F0" w:rsidRDefault="001620F0" w:rsidP="00537C57">
            <w:r w:rsidRPr="001620F0">
              <w:t>The school decided to focus on Bonfire Night and relevant themes for the week of Nov 5</w:t>
            </w:r>
            <w:r w:rsidRPr="001620F0">
              <w:rPr>
                <w:vertAlign w:val="superscript"/>
              </w:rPr>
              <w:t>th</w:t>
            </w:r>
            <w:r w:rsidRPr="001620F0">
              <w:t xml:space="preserve">. As part of this, I introduced the story of Guy Fawkes to the class. As part of this we discussed the religious reasons behind the gunpowder plot and the religious conflict that they were aware of today, bringing in aspects of the Humanities AoLE. The Humanities AoLE was also present as Guy Fawkes is a historical figure, and other historical figures (such as King James I). Although the pupils had heard the Guy Fawkes story before, I felt it was important to retell not only to establish context for the week’s lessons, but also as they were now older (KS2) they were able to understand the story with more depth provided by the historical and cultural context. For the lesson’s main task, pupils were asked to build their own Houses of Parliament using recycled materials in groups. To enable them to be more successful in their task, I decided to bring in Numeracy to the lesson. Pupils discussed what shapes they could see in the reference image of the Houses, how they could create these 2D and 3D shapes, any symmetry they could see and the scale of their models. I chose to do this after reading an article by Hickman and Huckstep (2003) which stated that integrating math into art or vice versa can ‘illuminate pupils’ understanding of some of its purpose by, at the very least, allowing them to recognise instances of mathematics at work, often in unsuspecting contexts’ (p. 2). Following the encouragement of the Curriculum for Wales 2022 to utilise numeracy across the AoLEs, I found this was the perfect opportunity to get learners to use these mathematical concepts that they may not get to use very often. I found this worked well, with pupils carefully measuring their models to get the scale right and having discussions as a group of what shapes they could see and replicate within their own model. </w:t>
            </w:r>
          </w:p>
        </w:tc>
      </w:tr>
      <w:tr w:rsidR="001620F0" w:rsidRPr="001620F0" w14:paraId="3442117B" w14:textId="77777777" w:rsidTr="00537C57">
        <w:tc>
          <w:tcPr>
            <w:tcW w:w="2689" w:type="dxa"/>
          </w:tcPr>
          <w:p w14:paraId="3918AD0E" w14:textId="77777777" w:rsidR="001620F0" w:rsidRPr="001620F0" w:rsidRDefault="001620F0" w:rsidP="00537C57">
            <w:pPr>
              <w:pStyle w:val="Heading3"/>
              <w:jc w:val="center"/>
              <w:outlineLvl w:val="2"/>
              <w:rPr>
                <w:sz w:val="22"/>
                <w:szCs w:val="22"/>
              </w:rPr>
            </w:pPr>
            <w:r w:rsidRPr="001620F0">
              <w:rPr>
                <w:sz w:val="22"/>
                <w:szCs w:val="22"/>
              </w:rPr>
              <w:t>What have you learned?</w:t>
            </w:r>
          </w:p>
          <w:p w14:paraId="02B3D3CC" w14:textId="77777777" w:rsidR="001620F0" w:rsidRPr="001620F0" w:rsidRDefault="001620F0" w:rsidP="00537C57">
            <w:pPr>
              <w:jc w:val="center"/>
            </w:pPr>
          </w:p>
        </w:tc>
        <w:tc>
          <w:tcPr>
            <w:tcW w:w="6327" w:type="dxa"/>
          </w:tcPr>
          <w:p w14:paraId="47D0E731" w14:textId="77777777" w:rsidR="001620F0" w:rsidRPr="001620F0" w:rsidRDefault="001620F0" w:rsidP="00537C57">
            <w:r w:rsidRPr="001620F0">
              <w:t xml:space="preserve">I have learnt that cross- curricular themes are easier to bring in than I had expected, and that they can really compliment the main topic rather than overshadow it. Although the focus of the lesson was an Expressive Arts task, I found that I could successfully incorporate both Humanities and Numeracy without disrupting the lesson. This ultimately benefited the learners, as they received a lesson in history, religious studies, and mathematics alongside art. </w:t>
            </w:r>
          </w:p>
        </w:tc>
      </w:tr>
      <w:tr w:rsidR="001620F0" w:rsidRPr="001620F0" w14:paraId="433A80DC" w14:textId="77777777" w:rsidTr="00537C57">
        <w:tc>
          <w:tcPr>
            <w:tcW w:w="2689" w:type="dxa"/>
          </w:tcPr>
          <w:p w14:paraId="65A55B85" w14:textId="77777777" w:rsidR="001620F0" w:rsidRPr="001620F0" w:rsidRDefault="001620F0" w:rsidP="00537C57">
            <w:pPr>
              <w:pStyle w:val="Heading3"/>
              <w:jc w:val="center"/>
              <w:outlineLvl w:val="2"/>
              <w:rPr>
                <w:sz w:val="22"/>
                <w:szCs w:val="22"/>
              </w:rPr>
            </w:pPr>
            <w:r w:rsidRPr="001620F0">
              <w:rPr>
                <w:sz w:val="22"/>
                <w:szCs w:val="22"/>
              </w:rPr>
              <w:t>What next?</w:t>
            </w:r>
          </w:p>
          <w:p w14:paraId="13B4F43B" w14:textId="77777777" w:rsidR="001620F0" w:rsidRPr="001620F0" w:rsidRDefault="001620F0" w:rsidP="00537C57">
            <w:pPr>
              <w:jc w:val="center"/>
            </w:pPr>
          </w:p>
        </w:tc>
        <w:tc>
          <w:tcPr>
            <w:tcW w:w="6327" w:type="dxa"/>
          </w:tcPr>
          <w:p w14:paraId="200A3907" w14:textId="77777777" w:rsidR="001620F0" w:rsidRPr="001620F0" w:rsidRDefault="001620F0" w:rsidP="00537C57">
            <w:r w:rsidRPr="001620F0">
              <w:t xml:space="preserve">I plan to continue integrating cross curricular themes into my lessons where appropriate, allowing pupils to develop their understanding in numerous topics within one lesson. I think it can seem difficult to involve numeracy into a lesson, whereas literacy can be incorporated in areas such as group and pair work, so I would like to focus on how I could bring in mathematical concepts to help improve learners’ knowledge. Similarly, I will attempt to cross over a few AoLEs in my lessons where appropriate to benefit pupils. </w:t>
            </w:r>
          </w:p>
        </w:tc>
      </w:tr>
    </w:tbl>
    <w:p w14:paraId="3E4F3440" w14:textId="77777777" w:rsidR="001620F0" w:rsidRDefault="001620F0" w:rsidP="00C17408">
      <w:pPr>
        <w:spacing w:line="360" w:lineRule="auto"/>
        <w:rPr>
          <w:rFonts w:ascii="Arial" w:hAnsi="Arial" w:cs="Arial"/>
          <w:b/>
          <w:bCs/>
          <w:sz w:val="28"/>
          <w:szCs w:val="28"/>
        </w:rPr>
      </w:pPr>
    </w:p>
    <w:p w14:paraId="4A01CBB9" w14:textId="30C98710" w:rsidR="00C17408" w:rsidRPr="00C17408" w:rsidRDefault="00C17408" w:rsidP="00C17408">
      <w:pPr>
        <w:spacing w:line="360" w:lineRule="auto"/>
        <w:rPr>
          <w:rFonts w:ascii="Arial" w:hAnsi="Arial" w:cs="Arial"/>
          <w:b/>
          <w:bCs/>
          <w:sz w:val="28"/>
          <w:szCs w:val="28"/>
        </w:rPr>
      </w:pPr>
      <w:r w:rsidRPr="00C17408">
        <w:rPr>
          <w:rFonts w:ascii="Arial" w:hAnsi="Arial" w:cs="Arial"/>
          <w:b/>
          <w:bCs/>
          <w:sz w:val="28"/>
          <w:szCs w:val="28"/>
        </w:rPr>
        <w:lastRenderedPageBreak/>
        <w:t>Part 2</w:t>
      </w:r>
    </w:p>
    <w:p w14:paraId="12BA4B76" w14:textId="7B4B18E7" w:rsidR="00C17408" w:rsidRPr="00C17408" w:rsidRDefault="00C17408" w:rsidP="00C17408">
      <w:pPr>
        <w:spacing w:line="360" w:lineRule="auto"/>
        <w:rPr>
          <w:rFonts w:ascii="Arial" w:hAnsi="Arial" w:cs="Arial"/>
          <w:b/>
          <w:bCs/>
          <w:sz w:val="28"/>
          <w:szCs w:val="28"/>
        </w:rPr>
      </w:pPr>
      <w:r w:rsidRPr="00C17408">
        <w:rPr>
          <w:rFonts w:ascii="Arial" w:hAnsi="Arial" w:cs="Arial"/>
          <w:b/>
          <w:bCs/>
          <w:sz w:val="28"/>
          <w:szCs w:val="28"/>
        </w:rPr>
        <w:t>Introduction</w:t>
      </w:r>
    </w:p>
    <w:p w14:paraId="4FDCE674" w14:textId="636E1F79" w:rsidR="0088318E" w:rsidRPr="004124CB" w:rsidRDefault="00386242" w:rsidP="004124CB">
      <w:pPr>
        <w:spacing w:line="360" w:lineRule="auto"/>
        <w:rPr>
          <w:rFonts w:ascii="Arial" w:hAnsi="Arial" w:cs="Arial"/>
        </w:rPr>
      </w:pPr>
      <w:r w:rsidRPr="004124CB">
        <w:rPr>
          <w:rFonts w:ascii="Arial" w:hAnsi="Arial" w:cs="Arial"/>
        </w:rPr>
        <w:t xml:space="preserve">In the latter part of this assignment, I will be focusing on one of the above pedagogical principles and using literature to critically evaluate how I can develop my teaching practice in this area and what my next steps will be. The pedagogical principle I have chosen to focus on is the </w:t>
      </w:r>
      <w:r w:rsidR="009B335F" w:rsidRPr="004124CB">
        <w:rPr>
          <w:rFonts w:ascii="Arial" w:hAnsi="Arial" w:cs="Arial"/>
        </w:rPr>
        <w:t>employment of assessment for learning</w:t>
      </w:r>
      <w:r w:rsidR="00BA0832" w:rsidRPr="004124CB">
        <w:rPr>
          <w:rFonts w:ascii="Arial" w:hAnsi="Arial" w:cs="Arial"/>
        </w:rPr>
        <w:t xml:space="preserve"> </w:t>
      </w:r>
      <w:r w:rsidR="009B335F" w:rsidRPr="004124CB">
        <w:rPr>
          <w:rFonts w:ascii="Arial" w:hAnsi="Arial" w:cs="Arial"/>
        </w:rPr>
        <w:t>practices</w:t>
      </w:r>
      <w:r w:rsidR="008E5071" w:rsidRPr="004124CB">
        <w:rPr>
          <w:rFonts w:ascii="Arial" w:hAnsi="Arial" w:cs="Arial"/>
        </w:rPr>
        <w:t>, referred to in</w:t>
      </w:r>
      <w:r w:rsidR="009B335F" w:rsidRPr="004124CB">
        <w:rPr>
          <w:rFonts w:ascii="Arial" w:hAnsi="Arial" w:cs="Arial"/>
        </w:rPr>
        <w:t xml:space="preserve"> both</w:t>
      </w:r>
      <w:r w:rsidR="008E5071" w:rsidRPr="004124CB">
        <w:rPr>
          <w:rFonts w:ascii="Arial" w:hAnsi="Arial" w:cs="Arial"/>
        </w:rPr>
        <w:t xml:space="preserve"> the Successful Futures </w:t>
      </w:r>
      <w:r w:rsidR="00B61B38" w:rsidRPr="004124CB">
        <w:rPr>
          <w:rFonts w:ascii="Arial" w:hAnsi="Arial" w:cs="Arial"/>
        </w:rPr>
        <w:t>review (</w:t>
      </w:r>
      <w:r w:rsidR="00F42E25" w:rsidRPr="004124CB">
        <w:rPr>
          <w:rFonts w:ascii="Arial" w:hAnsi="Arial" w:cs="Arial"/>
        </w:rPr>
        <w:t>Donaldson, 2015</w:t>
      </w:r>
      <w:r w:rsidR="008E5071" w:rsidRPr="004124CB">
        <w:rPr>
          <w:rFonts w:ascii="Arial" w:hAnsi="Arial" w:cs="Arial"/>
        </w:rPr>
        <w:t>) and the professional standards for teaching and leadership (</w:t>
      </w:r>
      <w:r w:rsidR="00F42E25" w:rsidRPr="004124CB">
        <w:rPr>
          <w:rFonts w:ascii="Arial" w:hAnsi="Arial" w:cs="Arial"/>
        </w:rPr>
        <w:t>Welsh Government, 2020</w:t>
      </w:r>
      <w:r w:rsidR="008E5071" w:rsidRPr="004124CB">
        <w:rPr>
          <w:rFonts w:ascii="Arial" w:hAnsi="Arial" w:cs="Arial"/>
        </w:rPr>
        <w:t>). I have identified this principle as an aspect I need to develop further after reflection using my Professional Learning Passport (PLP</w:t>
      </w:r>
      <w:r w:rsidR="00602CC4" w:rsidRPr="004124CB">
        <w:rPr>
          <w:rFonts w:ascii="Arial" w:hAnsi="Arial" w:cs="Arial"/>
        </w:rPr>
        <w:t>) and</w:t>
      </w:r>
      <w:r w:rsidR="008E5071" w:rsidRPr="004124CB">
        <w:rPr>
          <w:rFonts w:ascii="Arial" w:hAnsi="Arial" w:cs="Arial"/>
        </w:rPr>
        <w:t xml:space="preserve"> believe that the research I will conduct as part of this essay will help me to improve my teaching and subsequently the learning of pupils</w:t>
      </w:r>
      <w:r w:rsidR="00763790" w:rsidRPr="004124CB">
        <w:rPr>
          <w:rFonts w:ascii="Arial" w:hAnsi="Arial" w:cs="Arial"/>
        </w:rPr>
        <w:t>.</w:t>
      </w:r>
      <w:r w:rsidR="00D97E34" w:rsidRPr="004124CB">
        <w:rPr>
          <w:rFonts w:ascii="Arial" w:hAnsi="Arial" w:cs="Arial"/>
        </w:rPr>
        <w:t xml:space="preserve"> This was </w:t>
      </w:r>
      <w:r w:rsidR="00B61B38" w:rsidRPr="004124CB">
        <w:rPr>
          <w:rFonts w:ascii="Arial" w:hAnsi="Arial" w:cs="Arial"/>
        </w:rPr>
        <w:t xml:space="preserve">the principle that I used the most during the end of my most recent placement, and although I found it very useful, I feel more thorough research was needed to ensure it is being used as effectively as possible. </w:t>
      </w:r>
      <w:r w:rsidR="001D3FF2" w:rsidRPr="004124CB">
        <w:rPr>
          <w:rFonts w:ascii="Arial" w:hAnsi="Arial" w:cs="Arial"/>
        </w:rPr>
        <w:t>The assessment for learning (AfL) approach was developed as a response to ‘the need for assessment more consistent with current pedagogical tendencies that link with constructivist – rather than traditional – approaches to teaching and learning’ (</w:t>
      </w:r>
      <w:bookmarkStart w:id="0" w:name="_Hlk92130182"/>
      <w:r w:rsidR="0071449D" w:rsidRPr="004124CB">
        <w:rPr>
          <w:rFonts w:ascii="Arial" w:hAnsi="Arial" w:cs="Arial"/>
        </w:rPr>
        <w:t>Flórez</w:t>
      </w:r>
      <w:bookmarkEnd w:id="0"/>
      <w:r w:rsidR="0071449D" w:rsidRPr="004124CB">
        <w:rPr>
          <w:rFonts w:ascii="Arial" w:hAnsi="Arial" w:cs="Arial"/>
        </w:rPr>
        <w:t xml:space="preserve"> </w:t>
      </w:r>
      <w:r w:rsidR="003E4B28" w:rsidRPr="004124CB">
        <w:rPr>
          <w:rFonts w:ascii="Arial" w:hAnsi="Arial" w:cs="Arial"/>
        </w:rPr>
        <w:t>and</w:t>
      </w:r>
      <w:r w:rsidR="0071449D" w:rsidRPr="004124CB">
        <w:rPr>
          <w:rFonts w:ascii="Arial" w:hAnsi="Arial" w:cs="Arial"/>
        </w:rPr>
        <w:t xml:space="preserve"> Sammons, 2013, p. 3). A constructivist learning approach </w:t>
      </w:r>
      <w:r w:rsidR="003E4B28" w:rsidRPr="004124CB">
        <w:rPr>
          <w:rFonts w:ascii="Arial" w:hAnsi="Arial" w:cs="Arial"/>
        </w:rPr>
        <w:t xml:space="preserve">views learning as an ‘active, constructive process’ with the learner being </w:t>
      </w:r>
      <w:r w:rsidR="00E4146A" w:rsidRPr="004124CB">
        <w:rPr>
          <w:rFonts w:ascii="Arial" w:hAnsi="Arial" w:cs="Arial"/>
        </w:rPr>
        <w:t>a non-passive participant and often involves building on prior knowledge (Gray and MacBlain, 2015, p. 66). Paul B</w:t>
      </w:r>
      <w:r w:rsidR="000B4E69" w:rsidRPr="004124CB">
        <w:rPr>
          <w:rFonts w:ascii="Arial" w:hAnsi="Arial" w:cs="Arial"/>
        </w:rPr>
        <w:t xml:space="preserve">lack and </w:t>
      </w:r>
      <w:r w:rsidR="00E4146A" w:rsidRPr="004124CB">
        <w:rPr>
          <w:rFonts w:ascii="Arial" w:hAnsi="Arial" w:cs="Arial"/>
        </w:rPr>
        <w:t xml:space="preserve">Dylan </w:t>
      </w:r>
      <w:r w:rsidR="000B4E69" w:rsidRPr="004124CB">
        <w:rPr>
          <w:rFonts w:ascii="Arial" w:hAnsi="Arial" w:cs="Arial"/>
        </w:rPr>
        <w:t xml:space="preserve">Wiliam, </w:t>
      </w:r>
      <w:r w:rsidR="00A1223D" w:rsidRPr="004124CB">
        <w:rPr>
          <w:rFonts w:ascii="Arial" w:hAnsi="Arial" w:cs="Arial"/>
        </w:rPr>
        <w:t xml:space="preserve">who are arguably two of the most recognised champions of formative assessment, </w:t>
      </w:r>
      <w:r w:rsidR="00404FE5" w:rsidRPr="004124CB">
        <w:rPr>
          <w:rFonts w:ascii="Arial" w:hAnsi="Arial" w:cs="Arial"/>
        </w:rPr>
        <w:t>developed the below definition for both formative assessment and AfL as they are often used interchangeably</w:t>
      </w:r>
      <w:r w:rsidR="00C17408">
        <w:rPr>
          <w:rFonts w:ascii="Arial" w:hAnsi="Arial" w:cs="Arial"/>
        </w:rPr>
        <w:t>:</w:t>
      </w:r>
    </w:p>
    <w:p w14:paraId="3E5D831A" w14:textId="11C710F6" w:rsidR="00A1223D" w:rsidRPr="004124CB" w:rsidRDefault="00A1223D" w:rsidP="004124CB">
      <w:pPr>
        <w:spacing w:line="360" w:lineRule="auto"/>
        <w:ind w:left="720"/>
        <w:rPr>
          <w:rFonts w:ascii="Arial" w:hAnsi="Arial" w:cs="Arial"/>
        </w:rPr>
      </w:pPr>
      <w:r w:rsidRPr="004124CB">
        <w:rPr>
          <w:rFonts w:ascii="Arial" w:hAnsi="Arial" w:cs="Arial"/>
        </w:rPr>
        <w:t xml:space="preserve">Practice in a classroom is formative to the extent that evidence about student achievement is elicited, interpreted, and used by teachers, learners, or their peers, to make decisions about the next steps in instruction that are likely to be better, or better founded, than the decisions they would have taken in the absence of the evidence that was elicited. </w:t>
      </w:r>
    </w:p>
    <w:p w14:paraId="1CE255D5" w14:textId="12980292" w:rsidR="00A1223D" w:rsidRPr="004124CB" w:rsidRDefault="00A1223D" w:rsidP="004124CB">
      <w:pPr>
        <w:spacing w:line="360" w:lineRule="auto"/>
        <w:ind w:left="720"/>
        <w:jc w:val="right"/>
        <w:rPr>
          <w:rFonts w:ascii="Arial" w:hAnsi="Arial" w:cs="Arial"/>
        </w:rPr>
      </w:pPr>
      <w:r w:rsidRPr="004124CB">
        <w:rPr>
          <w:rFonts w:ascii="Arial" w:hAnsi="Arial" w:cs="Arial"/>
        </w:rPr>
        <w:t xml:space="preserve">(Black </w:t>
      </w:r>
      <w:r w:rsidR="00226BA7" w:rsidRPr="004124CB">
        <w:rPr>
          <w:rFonts w:ascii="Arial" w:hAnsi="Arial" w:cs="Arial"/>
        </w:rPr>
        <w:t>and</w:t>
      </w:r>
      <w:r w:rsidRPr="004124CB">
        <w:rPr>
          <w:rFonts w:ascii="Arial" w:hAnsi="Arial" w:cs="Arial"/>
        </w:rPr>
        <w:t xml:space="preserve"> William, 2009, p. 9)</w:t>
      </w:r>
    </w:p>
    <w:p w14:paraId="75688C6C" w14:textId="0B07505B" w:rsidR="00404FE5" w:rsidRDefault="00404FE5" w:rsidP="004124CB">
      <w:pPr>
        <w:spacing w:line="360" w:lineRule="auto"/>
        <w:rPr>
          <w:rFonts w:ascii="Arial" w:hAnsi="Arial" w:cs="Arial"/>
        </w:rPr>
      </w:pPr>
      <w:r w:rsidRPr="004124CB">
        <w:rPr>
          <w:rFonts w:ascii="Arial" w:hAnsi="Arial" w:cs="Arial"/>
        </w:rPr>
        <w:t>The following essay will explore the literature around</w:t>
      </w:r>
      <w:r w:rsidR="006848D4" w:rsidRPr="004124CB">
        <w:rPr>
          <w:rFonts w:ascii="Arial" w:hAnsi="Arial" w:cs="Arial"/>
        </w:rPr>
        <w:t xml:space="preserve"> </w:t>
      </w:r>
      <w:r w:rsidR="00FC2E34" w:rsidRPr="004124CB">
        <w:rPr>
          <w:rFonts w:ascii="Arial" w:hAnsi="Arial" w:cs="Arial"/>
        </w:rPr>
        <w:t>two</w:t>
      </w:r>
      <w:r w:rsidR="006848D4" w:rsidRPr="004124CB">
        <w:rPr>
          <w:rFonts w:ascii="Arial" w:hAnsi="Arial" w:cs="Arial"/>
        </w:rPr>
        <w:t xml:space="preserve"> AfL </w:t>
      </w:r>
      <w:r w:rsidR="008D6AF8" w:rsidRPr="004124CB">
        <w:rPr>
          <w:rFonts w:ascii="Arial" w:hAnsi="Arial" w:cs="Arial"/>
        </w:rPr>
        <w:t>elements</w:t>
      </w:r>
      <w:r w:rsidR="00450B3D" w:rsidRPr="004124CB">
        <w:rPr>
          <w:rFonts w:ascii="Arial" w:hAnsi="Arial" w:cs="Arial"/>
        </w:rPr>
        <w:t>,</w:t>
      </w:r>
      <w:r w:rsidR="008D6AF8" w:rsidRPr="004124CB">
        <w:rPr>
          <w:rFonts w:ascii="Arial" w:hAnsi="Arial" w:cs="Arial"/>
        </w:rPr>
        <w:t xml:space="preserve"> questioning</w:t>
      </w:r>
      <w:r w:rsidR="00FC2E34" w:rsidRPr="004124CB">
        <w:rPr>
          <w:rFonts w:ascii="Arial" w:hAnsi="Arial" w:cs="Arial"/>
        </w:rPr>
        <w:t xml:space="preserve"> and self/peer-assessment</w:t>
      </w:r>
      <w:r w:rsidR="00450B3D" w:rsidRPr="004124CB">
        <w:rPr>
          <w:rFonts w:ascii="Arial" w:hAnsi="Arial" w:cs="Arial"/>
        </w:rPr>
        <w:t xml:space="preserve">, </w:t>
      </w:r>
      <w:r w:rsidRPr="004124CB">
        <w:rPr>
          <w:rFonts w:ascii="Arial" w:hAnsi="Arial" w:cs="Arial"/>
        </w:rPr>
        <w:t>and critically discuss the benefits and limitations of</w:t>
      </w:r>
      <w:r w:rsidR="006848D4" w:rsidRPr="004124CB">
        <w:rPr>
          <w:rFonts w:ascii="Arial" w:hAnsi="Arial" w:cs="Arial"/>
        </w:rPr>
        <w:t xml:space="preserve"> the various approaches that may be used in each one</w:t>
      </w:r>
      <w:r w:rsidRPr="004124CB">
        <w:rPr>
          <w:rFonts w:ascii="Arial" w:hAnsi="Arial" w:cs="Arial"/>
        </w:rPr>
        <w:t xml:space="preserve">. I will then use </w:t>
      </w:r>
      <w:r w:rsidR="00A20066" w:rsidRPr="004124CB">
        <w:rPr>
          <w:rFonts w:ascii="Arial" w:hAnsi="Arial" w:cs="Arial"/>
        </w:rPr>
        <w:t xml:space="preserve">the knowledge gained from this critical discussion to inform and justify my next steps in future teaching experiences. </w:t>
      </w:r>
    </w:p>
    <w:p w14:paraId="4F8BAE68" w14:textId="77777777" w:rsidR="00933A0C" w:rsidRDefault="00933A0C" w:rsidP="00933A0C">
      <w:pPr>
        <w:spacing w:line="360" w:lineRule="auto"/>
        <w:rPr>
          <w:rFonts w:ascii="Arial" w:hAnsi="Arial" w:cs="Arial"/>
          <w:b/>
          <w:bCs/>
          <w:sz w:val="28"/>
          <w:szCs w:val="28"/>
        </w:rPr>
      </w:pPr>
    </w:p>
    <w:p w14:paraId="24F702A6" w14:textId="4B95DEA8" w:rsidR="00C17408" w:rsidRPr="00933A0C" w:rsidRDefault="00C17408" w:rsidP="00933A0C">
      <w:pPr>
        <w:spacing w:line="360" w:lineRule="auto"/>
        <w:rPr>
          <w:rFonts w:ascii="Arial" w:hAnsi="Arial" w:cs="Arial"/>
          <w:b/>
          <w:bCs/>
          <w:sz w:val="28"/>
          <w:szCs w:val="28"/>
        </w:rPr>
      </w:pPr>
      <w:r w:rsidRPr="00933A0C">
        <w:rPr>
          <w:rFonts w:ascii="Arial" w:hAnsi="Arial" w:cs="Arial"/>
          <w:b/>
          <w:bCs/>
          <w:sz w:val="28"/>
          <w:szCs w:val="28"/>
        </w:rPr>
        <w:t>Literature Review/Critical Discussion</w:t>
      </w:r>
    </w:p>
    <w:p w14:paraId="16216D5A" w14:textId="41635BC9" w:rsidR="008F5AD1" w:rsidRPr="004124CB" w:rsidRDefault="00DE2B1A" w:rsidP="004124CB">
      <w:pPr>
        <w:spacing w:line="360" w:lineRule="auto"/>
        <w:rPr>
          <w:rFonts w:ascii="Arial" w:hAnsi="Arial" w:cs="Arial"/>
        </w:rPr>
      </w:pPr>
      <w:r w:rsidRPr="004124CB">
        <w:rPr>
          <w:rFonts w:ascii="Arial" w:hAnsi="Arial" w:cs="Arial"/>
        </w:rPr>
        <w:lastRenderedPageBreak/>
        <w:t xml:space="preserve">Questioning is an important aspect of the learning environment and part of every teacher’s pedagogical toolkit. Questions are also one of the components of effective formative assessment (Black et al., 2003). </w:t>
      </w:r>
      <w:proofErr w:type="gramStart"/>
      <w:r w:rsidR="007A1793" w:rsidRPr="004124CB">
        <w:rPr>
          <w:rFonts w:ascii="Arial" w:hAnsi="Arial" w:cs="Arial"/>
        </w:rPr>
        <w:t>In order to</w:t>
      </w:r>
      <w:proofErr w:type="gramEnd"/>
      <w:r w:rsidR="007A1793" w:rsidRPr="004124CB">
        <w:rPr>
          <w:rFonts w:ascii="Arial" w:hAnsi="Arial" w:cs="Arial"/>
        </w:rPr>
        <w:t xml:space="preserve"> thoroughly explore and evaluate questioning as an AfL strategy, this essay will look at the two elements that form the strategy separately – the quality of questions and wait time, and the methods of answer collection employed by teachers. </w:t>
      </w:r>
      <w:r w:rsidR="00D62163" w:rsidRPr="004124CB">
        <w:rPr>
          <w:rFonts w:ascii="Arial" w:hAnsi="Arial" w:cs="Arial"/>
        </w:rPr>
        <w:t xml:space="preserve">Focusing firstly on the quality of questioning, </w:t>
      </w:r>
      <w:r w:rsidR="0001326C" w:rsidRPr="004124CB">
        <w:rPr>
          <w:rFonts w:ascii="Arial" w:hAnsi="Arial" w:cs="Arial"/>
        </w:rPr>
        <w:t>educational research is largely in favour of open-ended questions rather than closed questions (</w:t>
      </w:r>
      <w:r w:rsidR="00930B61" w:rsidRPr="004124CB">
        <w:rPr>
          <w:rFonts w:ascii="Arial" w:hAnsi="Arial" w:cs="Arial"/>
        </w:rPr>
        <w:t xml:space="preserve">Briggs, </w:t>
      </w:r>
      <w:r w:rsidR="001229FC" w:rsidRPr="004124CB">
        <w:rPr>
          <w:rFonts w:ascii="Arial" w:hAnsi="Arial" w:cs="Arial"/>
        </w:rPr>
        <w:t>2008; Spendlove</w:t>
      </w:r>
      <w:r w:rsidR="00D037F4" w:rsidRPr="004124CB">
        <w:rPr>
          <w:rFonts w:ascii="Arial" w:hAnsi="Arial" w:cs="Arial"/>
        </w:rPr>
        <w:t>, 2009;</w:t>
      </w:r>
      <w:r w:rsidR="00930B61" w:rsidRPr="004124CB">
        <w:rPr>
          <w:rFonts w:ascii="Arial" w:hAnsi="Arial" w:cs="Arial"/>
        </w:rPr>
        <w:t xml:space="preserve"> </w:t>
      </w:r>
      <w:r w:rsidR="0069407F" w:rsidRPr="004124CB">
        <w:rPr>
          <w:rFonts w:ascii="Arial" w:hAnsi="Arial" w:cs="Arial"/>
        </w:rPr>
        <w:t xml:space="preserve">Boyd, 2015; </w:t>
      </w:r>
      <w:r w:rsidR="000C557B" w:rsidRPr="004124CB">
        <w:rPr>
          <w:rFonts w:ascii="Arial" w:hAnsi="Arial" w:cs="Arial"/>
        </w:rPr>
        <w:t>Çakır</w:t>
      </w:r>
      <w:r w:rsidR="002F6E1C" w:rsidRPr="004124CB">
        <w:rPr>
          <w:rFonts w:ascii="Arial" w:hAnsi="Arial" w:cs="Arial"/>
        </w:rPr>
        <w:t xml:space="preserve"> </w:t>
      </w:r>
      <w:r w:rsidR="00226BA7" w:rsidRPr="004124CB">
        <w:rPr>
          <w:rFonts w:ascii="Arial" w:hAnsi="Arial" w:cs="Arial"/>
        </w:rPr>
        <w:t xml:space="preserve">and </w:t>
      </w:r>
      <w:r w:rsidR="002F6E1C" w:rsidRPr="004124CB">
        <w:rPr>
          <w:rFonts w:ascii="Arial" w:hAnsi="Arial" w:cs="Arial"/>
          <w:color w:val="222222"/>
          <w:shd w:val="clear" w:color="auto" w:fill="FFFFFF"/>
        </w:rPr>
        <w:t xml:space="preserve">Cengiz, 2016; </w:t>
      </w:r>
      <w:r w:rsidR="0001326C" w:rsidRPr="004124CB">
        <w:rPr>
          <w:rFonts w:ascii="Arial" w:hAnsi="Arial" w:cs="Arial"/>
        </w:rPr>
        <w:t xml:space="preserve">Salmon </w:t>
      </w:r>
      <w:r w:rsidR="00226BA7" w:rsidRPr="004124CB">
        <w:rPr>
          <w:rFonts w:ascii="Arial" w:hAnsi="Arial" w:cs="Arial"/>
        </w:rPr>
        <w:t xml:space="preserve">and </w:t>
      </w:r>
      <w:r w:rsidR="0001326C" w:rsidRPr="004124CB">
        <w:rPr>
          <w:rFonts w:ascii="Arial" w:hAnsi="Arial" w:cs="Arial"/>
        </w:rPr>
        <w:t>Barrera, 2021</w:t>
      </w:r>
      <w:r w:rsidR="0021527B" w:rsidRPr="004124CB">
        <w:rPr>
          <w:rFonts w:ascii="Arial" w:hAnsi="Arial" w:cs="Arial"/>
        </w:rPr>
        <w:t xml:space="preserve">). </w:t>
      </w:r>
      <w:proofErr w:type="gramStart"/>
      <w:r w:rsidR="0021527B" w:rsidRPr="004124CB">
        <w:rPr>
          <w:rFonts w:ascii="Arial" w:hAnsi="Arial" w:cs="Arial"/>
        </w:rPr>
        <w:t>In</w:t>
      </w:r>
      <w:r w:rsidR="00AE72AE" w:rsidRPr="004124CB">
        <w:rPr>
          <w:rFonts w:ascii="Arial" w:hAnsi="Arial" w:cs="Arial"/>
        </w:rPr>
        <w:t xml:space="preserve"> particular, Briggs</w:t>
      </w:r>
      <w:proofErr w:type="gramEnd"/>
      <w:r w:rsidR="00AE72AE" w:rsidRPr="004124CB">
        <w:rPr>
          <w:rFonts w:ascii="Arial" w:hAnsi="Arial" w:cs="Arial"/>
        </w:rPr>
        <w:t xml:space="preserve"> (2008) states that research into questioning has found that assessment for learning </w:t>
      </w:r>
      <w:r w:rsidR="0021527B" w:rsidRPr="004124CB">
        <w:rPr>
          <w:rFonts w:ascii="Arial" w:hAnsi="Arial" w:cs="Arial"/>
        </w:rPr>
        <w:t xml:space="preserve">is much more effective if the questions asked are open ended, rather than closed (p. 116). </w:t>
      </w:r>
      <w:r w:rsidR="00AE72AE" w:rsidRPr="004124CB">
        <w:rPr>
          <w:rFonts w:ascii="Arial" w:hAnsi="Arial" w:cs="Arial"/>
        </w:rPr>
        <w:t xml:space="preserve"> </w:t>
      </w:r>
      <w:r w:rsidR="0021527B" w:rsidRPr="004124CB">
        <w:rPr>
          <w:rFonts w:ascii="Arial" w:hAnsi="Arial" w:cs="Arial"/>
        </w:rPr>
        <w:t xml:space="preserve">While closed questions are often necessary when asking learners to recall facts, they can limit teachers’ ability to assess learning as they do little to illustrate the pupil’s actual understanding. Whereas open-ended questions help learners to ‘explain their thinking and the strategies they used’ as well as promoting ‘reflective thoughts that will help develop conceptual understanding’ (Briggs, 2008, p. 116). </w:t>
      </w:r>
      <w:bookmarkStart w:id="1" w:name="_Hlk92217372"/>
      <w:r w:rsidR="00B20D71" w:rsidRPr="004124CB">
        <w:rPr>
          <w:rFonts w:ascii="Arial" w:hAnsi="Arial" w:cs="Arial"/>
        </w:rPr>
        <w:t>Another prominent aspect that papers cite as i</w:t>
      </w:r>
      <w:r w:rsidR="009D086C" w:rsidRPr="004124CB">
        <w:rPr>
          <w:rFonts w:ascii="Arial" w:hAnsi="Arial" w:cs="Arial"/>
        </w:rPr>
        <w:t>nfluential</w:t>
      </w:r>
      <w:r w:rsidR="00B20D71" w:rsidRPr="004124CB">
        <w:rPr>
          <w:rFonts w:ascii="Arial" w:hAnsi="Arial" w:cs="Arial"/>
        </w:rPr>
        <w:t xml:space="preserve"> on </w:t>
      </w:r>
      <w:r w:rsidR="009D086C" w:rsidRPr="004124CB">
        <w:rPr>
          <w:rFonts w:ascii="Arial" w:hAnsi="Arial" w:cs="Arial"/>
        </w:rPr>
        <w:t xml:space="preserve">the successfulness of questioning </w:t>
      </w:r>
      <w:proofErr w:type="gramStart"/>
      <w:r w:rsidR="00C17408" w:rsidRPr="004124CB">
        <w:rPr>
          <w:rFonts w:ascii="Arial" w:hAnsi="Arial" w:cs="Arial"/>
        </w:rPr>
        <w:t>in regard to</w:t>
      </w:r>
      <w:proofErr w:type="gramEnd"/>
      <w:r w:rsidR="009D086C" w:rsidRPr="004124CB">
        <w:rPr>
          <w:rFonts w:ascii="Arial" w:hAnsi="Arial" w:cs="Arial"/>
        </w:rPr>
        <w:t xml:space="preserve"> AfL </w:t>
      </w:r>
      <w:r w:rsidR="00B20D71" w:rsidRPr="004124CB">
        <w:rPr>
          <w:rFonts w:ascii="Arial" w:hAnsi="Arial" w:cs="Arial"/>
        </w:rPr>
        <w:t xml:space="preserve">is wait time (Brooks </w:t>
      </w:r>
      <w:r w:rsidR="00933A0C">
        <w:rPr>
          <w:rFonts w:ascii="Arial" w:hAnsi="Arial" w:cs="Arial"/>
        </w:rPr>
        <w:t>and</w:t>
      </w:r>
      <w:r w:rsidR="00B20D71" w:rsidRPr="004124CB">
        <w:rPr>
          <w:rFonts w:ascii="Arial" w:hAnsi="Arial" w:cs="Arial"/>
        </w:rPr>
        <w:t xml:space="preserve"> Brooks, </w:t>
      </w:r>
      <w:r w:rsidR="00970681" w:rsidRPr="004124CB">
        <w:rPr>
          <w:rFonts w:ascii="Arial" w:hAnsi="Arial" w:cs="Arial"/>
        </w:rPr>
        <w:t>1999</w:t>
      </w:r>
      <w:r w:rsidR="00B20D71" w:rsidRPr="004124CB">
        <w:rPr>
          <w:rFonts w:ascii="Arial" w:hAnsi="Arial" w:cs="Arial"/>
        </w:rPr>
        <w:t>; Cohen et al., 20</w:t>
      </w:r>
      <w:r w:rsidR="00B80E3E" w:rsidRPr="004124CB">
        <w:rPr>
          <w:rFonts w:ascii="Arial" w:hAnsi="Arial" w:cs="Arial"/>
        </w:rPr>
        <w:t>10</w:t>
      </w:r>
      <w:r w:rsidR="00B20D71" w:rsidRPr="004124CB">
        <w:rPr>
          <w:rFonts w:ascii="Arial" w:hAnsi="Arial" w:cs="Arial"/>
        </w:rPr>
        <w:t>; Spendlove, 2009).</w:t>
      </w:r>
      <w:r w:rsidR="00200F49" w:rsidRPr="004124CB">
        <w:rPr>
          <w:rFonts w:ascii="Arial" w:hAnsi="Arial" w:cs="Arial"/>
        </w:rPr>
        <w:t xml:space="preserve">  The concept of wait time refers to the ‘periods of silence that follow teachers’ questions’ where pupils are able to reflect before providing their answer (</w:t>
      </w:r>
      <w:r w:rsidR="009D086C" w:rsidRPr="004124CB">
        <w:rPr>
          <w:rFonts w:ascii="Arial" w:hAnsi="Arial" w:cs="Arial"/>
        </w:rPr>
        <w:t xml:space="preserve">Stahl, 1994, p. 2). </w:t>
      </w:r>
      <w:r w:rsidR="00970681" w:rsidRPr="004124CB">
        <w:rPr>
          <w:rFonts w:ascii="Arial" w:hAnsi="Arial" w:cs="Arial"/>
        </w:rPr>
        <w:t xml:space="preserve">Brooks and Brooks (1999) concluded that classroom environments that call for quick responses prevent learners who are not immediately ready to answer questions from ‘thinking through issues and concepts thoroughly, forcing them, in effect, to become spectators as their quicker peers react’ (p. 11). This can then result in them actively disengaging from the lesson when the teacher asks questions, affecting their overall learning and achievement (Brooks </w:t>
      </w:r>
      <w:r w:rsidR="00933A0C">
        <w:rPr>
          <w:rFonts w:ascii="Arial" w:hAnsi="Arial" w:cs="Arial"/>
        </w:rPr>
        <w:t>and</w:t>
      </w:r>
      <w:r w:rsidR="00970681" w:rsidRPr="004124CB">
        <w:rPr>
          <w:rFonts w:ascii="Arial" w:hAnsi="Arial" w:cs="Arial"/>
        </w:rPr>
        <w:t xml:space="preserve"> Brooks, 1999). </w:t>
      </w:r>
      <w:r w:rsidR="00B80E3E" w:rsidRPr="004124CB">
        <w:rPr>
          <w:rFonts w:ascii="Arial" w:hAnsi="Arial" w:cs="Arial"/>
        </w:rPr>
        <w:t xml:space="preserve">Cohen et al. (2010) recommend that teachers wait ‘3-5 seconds for a low-order or factual, closed question and up to 15 seconds for an open-ended or higher-order question’ (p. 284). Waiting any longer than these recommended </w:t>
      </w:r>
      <w:r w:rsidR="008F5AD1" w:rsidRPr="004124CB">
        <w:rPr>
          <w:rFonts w:ascii="Arial" w:hAnsi="Arial" w:cs="Arial"/>
        </w:rPr>
        <w:t>periods</w:t>
      </w:r>
      <w:r w:rsidR="00B80E3E" w:rsidRPr="004124CB">
        <w:rPr>
          <w:rFonts w:ascii="Arial" w:hAnsi="Arial" w:cs="Arial"/>
        </w:rPr>
        <w:t xml:space="preserve"> may lead to learners becoming ‘restless or impatient’</w:t>
      </w:r>
      <w:r w:rsidR="003E34FD" w:rsidRPr="004124CB">
        <w:rPr>
          <w:rFonts w:ascii="Arial" w:hAnsi="Arial" w:cs="Arial"/>
        </w:rPr>
        <w:t xml:space="preserve">, so there is a limit to wait time before the lesson may start to lose pace </w:t>
      </w:r>
      <w:r w:rsidR="00B80E3E" w:rsidRPr="004124CB">
        <w:rPr>
          <w:rFonts w:ascii="Arial" w:hAnsi="Arial" w:cs="Arial"/>
        </w:rPr>
        <w:t xml:space="preserve">(Cohen et al., 2010, p. 284). </w:t>
      </w:r>
    </w:p>
    <w:p w14:paraId="1FE57399" w14:textId="41DDC41B" w:rsidR="00DD6D87" w:rsidRPr="004124CB" w:rsidRDefault="00B80E3E" w:rsidP="004124CB">
      <w:pPr>
        <w:spacing w:line="360" w:lineRule="auto"/>
        <w:rPr>
          <w:rFonts w:ascii="Arial" w:hAnsi="Arial" w:cs="Arial"/>
        </w:rPr>
      </w:pPr>
      <w:bookmarkStart w:id="2" w:name="_Hlk92218092"/>
      <w:bookmarkEnd w:id="1"/>
      <w:r w:rsidRPr="004124CB">
        <w:rPr>
          <w:rFonts w:ascii="Arial" w:hAnsi="Arial" w:cs="Arial"/>
        </w:rPr>
        <w:t xml:space="preserve">With </w:t>
      </w:r>
      <w:r w:rsidR="008F5AD1" w:rsidRPr="004124CB">
        <w:rPr>
          <w:rFonts w:ascii="Arial" w:hAnsi="Arial" w:cs="Arial"/>
        </w:rPr>
        <w:t>the evidenced impact of question quality and wait time on the effectiveness of AfL in mind, it is important to also explore the different approaches teachers can take to obtaining answers. If using open-ended questions and extending the wait time is not enough for practitioners to gain an idea of all learners’ abilities and understanding, employing different answer strategies could be the solution.</w:t>
      </w:r>
      <w:r w:rsidR="00177EA4" w:rsidRPr="004124CB">
        <w:rPr>
          <w:rFonts w:ascii="Arial" w:hAnsi="Arial" w:cs="Arial"/>
        </w:rPr>
        <w:t xml:space="preserve"> ‘No hands up’ is one of these strategies, which involves a teach</w:t>
      </w:r>
      <w:r w:rsidR="006B1EBA" w:rsidRPr="004124CB">
        <w:rPr>
          <w:rFonts w:ascii="Arial" w:hAnsi="Arial" w:cs="Arial"/>
        </w:rPr>
        <w:t>er</w:t>
      </w:r>
      <w:r w:rsidR="00177EA4" w:rsidRPr="004124CB">
        <w:rPr>
          <w:rFonts w:ascii="Arial" w:hAnsi="Arial" w:cs="Arial"/>
        </w:rPr>
        <w:t xml:space="preserve"> asking a question and then randomly choosing a pupil to answer. This is</w:t>
      </w:r>
      <w:r w:rsidR="004A4C19" w:rsidRPr="004124CB">
        <w:rPr>
          <w:rFonts w:ascii="Arial" w:hAnsi="Arial" w:cs="Arial"/>
        </w:rPr>
        <w:t xml:space="preserve"> often</w:t>
      </w:r>
      <w:r w:rsidR="00177EA4" w:rsidRPr="004124CB">
        <w:rPr>
          <w:rFonts w:ascii="Arial" w:hAnsi="Arial" w:cs="Arial"/>
        </w:rPr>
        <w:t xml:space="preserve"> done in hopes of increasing engagement in </w:t>
      </w:r>
      <w:r w:rsidR="004A4C19" w:rsidRPr="004124CB">
        <w:rPr>
          <w:rFonts w:ascii="Arial" w:hAnsi="Arial" w:cs="Arial"/>
        </w:rPr>
        <w:t xml:space="preserve">the classroom, by ensuring that pupils who </w:t>
      </w:r>
      <w:r w:rsidR="004A4C19" w:rsidRPr="004124CB">
        <w:rPr>
          <w:rFonts w:ascii="Arial" w:hAnsi="Arial" w:cs="Arial"/>
        </w:rPr>
        <w:lastRenderedPageBreak/>
        <w:t>may usually shy away from class discussion are encouraged to participate (William, 2018). This then allows the teacher to observe the progress</w:t>
      </w:r>
      <w:r w:rsidR="006B1EBA" w:rsidRPr="004124CB">
        <w:rPr>
          <w:rFonts w:ascii="Arial" w:hAnsi="Arial" w:cs="Arial"/>
        </w:rPr>
        <w:t xml:space="preserve"> and understanding </w:t>
      </w:r>
      <w:r w:rsidR="004A4C19" w:rsidRPr="004124CB">
        <w:rPr>
          <w:rFonts w:ascii="Arial" w:hAnsi="Arial" w:cs="Arial"/>
        </w:rPr>
        <w:t xml:space="preserve">of </w:t>
      </w:r>
      <w:r w:rsidR="006B1EBA" w:rsidRPr="004124CB">
        <w:rPr>
          <w:rFonts w:ascii="Arial" w:hAnsi="Arial" w:cs="Arial"/>
        </w:rPr>
        <w:t xml:space="preserve">more </w:t>
      </w:r>
      <w:r w:rsidR="004A4C19" w:rsidRPr="004124CB">
        <w:rPr>
          <w:rFonts w:ascii="Arial" w:hAnsi="Arial" w:cs="Arial"/>
        </w:rPr>
        <w:t>pupils before the main task of a lesson begins</w:t>
      </w:r>
      <w:r w:rsidR="006B1EBA" w:rsidRPr="004124CB">
        <w:rPr>
          <w:rFonts w:ascii="Arial" w:hAnsi="Arial" w:cs="Arial"/>
        </w:rPr>
        <w:t>, allowing them to know who may need assistance as opposed to finding out a pupil was struggling after the lesson. However, this strategy has received some criticism. A study by Barry and Hardy (2010</w:t>
      </w:r>
      <w:r w:rsidR="0060168E" w:rsidRPr="004124CB">
        <w:rPr>
          <w:rFonts w:ascii="Arial" w:hAnsi="Arial" w:cs="Arial"/>
        </w:rPr>
        <w:t>, cited in William, 2018, p. 95</w:t>
      </w:r>
      <w:r w:rsidR="006B1EBA" w:rsidRPr="004124CB">
        <w:rPr>
          <w:rFonts w:ascii="Arial" w:hAnsi="Arial" w:cs="Arial"/>
        </w:rPr>
        <w:t xml:space="preserve">) found that in a classroom where the teacher used lollipop sticks to select pupils, three high ability pupils secretly removed </w:t>
      </w:r>
      <w:r w:rsidR="0043778E" w:rsidRPr="004124CB">
        <w:rPr>
          <w:rFonts w:ascii="Arial" w:hAnsi="Arial" w:cs="Arial"/>
        </w:rPr>
        <w:t>their sticks and when questioned said that ‘they only raised their hands when they had an answer’ and they ‘found the prospect of being asked to respond when they did not have an answer threatening to their image of themselves as high-performing students’</w:t>
      </w:r>
      <w:r w:rsidR="0060168E" w:rsidRPr="004124CB">
        <w:rPr>
          <w:rFonts w:ascii="Arial" w:hAnsi="Arial" w:cs="Arial"/>
        </w:rPr>
        <w:t xml:space="preserve">. </w:t>
      </w:r>
      <w:r w:rsidR="0043778E" w:rsidRPr="004124CB">
        <w:rPr>
          <w:rFonts w:ascii="Arial" w:hAnsi="Arial" w:cs="Arial"/>
        </w:rPr>
        <w:t>This is a worrying finding, but William (2018) suggests that teachers could help pupils overcome this worry by reminding learners that the purpose of the strategy is to en</w:t>
      </w:r>
      <w:r w:rsidR="00007B73" w:rsidRPr="004124CB">
        <w:rPr>
          <w:rFonts w:ascii="Arial" w:hAnsi="Arial" w:cs="Arial"/>
        </w:rPr>
        <w:t>courage</w:t>
      </w:r>
      <w:r w:rsidR="0043778E" w:rsidRPr="004124CB">
        <w:rPr>
          <w:rFonts w:ascii="Arial" w:hAnsi="Arial" w:cs="Arial"/>
        </w:rPr>
        <w:t xml:space="preserve"> everyone to be </w:t>
      </w:r>
      <w:r w:rsidR="00007B73" w:rsidRPr="004124CB">
        <w:rPr>
          <w:rFonts w:ascii="Arial" w:hAnsi="Arial" w:cs="Arial"/>
        </w:rPr>
        <w:t>participate</w:t>
      </w:r>
      <w:r w:rsidR="0043778E" w:rsidRPr="004124CB">
        <w:rPr>
          <w:rFonts w:ascii="Arial" w:hAnsi="Arial" w:cs="Arial"/>
        </w:rPr>
        <w:t xml:space="preserve"> in the conversation </w:t>
      </w:r>
      <w:r w:rsidR="00007B73" w:rsidRPr="004124CB">
        <w:rPr>
          <w:rFonts w:ascii="Arial" w:hAnsi="Arial" w:cs="Arial"/>
        </w:rPr>
        <w:t xml:space="preserve">and that it should make pupils ‘more supportive of each other as learners’ rather than leading learners to be critical of each other over mistakes (p. 95). </w:t>
      </w:r>
      <w:r w:rsidR="003E34FD" w:rsidRPr="004124CB">
        <w:rPr>
          <w:rFonts w:ascii="Arial" w:hAnsi="Arial" w:cs="Arial"/>
        </w:rPr>
        <w:t>Another similar and equally popular approach is the use of mini whiteboards.</w:t>
      </w:r>
      <w:r w:rsidR="00E20EA0" w:rsidRPr="004124CB">
        <w:rPr>
          <w:rFonts w:ascii="Arial" w:hAnsi="Arial" w:cs="Arial"/>
        </w:rPr>
        <w:t xml:space="preserve"> These are usually used when a teacher has asked a subject-specific question that requires a quick response. This can provide teachers ‘with information about every student’s learning during a lesson and thus solves the problem of acquiring information</w:t>
      </w:r>
      <w:r w:rsidR="0069324F" w:rsidRPr="004124CB">
        <w:rPr>
          <w:rFonts w:ascii="Arial" w:hAnsi="Arial" w:cs="Arial"/>
        </w:rPr>
        <w:t xml:space="preserve"> about every individual student in large classes’ (</w:t>
      </w:r>
      <w:r w:rsidR="00B54904" w:rsidRPr="004124CB">
        <w:rPr>
          <w:rFonts w:ascii="Arial" w:hAnsi="Arial" w:cs="Arial"/>
        </w:rPr>
        <w:t xml:space="preserve">Andersson </w:t>
      </w:r>
      <w:r w:rsidR="00197BD2" w:rsidRPr="004124CB">
        <w:rPr>
          <w:rFonts w:ascii="Arial" w:hAnsi="Arial" w:cs="Arial"/>
        </w:rPr>
        <w:t xml:space="preserve">and </w:t>
      </w:r>
      <w:r w:rsidR="00B54904" w:rsidRPr="004124CB">
        <w:rPr>
          <w:rFonts w:ascii="Arial" w:hAnsi="Arial" w:cs="Arial"/>
        </w:rPr>
        <w:t xml:space="preserve">Palm, 2017, p. 114). </w:t>
      </w:r>
    </w:p>
    <w:p w14:paraId="0C017D8E" w14:textId="0263A92D" w:rsidR="006F2E66" w:rsidRPr="004124CB" w:rsidRDefault="00CD45FA" w:rsidP="004124CB">
      <w:pPr>
        <w:spacing w:line="360" w:lineRule="auto"/>
        <w:rPr>
          <w:rFonts w:ascii="Arial" w:hAnsi="Arial" w:cs="Arial"/>
        </w:rPr>
      </w:pPr>
      <w:bookmarkStart w:id="3" w:name="_Hlk92218742"/>
      <w:bookmarkEnd w:id="2"/>
      <w:r w:rsidRPr="004124CB">
        <w:rPr>
          <w:rFonts w:ascii="Arial" w:hAnsi="Arial" w:cs="Arial"/>
        </w:rPr>
        <w:t xml:space="preserve">Another crucial component of AfL is self and peer-assessment. </w:t>
      </w:r>
      <w:r w:rsidR="00C10B8B" w:rsidRPr="004124CB">
        <w:rPr>
          <w:rFonts w:ascii="Arial" w:hAnsi="Arial" w:cs="Arial"/>
        </w:rPr>
        <w:t xml:space="preserve">Briggs (2008) stated that self and peer-assessment </w:t>
      </w:r>
      <w:r w:rsidR="00585539" w:rsidRPr="004124CB">
        <w:rPr>
          <w:rFonts w:ascii="Arial" w:hAnsi="Arial" w:cs="Arial"/>
        </w:rPr>
        <w:t xml:space="preserve">is a key feature of AfL, as it allows learners to become aware of what and how they learn, as well as what can support their learning. </w:t>
      </w:r>
      <w:r w:rsidR="00171A65" w:rsidRPr="004124CB">
        <w:rPr>
          <w:rFonts w:ascii="Arial" w:hAnsi="Arial" w:cs="Arial"/>
        </w:rPr>
        <w:t xml:space="preserve">Focusing firstly on self-assessment, Black et al. (2004) note that ‘students can achieve a learning goal only if they understand that goal and can assess what they need to do to reach it’ (p. 14). </w:t>
      </w:r>
      <w:r w:rsidR="0032760F" w:rsidRPr="004124CB">
        <w:rPr>
          <w:rFonts w:ascii="Arial" w:hAnsi="Arial" w:cs="Arial"/>
        </w:rPr>
        <w:t xml:space="preserve">Involving pupils in assessment this way has been shown to correlate with improvements in academic achievement (Andarde, 2010). </w:t>
      </w:r>
      <w:proofErr w:type="gramStart"/>
      <w:r w:rsidR="0032760F" w:rsidRPr="004124CB">
        <w:rPr>
          <w:rFonts w:ascii="Arial" w:hAnsi="Arial" w:cs="Arial"/>
        </w:rPr>
        <w:t>In particular, self-</w:t>
      </w:r>
      <w:proofErr w:type="gramEnd"/>
      <w:r w:rsidR="0032760F" w:rsidRPr="004124CB">
        <w:rPr>
          <w:rFonts w:ascii="Arial" w:hAnsi="Arial" w:cs="Arial"/>
        </w:rPr>
        <w:t xml:space="preserve">assessment has been positively associated with improved writing quality </w:t>
      </w:r>
      <w:bookmarkStart w:id="4" w:name="_Hlk92128792"/>
      <w:r w:rsidR="0032760F" w:rsidRPr="004124CB">
        <w:rPr>
          <w:rFonts w:ascii="Arial" w:hAnsi="Arial" w:cs="Arial"/>
        </w:rPr>
        <w:t xml:space="preserve">(Andrade </w:t>
      </w:r>
      <w:r w:rsidR="00D70F83" w:rsidRPr="004124CB">
        <w:rPr>
          <w:rFonts w:ascii="Arial" w:hAnsi="Arial" w:cs="Arial"/>
        </w:rPr>
        <w:t>and</w:t>
      </w:r>
      <w:r w:rsidR="0032760F" w:rsidRPr="004124CB">
        <w:rPr>
          <w:rFonts w:ascii="Arial" w:hAnsi="Arial" w:cs="Arial"/>
        </w:rPr>
        <w:t xml:space="preserve"> Boulay, 2003; Andrade, Du, </w:t>
      </w:r>
      <w:r w:rsidR="00D70F83" w:rsidRPr="004124CB">
        <w:rPr>
          <w:rFonts w:ascii="Arial" w:hAnsi="Arial" w:cs="Arial"/>
        </w:rPr>
        <w:t xml:space="preserve">and </w:t>
      </w:r>
      <w:r w:rsidR="0032760F" w:rsidRPr="004124CB">
        <w:rPr>
          <w:rFonts w:ascii="Arial" w:hAnsi="Arial" w:cs="Arial"/>
        </w:rPr>
        <w:t xml:space="preserve">Wang, 2008; Ross, Rolheiser </w:t>
      </w:r>
      <w:r w:rsidR="00D70F83" w:rsidRPr="004124CB">
        <w:rPr>
          <w:rFonts w:ascii="Arial" w:hAnsi="Arial" w:cs="Arial"/>
        </w:rPr>
        <w:t>and</w:t>
      </w:r>
      <w:r w:rsidR="0032760F" w:rsidRPr="004124CB">
        <w:rPr>
          <w:rFonts w:ascii="Arial" w:hAnsi="Arial" w:cs="Arial"/>
        </w:rPr>
        <w:t xml:space="preserve"> Hogaboam-Gray, 1999). </w:t>
      </w:r>
      <w:bookmarkEnd w:id="4"/>
      <w:r w:rsidR="0032760F" w:rsidRPr="004124CB">
        <w:rPr>
          <w:rFonts w:ascii="Arial" w:hAnsi="Arial" w:cs="Arial"/>
        </w:rPr>
        <w:t xml:space="preserve">This included ‘more effective handling of sophisticated qualities such as ideas and context, organisation, and voice’ (Andarde, 2010, p. 5). </w:t>
      </w:r>
      <w:r w:rsidR="00A810E0" w:rsidRPr="004124CB">
        <w:rPr>
          <w:rFonts w:ascii="Arial" w:hAnsi="Arial" w:cs="Arial"/>
        </w:rPr>
        <w:t xml:space="preserve">Improved performance is not only limited to writing quality, as several studies have found a </w:t>
      </w:r>
      <w:r w:rsidR="00025DD4" w:rsidRPr="004124CB">
        <w:rPr>
          <w:rFonts w:ascii="Arial" w:hAnsi="Arial" w:cs="Arial"/>
        </w:rPr>
        <w:t xml:space="preserve">positive correlation between use of self-assessment and academic achievement in a wide range areas and contexts (Sharma et al., 2016; Kostons, 2010; </w:t>
      </w:r>
      <w:r w:rsidR="00875BAA" w:rsidRPr="004124CB">
        <w:rPr>
          <w:rFonts w:ascii="Arial" w:hAnsi="Arial" w:cs="Arial"/>
        </w:rPr>
        <w:t xml:space="preserve">Birjandi </w:t>
      </w:r>
      <w:r w:rsidR="00D70F83" w:rsidRPr="004124CB">
        <w:rPr>
          <w:rFonts w:ascii="Arial" w:hAnsi="Arial" w:cs="Arial"/>
        </w:rPr>
        <w:t xml:space="preserve">and </w:t>
      </w:r>
      <w:r w:rsidR="00875BAA" w:rsidRPr="004124CB">
        <w:rPr>
          <w:rFonts w:ascii="Arial" w:hAnsi="Arial" w:cs="Arial"/>
        </w:rPr>
        <w:t xml:space="preserve">Hadidi, 2012; Clift, 2015; Schunk, 1996; Nikou </w:t>
      </w:r>
      <w:r w:rsidR="00D70F83" w:rsidRPr="004124CB">
        <w:rPr>
          <w:rFonts w:ascii="Arial" w:hAnsi="Arial" w:cs="Arial"/>
        </w:rPr>
        <w:t xml:space="preserve">and </w:t>
      </w:r>
      <w:r w:rsidR="00875BAA" w:rsidRPr="004124CB">
        <w:rPr>
          <w:rFonts w:ascii="Arial" w:hAnsi="Arial" w:cs="Arial"/>
        </w:rPr>
        <w:t xml:space="preserve">Economides, 2016). </w:t>
      </w:r>
      <w:r w:rsidR="00025DD4" w:rsidRPr="004124CB">
        <w:rPr>
          <w:rFonts w:ascii="Arial" w:hAnsi="Arial" w:cs="Arial"/>
        </w:rPr>
        <w:t xml:space="preserve">This AfL technique </w:t>
      </w:r>
      <w:r w:rsidR="00567966" w:rsidRPr="004124CB">
        <w:rPr>
          <w:rFonts w:ascii="Arial" w:hAnsi="Arial" w:cs="Arial"/>
        </w:rPr>
        <w:t xml:space="preserve">has also been shown to </w:t>
      </w:r>
      <w:r w:rsidR="003D4FBF" w:rsidRPr="004124CB">
        <w:rPr>
          <w:rFonts w:ascii="Arial" w:hAnsi="Arial" w:cs="Arial"/>
        </w:rPr>
        <w:t xml:space="preserve">not only increase learners’ interest and knowledge in a subject, but also their </w:t>
      </w:r>
      <w:r w:rsidR="009750BB" w:rsidRPr="004124CB">
        <w:rPr>
          <w:rFonts w:ascii="Arial" w:hAnsi="Arial" w:cs="Arial"/>
        </w:rPr>
        <w:t xml:space="preserve">motivation (Sharma et al., 2016). It can also benefit pupils by allowing teachers to have an insight into the way learners </w:t>
      </w:r>
      <w:r w:rsidR="00E573D7" w:rsidRPr="004124CB">
        <w:rPr>
          <w:rFonts w:ascii="Arial" w:hAnsi="Arial" w:cs="Arial"/>
        </w:rPr>
        <w:t xml:space="preserve">learn and process information, making any interventions much more effective (Black </w:t>
      </w:r>
      <w:r w:rsidR="00D70F83" w:rsidRPr="004124CB">
        <w:rPr>
          <w:rFonts w:ascii="Arial" w:hAnsi="Arial" w:cs="Arial"/>
        </w:rPr>
        <w:t xml:space="preserve">and </w:t>
      </w:r>
      <w:r w:rsidR="00E573D7" w:rsidRPr="004124CB">
        <w:rPr>
          <w:rFonts w:ascii="Arial" w:hAnsi="Arial" w:cs="Arial"/>
        </w:rPr>
        <w:t xml:space="preserve">William, </w:t>
      </w:r>
      <w:r w:rsidR="00C656D6" w:rsidRPr="004124CB">
        <w:rPr>
          <w:rFonts w:ascii="Arial" w:hAnsi="Arial" w:cs="Arial"/>
        </w:rPr>
        <w:t>1998</w:t>
      </w:r>
      <w:r w:rsidR="00E573D7" w:rsidRPr="004124CB">
        <w:rPr>
          <w:rFonts w:ascii="Arial" w:hAnsi="Arial" w:cs="Arial"/>
        </w:rPr>
        <w:t xml:space="preserve">). </w:t>
      </w:r>
      <w:r w:rsidR="00A810E0" w:rsidRPr="004124CB">
        <w:rPr>
          <w:rFonts w:ascii="Arial" w:hAnsi="Arial" w:cs="Arial"/>
        </w:rPr>
        <w:t xml:space="preserve"> </w:t>
      </w:r>
    </w:p>
    <w:p w14:paraId="5CF2A9C9" w14:textId="704DFA7B" w:rsidR="008F5AD1" w:rsidRPr="004124CB" w:rsidRDefault="00F50A51" w:rsidP="004124CB">
      <w:pPr>
        <w:spacing w:line="360" w:lineRule="auto"/>
        <w:rPr>
          <w:rFonts w:ascii="Arial" w:hAnsi="Arial" w:cs="Arial"/>
        </w:rPr>
      </w:pPr>
      <w:r w:rsidRPr="004124CB">
        <w:rPr>
          <w:rFonts w:ascii="Arial" w:hAnsi="Arial" w:cs="Arial"/>
        </w:rPr>
        <w:lastRenderedPageBreak/>
        <w:t xml:space="preserve">In </w:t>
      </w:r>
      <w:proofErr w:type="gramStart"/>
      <w:r w:rsidR="00BD7A1A" w:rsidRPr="004124CB">
        <w:rPr>
          <w:rFonts w:ascii="Arial" w:hAnsi="Arial" w:cs="Arial"/>
        </w:rPr>
        <w:t>the majority of</w:t>
      </w:r>
      <w:proofErr w:type="gramEnd"/>
      <w:r w:rsidR="00BD7A1A" w:rsidRPr="004124CB">
        <w:rPr>
          <w:rFonts w:ascii="Arial" w:hAnsi="Arial" w:cs="Arial"/>
        </w:rPr>
        <w:t xml:space="preserve"> the</w:t>
      </w:r>
      <w:r w:rsidR="00801FFC" w:rsidRPr="004124CB">
        <w:rPr>
          <w:rFonts w:ascii="Arial" w:hAnsi="Arial" w:cs="Arial"/>
        </w:rPr>
        <w:t xml:space="preserve"> work cited above, utilising a rubric is the most effective method to achieving the found benefits of self-assessment. Rubrics usually include the criteria of a lesson and is used by teachers to assess pupils’ work. By simplifying these rubrics by using more age-appropriate words and phrases,</w:t>
      </w:r>
      <w:r w:rsidRPr="004124CB">
        <w:rPr>
          <w:rFonts w:ascii="Arial" w:hAnsi="Arial" w:cs="Arial"/>
        </w:rPr>
        <w:t xml:space="preserve"> teachers can help pupils to self-assess themselves more effectively and what they need to improve to reach the next level or grade (</w:t>
      </w:r>
      <w:bookmarkStart w:id="5" w:name="_Hlk92128872"/>
      <w:r w:rsidRPr="004124CB">
        <w:rPr>
          <w:rFonts w:ascii="Arial" w:hAnsi="Arial" w:cs="Arial"/>
        </w:rPr>
        <w:t>Vasileiadou and Karadimitriou, 2021</w:t>
      </w:r>
      <w:bookmarkEnd w:id="5"/>
      <w:r w:rsidRPr="004124CB">
        <w:rPr>
          <w:rFonts w:ascii="Arial" w:hAnsi="Arial" w:cs="Arial"/>
        </w:rPr>
        <w:t xml:space="preserve">). Additionally, the co-creation of a success criteria </w:t>
      </w:r>
      <w:r w:rsidR="00966479" w:rsidRPr="004124CB">
        <w:rPr>
          <w:rFonts w:ascii="Arial" w:hAnsi="Arial" w:cs="Arial"/>
        </w:rPr>
        <w:t xml:space="preserve">as </w:t>
      </w:r>
      <w:r w:rsidRPr="004124CB">
        <w:rPr>
          <w:rFonts w:ascii="Arial" w:hAnsi="Arial" w:cs="Arial"/>
        </w:rPr>
        <w:t xml:space="preserve">a whole class exercise has been shown to </w:t>
      </w:r>
      <w:r w:rsidR="00966479" w:rsidRPr="004124CB">
        <w:rPr>
          <w:rFonts w:ascii="Arial" w:hAnsi="Arial" w:cs="Arial"/>
        </w:rPr>
        <w:t xml:space="preserve">increase academic performance in primary school pupils (Andre et al., 2008).  </w:t>
      </w:r>
      <w:r w:rsidR="00AB453C" w:rsidRPr="004124CB">
        <w:rPr>
          <w:rFonts w:ascii="Arial" w:hAnsi="Arial" w:cs="Arial"/>
        </w:rPr>
        <w:t xml:space="preserve">Hattie and Clarke (2018) </w:t>
      </w:r>
      <w:r w:rsidR="004A660B" w:rsidRPr="004124CB">
        <w:rPr>
          <w:rFonts w:ascii="Arial" w:hAnsi="Arial" w:cs="Arial"/>
        </w:rPr>
        <w:t xml:space="preserve">suggest using examples of work that would meet the success criteria, as well as work that wouldn’t and asking pupils to decide which is which and explain why. These are more commonly known as a WAGOLL (what a good one looks like) and a WABOLL (what a bad one looks like). By allowing pupils to visually examine a good or bad example of the work they will be doing and identify positive or negative features, pupils are more able to co-construct a success criteria (Hattie and Clarke, 2018). </w:t>
      </w:r>
      <w:r w:rsidR="00A810E0" w:rsidRPr="004124CB">
        <w:rPr>
          <w:rFonts w:ascii="Arial" w:hAnsi="Arial" w:cs="Arial"/>
        </w:rPr>
        <w:t xml:space="preserve">However, despite the numerous studies and papers in support of self-assessment, there have been suggested limitations to the </w:t>
      </w:r>
      <w:r w:rsidR="000D3C6B" w:rsidRPr="004124CB">
        <w:rPr>
          <w:rFonts w:ascii="Arial" w:hAnsi="Arial" w:cs="Arial"/>
        </w:rPr>
        <w:t>approach. Accuracy is a frequent concern, with Brown and Harris (2013) stating that accuracy is critical as ‘if the self-assessment process leads students to conclude wrongly that they are good or weak in some domain and they base personal decisions on such false interpretations, harm could be done’ (</w:t>
      </w:r>
      <w:r w:rsidR="00DC626B" w:rsidRPr="004124CB">
        <w:rPr>
          <w:rFonts w:ascii="Arial" w:hAnsi="Arial" w:cs="Arial"/>
        </w:rPr>
        <w:t xml:space="preserve">Brown </w:t>
      </w:r>
      <w:r w:rsidR="00933A0C">
        <w:rPr>
          <w:rFonts w:ascii="Arial" w:hAnsi="Arial" w:cs="Arial"/>
        </w:rPr>
        <w:t>and</w:t>
      </w:r>
      <w:r w:rsidR="00DC626B" w:rsidRPr="004124CB">
        <w:rPr>
          <w:rFonts w:ascii="Arial" w:hAnsi="Arial" w:cs="Arial"/>
        </w:rPr>
        <w:t xml:space="preserve"> Harris, 2013, </w:t>
      </w:r>
      <w:r w:rsidR="000D3C6B" w:rsidRPr="004124CB">
        <w:rPr>
          <w:rFonts w:ascii="Arial" w:hAnsi="Arial" w:cs="Arial"/>
        </w:rPr>
        <w:t xml:space="preserve">p. </w:t>
      </w:r>
      <w:r w:rsidR="00633DD7" w:rsidRPr="004124CB">
        <w:rPr>
          <w:rFonts w:ascii="Arial" w:hAnsi="Arial" w:cs="Arial"/>
        </w:rPr>
        <w:t xml:space="preserve">370). They found that in younger pupils, self-assessments tended to ‘be more optimistic, lenient or generous than older students’ (p. 384). </w:t>
      </w:r>
      <w:r w:rsidR="00DC626B" w:rsidRPr="004124CB">
        <w:rPr>
          <w:rFonts w:ascii="Arial" w:hAnsi="Arial" w:cs="Arial"/>
        </w:rPr>
        <w:t xml:space="preserve">The authors suggest that the employment of self-assessment techniques, especially in primary education, require ‘instructional input and caution’ (Brown </w:t>
      </w:r>
      <w:r w:rsidR="00933A0C">
        <w:rPr>
          <w:rFonts w:ascii="Arial" w:hAnsi="Arial" w:cs="Arial"/>
        </w:rPr>
        <w:t>and</w:t>
      </w:r>
      <w:r w:rsidR="00DC626B" w:rsidRPr="004124CB">
        <w:rPr>
          <w:rFonts w:ascii="Arial" w:hAnsi="Arial" w:cs="Arial"/>
        </w:rPr>
        <w:t xml:space="preserve"> Harris, 2013, p. 386). </w:t>
      </w:r>
      <w:r w:rsidR="007153E6" w:rsidRPr="004124CB">
        <w:rPr>
          <w:rFonts w:ascii="Arial" w:hAnsi="Arial" w:cs="Arial"/>
        </w:rPr>
        <w:t xml:space="preserve">Claes and Salame (1975) also discuss this possibility, concluding </w:t>
      </w:r>
      <w:r w:rsidR="00A15082" w:rsidRPr="004124CB">
        <w:rPr>
          <w:rFonts w:ascii="Arial" w:hAnsi="Arial" w:cs="Arial"/>
        </w:rPr>
        <w:t xml:space="preserve">from their research results </w:t>
      </w:r>
      <w:r w:rsidR="007153E6" w:rsidRPr="004124CB">
        <w:rPr>
          <w:rFonts w:ascii="Arial" w:hAnsi="Arial" w:cs="Arial"/>
        </w:rPr>
        <w:t>that it is best to give learners a rubric that has definitive goals rather than criteria with subjective language</w:t>
      </w:r>
      <w:r w:rsidR="00A15082" w:rsidRPr="004124CB">
        <w:rPr>
          <w:rFonts w:ascii="Arial" w:hAnsi="Arial" w:cs="Arial"/>
        </w:rPr>
        <w:t xml:space="preserve">. </w:t>
      </w:r>
    </w:p>
    <w:p w14:paraId="7BCA4FEB" w14:textId="53B23E19" w:rsidR="00EE5162" w:rsidRDefault="00F14EAB" w:rsidP="004124CB">
      <w:pPr>
        <w:spacing w:line="360" w:lineRule="auto"/>
        <w:rPr>
          <w:rFonts w:ascii="Arial" w:hAnsi="Arial" w:cs="Arial"/>
        </w:rPr>
      </w:pPr>
      <w:r w:rsidRPr="004124CB">
        <w:rPr>
          <w:rFonts w:ascii="Arial" w:hAnsi="Arial" w:cs="Arial"/>
        </w:rPr>
        <w:t>Regarding peer</w:t>
      </w:r>
      <w:r w:rsidR="00540380" w:rsidRPr="004124CB">
        <w:rPr>
          <w:rFonts w:ascii="Arial" w:hAnsi="Arial" w:cs="Arial"/>
        </w:rPr>
        <w:t>-</w:t>
      </w:r>
      <w:r w:rsidRPr="004124CB">
        <w:rPr>
          <w:rFonts w:ascii="Arial" w:hAnsi="Arial" w:cs="Arial"/>
        </w:rPr>
        <w:t xml:space="preserve">assessment, Black et al. (2004) remark that it is ‘an important complement to self-assessment’ (p. </w:t>
      </w:r>
      <w:r w:rsidR="00540380" w:rsidRPr="004124CB">
        <w:rPr>
          <w:rFonts w:ascii="Arial" w:hAnsi="Arial" w:cs="Arial"/>
        </w:rPr>
        <w:t xml:space="preserve">14). </w:t>
      </w:r>
      <w:r w:rsidR="00335BA1" w:rsidRPr="004124CB">
        <w:rPr>
          <w:rFonts w:ascii="Arial" w:hAnsi="Arial" w:cs="Arial"/>
        </w:rPr>
        <w:t>In that respect, many of the skills needed for self-assessment are transferable to peer-assessment</w:t>
      </w:r>
      <w:r w:rsidR="00B27FEF" w:rsidRPr="004124CB">
        <w:rPr>
          <w:rFonts w:ascii="Arial" w:hAnsi="Arial" w:cs="Arial"/>
        </w:rPr>
        <w:t xml:space="preserve"> – pupils need to be able to understand the criteria well enough to assess their peer’s work and potentially explain their judgement (To and Panadero, 2019). </w:t>
      </w:r>
      <w:r w:rsidR="00182FFA" w:rsidRPr="004124CB">
        <w:rPr>
          <w:rFonts w:ascii="Arial" w:hAnsi="Arial" w:cs="Arial"/>
        </w:rPr>
        <w:t xml:space="preserve">Research </w:t>
      </w:r>
      <w:r w:rsidR="005F46D5" w:rsidRPr="004124CB">
        <w:rPr>
          <w:rFonts w:ascii="Arial" w:hAnsi="Arial" w:cs="Arial"/>
        </w:rPr>
        <w:t>on</w:t>
      </w:r>
      <w:r w:rsidR="00182FFA" w:rsidRPr="004124CB">
        <w:rPr>
          <w:rFonts w:ascii="Arial" w:hAnsi="Arial" w:cs="Arial"/>
        </w:rPr>
        <w:t xml:space="preserve"> peer-assessment is limited, as most studies appear to focus</w:t>
      </w:r>
      <w:r w:rsidR="00182FFA" w:rsidRPr="004124CB">
        <w:rPr>
          <w:rFonts w:ascii="Arial" w:hAnsi="Arial" w:cs="Arial"/>
        </w:rPr>
        <w:t xml:space="preserve"> only</w:t>
      </w:r>
      <w:r w:rsidR="00182FFA" w:rsidRPr="004124CB">
        <w:rPr>
          <w:rFonts w:ascii="Arial" w:hAnsi="Arial" w:cs="Arial"/>
        </w:rPr>
        <w:t xml:space="preserve"> on the perceptions of teachers and students of the strategy (Brown et al., 2009; Young and Jackman, 2014; Adachi, Tai and Dawson, 2018). While this is an important aspect that does need to be studied, there is a lack of exploration and analysis of the impact peer-assessment can have on academic </w:t>
      </w:r>
      <w:r w:rsidR="00335BA1" w:rsidRPr="004124CB">
        <w:rPr>
          <w:rFonts w:ascii="Arial" w:hAnsi="Arial" w:cs="Arial"/>
        </w:rPr>
        <w:t>achievement. Although</w:t>
      </w:r>
      <w:r w:rsidR="00182FFA" w:rsidRPr="004124CB">
        <w:rPr>
          <w:rFonts w:ascii="Arial" w:hAnsi="Arial" w:cs="Arial"/>
        </w:rPr>
        <w:t xml:space="preserve">, the few studies that have </w:t>
      </w:r>
      <w:r w:rsidR="00926C82" w:rsidRPr="004124CB">
        <w:rPr>
          <w:rFonts w:ascii="Arial" w:hAnsi="Arial" w:cs="Arial"/>
        </w:rPr>
        <w:t>investigated</w:t>
      </w:r>
      <w:r w:rsidR="00182FFA" w:rsidRPr="004124CB">
        <w:rPr>
          <w:rFonts w:ascii="Arial" w:hAnsi="Arial" w:cs="Arial"/>
        </w:rPr>
        <w:t xml:space="preserve"> this have found a positive correlation between peer assessment and performance (Double, McGrane and Hopfenbeck, 2019;</w:t>
      </w:r>
      <w:r w:rsidR="00182FFA" w:rsidRPr="004124CB">
        <w:rPr>
          <w:rFonts w:ascii="Arial" w:hAnsi="Arial" w:cs="Arial"/>
        </w:rPr>
        <w:t xml:space="preserve"> </w:t>
      </w:r>
      <w:r w:rsidR="00182FFA" w:rsidRPr="004124CB">
        <w:rPr>
          <w:rFonts w:ascii="Arial" w:hAnsi="Arial" w:cs="Arial"/>
        </w:rPr>
        <w:t>Yurdabakan, 2011</w:t>
      </w:r>
      <w:r w:rsidR="00182FFA" w:rsidRPr="004124CB">
        <w:rPr>
          <w:rFonts w:ascii="Arial" w:hAnsi="Arial" w:cs="Arial"/>
        </w:rPr>
        <w:t xml:space="preserve">). Returning to </w:t>
      </w:r>
      <w:r w:rsidR="00182FFA" w:rsidRPr="004124CB">
        <w:rPr>
          <w:rFonts w:ascii="Arial" w:hAnsi="Arial" w:cs="Arial"/>
        </w:rPr>
        <w:lastRenderedPageBreak/>
        <w:t xml:space="preserve">the </w:t>
      </w:r>
      <w:proofErr w:type="gramStart"/>
      <w:r w:rsidR="00335BA1" w:rsidRPr="004124CB">
        <w:rPr>
          <w:rFonts w:ascii="Arial" w:hAnsi="Arial" w:cs="Arial"/>
        </w:rPr>
        <w:t xml:space="preserve">aforementioned </w:t>
      </w:r>
      <w:r w:rsidR="00182FFA" w:rsidRPr="004124CB">
        <w:rPr>
          <w:rFonts w:ascii="Arial" w:hAnsi="Arial" w:cs="Arial"/>
        </w:rPr>
        <w:t>research</w:t>
      </w:r>
      <w:proofErr w:type="gramEnd"/>
      <w:r w:rsidR="00182FFA" w:rsidRPr="004124CB">
        <w:rPr>
          <w:rFonts w:ascii="Arial" w:hAnsi="Arial" w:cs="Arial"/>
        </w:rPr>
        <w:t xml:space="preserve"> on the perception of students and teachers</w:t>
      </w:r>
      <w:r w:rsidR="00335BA1" w:rsidRPr="004124CB">
        <w:rPr>
          <w:rFonts w:ascii="Arial" w:hAnsi="Arial" w:cs="Arial"/>
        </w:rPr>
        <w:t xml:space="preserve">, </w:t>
      </w:r>
      <w:r w:rsidR="00182FFA" w:rsidRPr="004124CB">
        <w:rPr>
          <w:rFonts w:ascii="Arial" w:hAnsi="Arial" w:cs="Arial"/>
        </w:rPr>
        <w:t xml:space="preserve">Black et al. (2004) </w:t>
      </w:r>
      <w:r w:rsidR="00540380" w:rsidRPr="004124CB">
        <w:rPr>
          <w:rFonts w:ascii="Arial" w:hAnsi="Arial" w:cs="Arial"/>
        </w:rPr>
        <w:t xml:space="preserve">comment on the unique advantage that peer-assessment provides as </w:t>
      </w:r>
      <w:r w:rsidR="00335BA1" w:rsidRPr="004124CB">
        <w:rPr>
          <w:rFonts w:ascii="Arial" w:hAnsi="Arial" w:cs="Arial"/>
        </w:rPr>
        <w:t xml:space="preserve">they suggest </w:t>
      </w:r>
      <w:r w:rsidR="00540380" w:rsidRPr="004124CB">
        <w:rPr>
          <w:rFonts w:ascii="Arial" w:hAnsi="Arial" w:cs="Arial"/>
        </w:rPr>
        <w:t>pupils may more readily accept criticism from their peers compared to their teacher</w:t>
      </w:r>
      <w:r w:rsidR="007E7D17" w:rsidRPr="004124CB">
        <w:rPr>
          <w:rFonts w:ascii="Arial" w:hAnsi="Arial" w:cs="Arial"/>
        </w:rPr>
        <w:t xml:space="preserve"> (Black et al., 2004). </w:t>
      </w:r>
      <w:r w:rsidR="00651D63" w:rsidRPr="004124CB">
        <w:rPr>
          <w:rFonts w:ascii="Arial" w:hAnsi="Arial" w:cs="Arial"/>
        </w:rPr>
        <w:t>Purchase (2000</w:t>
      </w:r>
      <w:r w:rsidR="00AA316F" w:rsidRPr="004124CB">
        <w:rPr>
          <w:rFonts w:ascii="Arial" w:hAnsi="Arial" w:cs="Arial"/>
        </w:rPr>
        <w:t>, cited in Yurdabakan, 2011, p. 157</w:t>
      </w:r>
      <w:r w:rsidR="00651D63" w:rsidRPr="004124CB">
        <w:rPr>
          <w:rFonts w:ascii="Arial" w:hAnsi="Arial" w:cs="Arial"/>
        </w:rPr>
        <w:t>) found that, in group s</w:t>
      </w:r>
      <w:r w:rsidR="00335BA1" w:rsidRPr="004124CB">
        <w:rPr>
          <w:rFonts w:ascii="Arial" w:hAnsi="Arial" w:cs="Arial"/>
        </w:rPr>
        <w:t xml:space="preserve">ettings </w:t>
      </w:r>
      <w:r w:rsidR="00651D63" w:rsidRPr="004124CB">
        <w:rPr>
          <w:rFonts w:ascii="Arial" w:hAnsi="Arial" w:cs="Arial"/>
        </w:rPr>
        <w:t>where peer</w:t>
      </w:r>
      <w:r w:rsidR="00335BA1" w:rsidRPr="004124CB">
        <w:rPr>
          <w:rFonts w:ascii="Arial" w:hAnsi="Arial" w:cs="Arial"/>
        </w:rPr>
        <w:t xml:space="preserve"> </w:t>
      </w:r>
      <w:r w:rsidR="00651D63" w:rsidRPr="004124CB">
        <w:rPr>
          <w:rFonts w:ascii="Arial" w:hAnsi="Arial" w:cs="Arial"/>
        </w:rPr>
        <w:t xml:space="preserve">assessment was use, learners were more engaged in the lesson and ‘expected their group members to take the work more seriously and participate more, </w:t>
      </w:r>
      <w:r w:rsidR="00335BA1" w:rsidRPr="004124CB">
        <w:rPr>
          <w:rFonts w:ascii="Arial" w:hAnsi="Arial" w:cs="Arial"/>
        </w:rPr>
        <w:t xml:space="preserve">thereby </w:t>
      </w:r>
      <w:r w:rsidR="00651D63" w:rsidRPr="004124CB">
        <w:rPr>
          <w:rFonts w:ascii="Arial" w:hAnsi="Arial" w:cs="Arial"/>
        </w:rPr>
        <w:t xml:space="preserve">strengthening the sense of </w:t>
      </w:r>
      <w:r w:rsidR="00AA316F" w:rsidRPr="004124CB">
        <w:rPr>
          <w:rFonts w:ascii="Arial" w:hAnsi="Arial" w:cs="Arial"/>
        </w:rPr>
        <w:t>interdependence</w:t>
      </w:r>
      <w:r w:rsidR="00651D63" w:rsidRPr="004124CB">
        <w:rPr>
          <w:rFonts w:ascii="Arial" w:hAnsi="Arial" w:cs="Arial"/>
        </w:rPr>
        <w:t>’</w:t>
      </w:r>
      <w:r w:rsidR="00335BA1" w:rsidRPr="004124CB">
        <w:rPr>
          <w:rFonts w:ascii="Arial" w:hAnsi="Arial" w:cs="Arial"/>
        </w:rPr>
        <w:t xml:space="preserve"> in their classmates</w:t>
      </w:r>
      <w:r w:rsidR="00AA316F" w:rsidRPr="004124CB">
        <w:rPr>
          <w:rFonts w:ascii="Arial" w:hAnsi="Arial" w:cs="Arial"/>
        </w:rPr>
        <w:t xml:space="preserve">. </w:t>
      </w:r>
      <w:r w:rsidR="00335BA1" w:rsidRPr="004124CB">
        <w:rPr>
          <w:rFonts w:ascii="Arial" w:hAnsi="Arial" w:cs="Arial"/>
        </w:rPr>
        <w:t>Flórez</w:t>
      </w:r>
      <w:r w:rsidR="00335BA1" w:rsidRPr="004124CB">
        <w:rPr>
          <w:rFonts w:ascii="Arial" w:hAnsi="Arial" w:cs="Arial"/>
        </w:rPr>
        <w:t xml:space="preserve"> and Sammons (2013) also suggest that the similarity in language between peers</w:t>
      </w:r>
      <w:r w:rsidR="008407A3" w:rsidRPr="004124CB">
        <w:rPr>
          <w:rFonts w:ascii="Arial" w:hAnsi="Arial" w:cs="Arial"/>
        </w:rPr>
        <w:t xml:space="preserve"> makes feedback ‘more accessible and understandable’ than it would be coming from a teacher (p. 10). There are many suggested methods of peer-assessment, with most being applicable across age groups, but the </w:t>
      </w:r>
      <w:r w:rsidR="006F0929" w:rsidRPr="004124CB">
        <w:rPr>
          <w:rFonts w:ascii="Arial" w:hAnsi="Arial" w:cs="Arial"/>
        </w:rPr>
        <w:t xml:space="preserve">most common is </w:t>
      </w:r>
      <w:r w:rsidR="008407A3" w:rsidRPr="004124CB">
        <w:rPr>
          <w:rFonts w:ascii="Arial" w:hAnsi="Arial" w:cs="Arial"/>
        </w:rPr>
        <w:t>often paired marking (</w:t>
      </w:r>
      <w:r w:rsidR="008407A3" w:rsidRPr="004124CB">
        <w:rPr>
          <w:rFonts w:ascii="Arial" w:hAnsi="Arial" w:cs="Arial"/>
        </w:rPr>
        <w:t>Flórez and Sammons</w:t>
      </w:r>
      <w:r w:rsidR="008407A3" w:rsidRPr="004124CB">
        <w:rPr>
          <w:rFonts w:ascii="Arial" w:hAnsi="Arial" w:cs="Arial"/>
        </w:rPr>
        <w:t xml:space="preserve">, 2013, p. 10). </w:t>
      </w:r>
      <w:r w:rsidR="005F46D5" w:rsidRPr="004124CB">
        <w:rPr>
          <w:rFonts w:ascii="Arial" w:hAnsi="Arial" w:cs="Arial"/>
        </w:rPr>
        <w:t xml:space="preserve">Paired or peer marking involves the basics of peer-assessment, with learners using a rubric or a co-constructed success criteria. </w:t>
      </w:r>
      <w:r w:rsidR="00896E07" w:rsidRPr="004124CB">
        <w:rPr>
          <w:rFonts w:ascii="Arial" w:hAnsi="Arial" w:cs="Arial"/>
        </w:rPr>
        <w:t xml:space="preserve">This feedback from peers can ‘support learning through an intermediate check on the learner’s performance, which is adapted to their level and is complemented with comments on students’ strengths, weaknesses and perhaps advices for greater improvements’ </w:t>
      </w:r>
      <w:r w:rsidR="006F0929" w:rsidRPr="004124CB">
        <w:rPr>
          <w:rFonts w:ascii="Arial" w:hAnsi="Arial" w:cs="Arial"/>
        </w:rPr>
        <w:t xml:space="preserve">(Babaii and Adeh, 2004). </w:t>
      </w:r>
      <w:r w:rsidR="00F51548" w:rsidRPr="004124CB">
        <w:rPr>
          <w:rFonts w:ascii="Arial" w:hAnsi="Arial" w:cs="Arial"/>
        </w:rPr>
        <w:t xml:space="preserve">Clarke (2009) also encourages the usage of the traffic light system for peer-assessment during a lesson rather than at the end. She found </w:t>
      </w:r>
      <w:r w:rsidR="00926C82" w:rsidRPr="004124CB">
        <w:rPr>
          <w:rFonts w:ascii="Arial" w:hAnsi="Arial" w:cs="Arial"/>
        </w:rPr>
        <w:t>that pupils</w:t>
      </w:r>
      <w:r w:rsidR="00F51548" w:rsidRPr="004124CB">
        <w:rPr>
          <w:rFonts w:ascii="Arial" w:hAnsi="Arial" w:cs="Arial"/>
        </w:rPr>
        <w:t xml:space="preserve"> would use the traffic lights with a partner to ‘voice any difficulties during the progression of the lesson without them feeling like they’ve failed in some aspect’ (Clarke, 2009). </w:t>
      </w:r>
      <w:r w:rsidR="007A04FF" w:rsidRPr="004124CB">
        <w:rPr>
          <w:rFonts w:ascii="Arial" w:hAnsi="Arial" w:cs="Arial"/>
        </w:rPr>
        <w:t xml:space="preserve">This differs from approaches such as paired marking as learners are assessing each other’s understanding during a lesson and using their judgement to understand what their peer may need help with. </w:t>
      </w:r>
    </w:p>
    <w:p w14:paraId="538FE782" w14:textId="77777777" w:rsidR="00933A0C" w:rsidRDefault="00933A0C" w:rsidP="00933A0C">
      <w:pPr>
        <w:spacing w:line="360" w:lineRule="auto"/>
        <w:rPr>
          <w:rFonts w:ascii="Arial" w:hAnsi="Arial" w:cs="Arial"/>
          <w:b/>
          <w:bCs/>
          <w:sz w:val="28"/>
          <w:szCs w:val="28"/>
        </w:rPr>
      </w:pPr>
    </w:p>
    <w:p w14:paraId="78C21201" w14:textId="77777777" w:rsidR="00933A0C" w:rsidRDefault="00933A0C" w:rsidP="00933A0C">
      <w:pPr>
        <w:spacing w:line="360" w:lineRule="auto"/>
        <w:rPr>
          <w:rFonts w:ascii="Arial" w:hAnsi="Arial" w:cs="Arial"/>
          <w:b/>
          <w:bCs/>
          <w:sz w:val="28"/>
          <w:szCs w:val="28"/>
        </w:rPr>
      </w:pPr>
    </w:p>
    <w:p w14:paraId="78052CEE" w14:textId="52B15977" w:rsidR="00C17408" w:rsidRPr="00933A0C" w:rsidRDefault="00C17408" w:rsidP="00933A0C">
      <w:pPr>
        <w:spacing w:line="360" w:lineRule="auto"/>
        <w:rPr>
          <w:rFonts w:ascii="Arial" w:hAnsi="Arial" w:cs="Arial"/>
          <w:b/>
          <w:bCs/>
          <w:sz w:val="28"/>
          <w:szCs w:val="28"/>
        </w:rPr>
      </w:pPr>
      <w:r w:rsidRPr="00933A0C">
        <w:rPr>
          <w:rFonts w:ascii="Arial" w:hAnsi="Arial" w:cs="Arial"/>
          <w:b/>
          <w:bCs/>
          <w:sz w:val="28"/>
          <w:szCs w:val="28"/>
        </w:rPr>
        <w:t>Conclusion</w:t>
      </w:r>
    </w:p>
    <w:bookmarkEnd w:id="3"/>
    <w:p w14:paraId="68EA8A20" w14:textId="1846AB32" w:rsidR="00EE5162" w:rsidRPr="004124CB" w:rsidRDefault="00EE5162" w:rsidP="004124CB">
      <w:pPr>
        <w:spacing w:line="360" w:lineRule="auto"/>
        <w:rPr>
          <w:rFonts w:ascii="Arial" w:hAnsi="Arial" w:cs="Arial"/>
        </w:rPr>
      </w:pPr>
      <w:r w:rsidRPr="004124CB">
        <w:rPr>
          <w:rFonts w:ascii="Arial" w:hAnsi="Arial" w:cs="Arial"/>
        </w:rPr>
        <w:t>To conclude this essay, I think it is first important to reflect on the experiences I had of the AfL approaches discussed above prior to this assignment. I had used both questioning and self/peer-assessment in my practi</w:t>
      </w:r>
      <w:r w:rsidR="00E14B9C" w:rsidRPr="004124CB">
        <w:rPr>
          <w:rFonts w:ascii="Arial" w:hAnsi="Arial" w:cs="Arial"/>
        </w:rPr>
        <w:t>s</w:t>
      </w:r>
      <w:r w:rsidRPr="004124CB">
        <w:rPr>
          <w:rFonts w:ascii="Arial" w:hAnsi="Arial" w:cs="Arial"/>
        </w:rPr>
        <w:t>e,</w:t>
      </w:r>
      <w:r w:rsidR="004B7EAB" w:rsidRPr="004124CB">
        <w:rPr>
          <w:rFonts w:ascii="Arial" w:hAnsi="Arial" w:cs="Arial"/>
        </w:rPr>
        <w:t xml:space="preserve"> choosing to do this simply because I had observed the class teacher using. While I do believe that it is essential and often most effective to use approaches and strategies learners are already familiar with, this assignment has offered me the opportunity to reflect on my previous knowledge and application of AfL in the classroom and how I could improve this after reading and evaluating a wide range of literature on the subject. </w:t>
      </w:r>
      <w:r w:rsidR="004A2021" w:rsidRPr="004124CB">
        <w:rPr>
          <w:rFonts w:ascii="Arial" w:hAnsi="Arial" w:cs="Arial"/>
        </w:rPr>
        <w:t xml:space="preserve">Teaching involves constant and consistent reflection on your practise, including the strategies you choose to use, the research you have undertaken (or lack thereof), and how </w:t>
      </w:r>
      <w:r w:rsidR="004A2021" w:rsidRPr="004124CB">
        <w:rPr>
          <w:rFonts w:ascii="Arial" w:hAnsi="Arial" w:cs="Arial"/>
        </w:rPr>
        <w:lastRenderedPageBreak/>
        <w:t xml:space="preserve">you can better yourself </w:t>
      </w:r>
      <w:proofErr w:type="gramStart"/>
      <w:r w:rsidR="004A2021" w:rsidRPr="004124CB">
        <w:rPr>
          <w:rFonts w:ascii="Arial" w:hAnsi="Arial" w:cs="Arial"/>
        </w:rPr>
        <w:t>in order to</w:t>
      </w:r>
      <w:proofErr w:type="gramEnd"/>
      <w:r w:rsidR="004A2021" w:rsidRPr="004124CB">
        <w:rPr>
          <w:rFonts w:ascii="Arial" w:hAnsi="Arial" w:cs="Arial"/>
        </w:rPr>
        <w:t xml:space="preserve"> better help your pupils.</w:t>
      </w:r>
      <w:r w:rsidR="00724F04" w:rsidRPr="004124CB">
        <w:rPr>
          <w:rFonts w:ascii="Arial" w:hAnsi="Arial" w:cs="Arial"/>
        </w:rPr>
        <w:t xml:space="preserve"> In this conclusion I will reflect on my use of each AfL strategy, what I learnt from it, my analysis of the literature around the topic and how this will all impact any future applications of the strategy. Focusing first on questioning, I can admit that I never considering the importance of the quality of the questions I was asking. I frequently asked closed </w:t>
      </w:r>
      <w:r w:rsidR="001229FC" w:rsidRPr="004124CB">
        <w:rPr>
          <w:rFonts w:ascii="Arial" w:hAnsi="Arial" w:cs="Arial"/>
        </w:rPr>
        <w:t>questions and</w:t>
      </w:r>
      <w:r w:rsidR="00724F04" w:rsidRPr="004124CB">
        <w:rPr>
          <w:rFonts w:ascii="Arial" w:hAnsi="Arial" w:cs="Arial"/>
        </w:rPr>
        <w:t xml:space="preserve"> </w:t>
      </w:r>
      <w:r w:rsidR="001229FC" w:rsidRPr="004124CB">
        <w:rPr>
          <w:rFonts w:ascii="Arial" w:hAnsi="Arial" w:cs="Arial"/>
        </w:rPr>
        <w:t xml:space="preserve">figured that because I was using AfL approaches when collecting responses, that was enough. When reflecting at the end of my lessons, I never evaluated myself on my questions – focusing solely on how I chose learners to answer. After critically evaluating the literature around this topic, I can clearly see the significance of how I am asking pupils questions – the language I use, the form I ask them etc. In future, I will </w:t>
      </w:r>
      <w:r w:rsidR="00966A00" w:rsidRPr="004124CB">
        <w:rPr>
          <w:rFonts w:ascii="Arial" w:hAnsi="Arial" w:cs="Arial"/>
        </w:rPr>
        <w:t>ensure</w:t>
      </w:r>
      <w:r w:rsidR="001229FC" w:rsidRPr="004124CB">
        <w:rPr>
          <w:rFonts w:ascii="Arial" w:hAnsi="Arial" w:cs="Arial"/>
        </w:rPr>
        <w:t xml:space="preserve"> I ask open-ended questions as much as I can, where appropriate, and phrase my questions in a way that </w:t>
      </w:r>
      <w:r w:rsidR="00CB6F4A" w:rsidRPr="004124CB">
        <w:rPr>
          <w:rFonts w:ascii="Arial" w:hAnsi="Arial" w:cs="Arial"/>
        </w:rPr>
        <w:t xml:space="preserve">make pupils reflect on their thinking and therefore improve their understanding. Another aspect I feel I neglected to consider is wait time. Again, this wasn’t something I ever really considered as important regarding questioning and AfL. </w:t>
      </w:r>
      <w:r w:rsidR="00966A00" w:rsidRPr="004124CB">
        <w:rPr>
          <w:rFonts w:ascii="Arial" w:hAnsi="Arial" w:cs="Arial"/>
        </w:rPr>
        <w:t xml:space="preserve">Considering the findings of Brooks </w:t>
      </w:r>
      <w:r w:rsidR="004C5A1B" w:rsidRPr="004124CB">
        <w:rPr>
          <w:rFonts w:ascii="Arial" w:hAnsi="Arial" w:cs="Arial"/>
        </w:rPr>
        <w:t xml:space="preserve">and Brooks (1999) discussed previously, it is evident that </w:t>
      </w:r>
      <w:r w:rsidR="00E14B9C" w:rsidRPr="004124CB">
        <w:rPr>
          <w:rFonts w:ascii="Arial" w:hAnsi="Arial" w:cs="Arial"/>
        </w:rPr>
        <w:t xml:space="preserve">pupils can too easily disengage from a lesson if they feel they are not able to think before I request answers. Therefore, from now on I will be following Cohen et al. ‘s (2010) guidelines for the wait time I should employ after questioning, while being careful not to wait too long and lose lesson pace. I think it is a balance that I will find throughout both practise and continuing my research. </w:t>
      </w:r>
    </w:p>
    <w:p w14:paraId="7C3C4F9D" w14:textId="6E9C90B4" w:rsidR="00E14B9C" w:rsidRDefault="00F96483" w:rsidP="004124CB">
      <w:pPr>
        <w:spacing w:line="360" w:lineRule="auto"/>
        <w:rPr>
          <w:rFonts w:ascii="Arial" w:hAnsi="Arial" w:cs="Arial"/>
        </w:rPr>
      </w:pPr>
      <w:r w:rsidRPr="004124CB">
        <w:rPr>
          <w:rFonts w:ascii="Arial" w:hAnsi="Arial" w:cs="Arial"/>
        </w:rPr>
        <w:t xml:space="preserve">I had previously employed the three AfL answering strategies discussed, finding the most success with the ‘no hands up’ technique. Using this during the introduction of a topic allowed me to ensure all pupils remained engaged in the discussion and I was able to gather an idea of each pupil’s understanding </w:t>
      </w:r>
      <w:r w:rsidR="00330E5F" w:rsidRPr="004124CB">
        <w:rPr>
          <w:rFonts w:ascii="Arial" w:hAnsi="Arial" w:cs="Arial"/>
        </w:rPr>
        <w:t xml:space="preserve">before the main task of the lesson began. While I am a fan of this approach after witnessing its’ effectiveness, reading the findings of Barry and Hardy (2010, cited in William, 2018) has made me more aware of how this approach may affect pupils’ self-esteem. </w:t>
      </w:r>
      <w:r w:rsidR="001D1544" w:rsidRPr="004124CB">
        <w:rPr>
          <w:rFonts w:ascii="Arial" w:hAnsi="Arial" w:cs="Arial"/>
        </w:rPr>
        <w:t>Before utilising this strategy again, I would ensure pupils are aware that it is fine if they do not know the answer – the class is a supportive space, and the purpose of the approach is to simply allow everyone to have a chance to participate. I have had limited experience of self- and peer-assessment in my position as a student teacher but have observed its’ utilisation and the benefits it can have. The research I read on providing pupils with a rubric and co-construction of a success criteria supports the positive impact I have observed it has in the classroom.</w:t>
      </w:r>
      <w:r w:rsidR="003414FE" w:rsidRPr="004124CB">
        <w:rPr>
          <w:rFonts w:ascii="Arial" w:hAnsi="Arial" w:cs="Arial"/>
        </w:rPr>
        <w:t xml:space="preserve"> Conducting the literature review has shown me the benefits of peer-assessment, an approach I didn’t view as particularly effective before.  I will use different self/peer-assessment approaches in my future practise, while remaining cautious of the findings around how inaccurate they can be (Brown and Harris, 2013). I will make sure I use clear, appropriate language to avoid pupil misconceptions. </w:t>
      </w:r>
      <w:r w:rsidR="00C65465" w:rsidRPr="004124CB">
        <w:rPr>
          <w:rFonts w:ascii="Arial" w:hAnsi="Arial" w:cs="Arial"/>
        </w:rPr>
        <w:t xml:space="preserve">As part of my </w:t>
      </w:r>
      <w:r w:rsidR="00C65465" w:rsidRPr="004124CB">
        <w:rPr>
          <w:rFonts w:ascii="Arial" w:hAnsi="Arial" w:cs="Arial"/>
        </w:rPr>
        <w:lastRenderedPageBreak/>
        <w:t xml:space="preserve">goal to always be a reflective practitioner, I think it is beneficial to ensure I am considering the </w:t>
      </w:r>
      <w:r w:rsidR="00EE0FF4" w:rsidRPr="004124CB">
        <w:rPr>
          <w:rFonts w:ascii="Arial" w:hAnsi="Arial" w:cs="Arial"/>
        </w:rPr>
        <w:t xml:space="preserve">Professional Standards for Teaching and Leadership (Welsh Government, 2020) </w:t>
      </w:r>
      <w:r w:rsidR="00C65465" w:rsidRPr="004124CB">
        <w:rPr>
          <w:rFonts w:ascii="Arial" w:hAnsi="Arial" w:cs="Arial"/>
        </w:rPr>
        <w:t xml:space="preserve">when making decisions such as what AfL approaches I will utilise. </w:t>
      </w:r>
      <w:r w:rsidR="00EE0FF4" w:rsidRPr="004124CB">
        <w:rPr>
          <w:rFonts w:ascii="Arial" w:hAnsi="Arial" w:cs="Arial"/>
        </w:rPr>
        <w:t>The professional standards require teachers to encourage reflection in learners, a skill that they will learn and develop through self and peer-assessment. If done right, this AfL strategy can help learners develop critical thinking skills and encourages them to take more control over their learning</w:t>
      </w:r>
      <w:r w:rsidR="001A5981" w:rsidRPr="004124CB">
        <w:rPr>
          <w:rFonts w:ascii="Arial" w:hAnsi="Arial" w:cs="Arial"/>
        </w:rPr>
        <w:t xml:space="preserve"> – this can also lead into the ‘sustained effort and resilience in learners’ standard, as pupils become self-motivated and directed (Welsh Government, 2020).</w:t>
      </w:r>
      <w:r w:rsidR="00EE0FF4" w:rsidRPr="004124CB">
        <w:rPr>
          <w:rFonts w:ascii="Arial" w:hAnsi="Arial" w:cs="Arial"/>
        </w:rPr>
        <w:t xml:space="preserve"> To ensure my pupils can achieve this goal, I need to model reflective behaviour by always considering whether the approach I am using is the </w:t>
      </w:r>
      <w:r w:rsidR="001A5981" w:rsidRPr="004124CB">
        <w:rPr>
          <w:rFonts w:ascii="Arial" w:hAnsi="Arial" w:cs="Arial"/>
        </w:rPr>
        <w:t xml:space="preserve">most effective. As part of this, I need to ensure I am meeting the standards that refer to partaking in wider research and continuing my professional learning. This assignment alone has shown me the importance of constantly reading up on the latest research surrounding the techniques I use in the classroom, so it is essential I keep that going moving forward into my career. </w:t>
      </w:r>
    </w:p>
    <w:p w14:paraId="07683E95" w14:textId="453590E7" w:rsidR="009115D0" w:rsidRDefault="009115D0" w:rsidP="004124CB">
      <w:pPr>
        <w:spacing w:line="360" w:lineRule="auto"/>
        <w:rPr>
          <w:rFonts w:ascii="Arial" w:hAnsi="Arial" w:cs="Arial"/>
        </w:rPr>
      </w:pPr>
    </w:p>
    <w:p w14:paraId="3304BF4B" w14:textId="582B5DC3" w:rsidR="009115D0" w:rsidRDefault="009115D0" w:rsidP="004124CB">
      <w:pPr>
        <w:spacing w:line="360" w:lineRule="auto"/>
        <w:rPr>
          <w:rFonts w:ascii="Arial" w:hAnsi="Arial" w:cs="Arial"/>
        </w:rPr>
      </w:pPr>
    </w:p>
    <w:p w14:paraId="12B8E08D" w14:textId="598B4B7A" w:rsidR="009115D0" w:rsidRDefault="009115D0" w:rsidP="004124CB">
      <w:pPr>
        <w:spacing w:line="360" w:lineRule="auto"/>
        <w:rPr>
          <w:rFonts w:ascii="Arial" w:hAnsi="Arial" w:cs="Arial"/>
        </w:rPr>
      </w:pPr>
    </w:p>
    <w:p w14:paraId="4FDB6162" w14:textId="2E33D32E" w:rsidR="009115D0" w:rsidRDefault="009115D0" w:rsidP="004124CB">
      <w:pPr>
        <w:spacing w:line="360" w:lineRule="auto"/>
        <w:rPr>
          <w:rFonts w:ascii="Arial" w:hAnsi="Arial" w:cs="Arial"/>
        </w:rPr>
      </w:pPr>
    </w:p>
    <w:p w14:paraId="153958BD" w14:textId="540E1A02" w:rsidR="009115D0" w:rsidRDefault="009115D0" w:rsidP="004124CB">
      <w:pPr>
        <w:spacing w:line="360" w:lineRule="auto"/>
        <w:rPr>
          <w:rFonts w:ascii="Arial" w:hAnsi="Arial" w:cs="Arial"/>
        </w:rPr>
      </w:pPr>
    </w:p>
    <w:p w14:paraId="3C08A647" w14:textId="32DFCCAF" w:rsidR="009115D0" w:rsidRDefault="009115D0" w:rsidP="004124CB">
      <w:pPr>
        <w:spacing w:line="360" w:lineRule="auto"/>
        <w:rPr>
          <w:rFonts w:ascii="Arial" w:hAnsi="Arial" w:cs="Arial"/>
        </w:rPr>
      </w:pPr>
    </w:p>
    <w:p w14:paraId="4EBC15B6" w14:textId="2099D38A" w:rsidR="009115D0" w:rsidRDefault="009115D0" w:rsidP="004124CB">
      <w:pPr>
        <w:spacing w:line="360" w:lineRule="auto"/>
        <w:rPr>
          <w:rFonts w:ascii="Arial" w:hAnsi="Arial" w:cs="Arial"/>
        </w:rPr>
      </w:pPr>
    </w:p>
    <w:p w14:paraId="4855289A" w14:textId="06038320" w:rsidR="009115D0" w:rsidRDefault="009115D0" w:rsidP="004124CB">
      <w:pPr>
        <w:spacing w:line="360" w:lineRule="auto"/>
        <w:rPr>
          <w:rFonts w:ascii="Arial" w:hAnsi="Arial" w:cs="Arial"/>
        </w:rPr>
      </w:pPr>
    </w:p>
    <w:p w14:paraId="73FE549E" w14:textId="7F011679" w:rsidR="009115D0" w:rsidRDefault="009115D0" w:rsidP="004124CB">
      <w:pPr>
        <w:spacing w:line="360" w:lineRule="auto"/>
        <w:rPr>
          <w:rFonts w:ascii="Arial" w:hAnsi="Arial" w:cs="Arial"/>
        </w:rPr>
      </w:pPr>
    </w:p>
    <w:p w14:paraId="03BA5451" w14:textId="77777777" w:rsidR="009115D0" w:rsidRPr="00F67F1E" w:rsidRDefault="009115D0" w:rsidP="009115D0">
      <w:pPr>
        <w:rPr>
          <w:rFonts w:ascii="Arial" w:hAnsi="Arial" w:cs="Arial"/>
          <w:b/>
          <w:bCs/>
          <w:sz w:val="28"/>
          <w:szCs w:val="28"/>
          <w:u w:val="single"/>
        </w:rPr>
      </w:pPr>
      <w:r w:rsidRPr="00594C77">
        <w:rPr>
          <w:rFonts w:ascii="Arial" w:hAnsi="Arial" w:cs="Arial"/>
          <w:b/>
          <w:bCs/>
          <w:sz w:val="28"/>
          <w:szCs w:val="28"/>
          <w:u w:val="single"/>
        </w:rPr>
        <w:t>Reference List</w:t>
      </w:r>
    </w:p>
    <w:p w14:paraId="1E4163F8" w14:textId="77777777" w:rsidR="009115D0" w:rsidRPr="003B4A18" w:rsidRDefault="009115D0" w:rsidP="009115D0">
      <w:pPr>
        <w:spacing w:line="360" w:lineRule="auto"/>
        <w:ind w:left="720" w:hanging="720"/>
        <w:rPr>
          <w:rFonts w:ascii="Arial" w:hAnsi="Arial" w:cs="Arial"/>
          <w:color w:val="222222"/>
        </w:rPr>
      </w:pPr>
      <w:r w:rsidRPr="003B4A18">
        <w:rPr>
          <w:rFonts w:ascii="Arial" w:hAnsi="Arial" w:cs="Arial"/>
          <w:color w:val="222222"/>
        </w:rPr>
        <w:t xml:space="preserve">Adachi, C., Tai, J.H.M. and Dawson, P., 2018. Academics’ perceptions of the benefits and challenges of self and peer assessment in higher education, </w:t>
      </w:r>
      <w:r w:rsidRPr="003B4A18">
        <w:rPr>
          <w:rFonts w:ascii="Arial" w:hAnsi="Arial" w:cs="Arial"/>
          <w:i/>
          <w:iCs/>
          <w:color w:val="222222"/>
        </w:rPr>
        <w:t xml:space="preserve">Assessment </w:t>
      </w:r>
      <w:r>
        <w:rPr>
          <w:rFonts w:ascii="Arial" w:hAnsi="Arial" w:cs="Arial"/>
          <w:i/>
          <w:iCs/>
          <w:color w:val="222222"/>
        </w:rPr>
        <w:t>and</w:t>
      </w:r>
      <w:r w:rsidRPr="003B4A18">
        <w:rPr>
          <w:rFonts w:ascii="Arial" w:hAnsi="Arial" w:cs="Arial"/>
          <w:i/>
          <w:iCs/>
          <w:color w:val="222222"/>
        </w:rPr>
        <w:t xml:space="preserve"> Evaluation in Higher Education</w:t>
      </w:r>
      <w:r w:rsidRPr="003B4A18">
        <w:rPr>
          <w:rFonts w:ascii="Arial" w:hAnsi="Arial" w:cs="Arial"/>
          <w:color w:val="222222"/>
        </w:rPr>
        <w:t>, </w:t>
      </w:r>
      <w:r w:rsidRPr="003B4A18">
        <w:rPr>
          <w:rFonts w:ascii="Arial" w:hAnsi="Arial" w:cs="Arial"/>
          <w:i/>
          <w:iCs/>
          <w:color w:val="222222"/>
        </w:rPr>
        <w:t>43</w:t>
      </w:r>
      <w:r w:rsidRPr="003B4A18">
        <w:rPr>
          <w:rFonts w:ascii="Arial" w:hAnsi="Arial" w:cs="Arial"/>
          <w:color w:val="222222"/>
        </w:rPr>
        <w:t>(2), pp. 294-306.</w:t>
      </w:r>
    </w:p>
    <w:p w14:paraId="4DA4F1F1"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Andersson, C. and Palm, T. (2017) Characteristics of improved formative assessment practice, </w:t>
      </w:r>
      <w:r w:rsidRPr="003B4A18">
        <w:rPr>
          <w:rFonts w:ascii="Arial" w:hAnsi="Arial" w:cs="Arial"/>
          <w:i/>
          <w:iCs/>
          <w:shd w:val="clear" w:color="auto" w:fill="FFFFFF"/>
        </w:rPr>
        <w:t>Education Inquiry</w:t>
      </w:r>
      <w:r w:rsidRPr="003B4A18">
        <w:rPr>
          <w:rFonts w:ascii="Arial" w:hAnsi="Arial" w:cs="Arial"/>
          <w:shd w:val="clear" w:color="auto" w:fill="FFFFFF"/>
        </w:rPr>
        <w:t>, 8(2), pp. 104-122.</w:t>
      </w:r>
    </w:p>
    <w:p w14:paraId="4BE28404"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Andrade, H. L. (2010)"</w:t>
      </w:r>
      <w:r w:rsidRPr="003B4A18">
        <w:rPr>
          <w:rFonts w:ascii="Arial" w:hAnsi="Arial" w:cs="Arial"/>
          <w:i/>
          <w:iCs/>
          <w:shd w:val="clear" w:color="auto" w:fill="FFFFFF"/>
        </w:rPr>
        <w:t>Students as the Definitive Source of Formative Assessment: Academic Self-Assessment and the Self-Regulation of Learning</w:t>
      </w:r>
      <w:r w:rsidRPr="003B4A18">
        <w:rPr>
          <w:rFonts w:ascii="Arial" w:hAnsi="Arial" w:cs="Arial"/>
          <w:shd w:val="clear" w:color="auto" w:fill="FFFFFF"/>
        </w:rPr>
        <w:t xml:space="preserve">". Available at: </w:t>
      </w:r>
      <w:r w:rsidRPr="003B4A18">
        <w:rPr>
          <w:rFonts w:ascii="Arial" w:hAnsi="Arial" w:cs="Arial"/>
          <w:shd w:val="clear" w:color="auto" w:fill="FFFFFF"/>
        </w:rPr>
        <w:lastRenderedPageBreak/>
        <w:t>https://opencommons.uconn.edu/cgi/viewcontent.cgi?article=1007&amp;context=nera_2010 (Accessed: 29 December 2021)</w:t>
      </w:r>
    </w:p>
    <w:p w14:paraId="4BEF62A5"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Andrade, H., and Boulay, B. (2003) Gender and the role of rubric-referenced self-assessment in learning to write, </w:t>
      </w:r>
      <w:r w:rsidRPr="003B4A18">
        <w:rPr>
          <w:rFonts w:ascii="Arial" w:hAnsi="Arial" w:cs="Arial"/>
          <w:i/>
          <w:iCs/>
          <w:shd w:val="clear" w:color="auto" w:fill="FFFFFF"/>
        </w:rPr>
        <w:t>Journal of Educational Research</w:t>
      </w:r>
      <w:r w:rsidRPr="003B4A18">
        <w:rPr>
          <w:rFonts w:ascii="Arial" w:hAnsi="Arial" w:cs="Arial"/>
          <w:shd w:val="clear" w:color="auto" w:fill="FFFFFF"/>
        </w:rPr>
        <w:t>, 97(1), pp. 21-34.</w:t>
      </w:r>
    </w:p>
    <w:p w14:paraId="39A841F0"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Andrade, H., Du, Y. and Wang, X. (2008) Putting rubrics to the test: The effect of a model, criteria generation, and rubric-referenced self-assessment on elementary school students’ writing, </w:t>
      </w:r>
      <w:r w:rsidRPr="003B4A18">
        <w:rPr>
          <w:rFonts w:ascii="Arial" w:hAnsi="Arial" w:cs="Arial"/>
          <w:i/>
          <w:iCs/>
        </w:rPr>
        <w:t>Educational Measurement: Issues and Practices</w:t>
      </w:r>
      <w:r w:rsidRPr="003B4A18">
        <w:rPr>
          <w:rFonts w:ascii="Arial" w:hAnsi="Arial" w:cs="Arial"/>
        </w:rPr>
        <w:t>, 27(2), pp. 3-13.</w:t>
      </w:r>
    </w:p>
    <w:p w14:paraId="06F6608B"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Babaii, E. and Adeh, A. (2019) One, two,..., many: The outcomes of paired peer assessment, group peer assessment, and teacher assessment in EFL writing, </w:t>
      </w:r>
      <w:r w:rsidRPr="003B4A18">
        <w:rPr>
          <w:rFonts w:ascii="Arial" w:hAnsi="Arial" w:cs="Arial"/>
          <w:i/>
          <w:iCs/>
          <w:color w:val="222222"/>
          <w:shd w:val="clear" w:color="auto" w:fill="FFFFFF"/>
        </w:rPr>
        <w:t>The Journal of Asia TEFL</w:t>
      </w:r>
      <w:r w:rsidRPr="003B4A18">
        <w:rPr>
          <w:rFonts w:ascii="Arial" w:hAnsi="Arial" w:cs="Arial"/>
          <w:color w:val="222222"/>
          <w:shd w:val="clear" w:color="auto" w:fill="FFFFFF"/>
        </w:rPr>
        <w:t>, </w:t>
      </w:r>
      <w:r w:rsidRPr="003B4A18">
        <w:rPr>
          <w:rFonts w:ascii="Arial" w:hAnsi="Arial" w:cs="Arial"/>
          <w:i/>
          <w:iCs/>
          <w:color w:val="222222"/>
          <w:shd w:val="clear" w:color="auto" w:fill="FFFFFF"/>
        </w:rPr>
        <w:t>16</w:t>
      </w:r>
      <w:r w:rsidRPr="003B4A18">
        <w:rPr>
          <w:rFonts w:ascii="Arial" w:hAnsi="Arial" w:cs="Arial"/>
          <w:color w:val="222222"/>
          <w:shd w:val="clear" w:color="auto" w:fill="FFFFFF"/>
        </w:rPr>
        <w:t>(1), pp. 53-66.</w:t>
      </w:r>
    </w:p>
    <w:p w14:paraId="34E26B7F"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Barrera, M. </w:t>
      </w:r>
      <w:proofErr w:type="gramStart"/>
      <w:r w:rsidRPr="003B4A18">
        <w:rPr>
          <w:rFonts w:ascii="Arial" w:hAnsi="Arial" w:cs="Arial"/>
          <w:shd w:val="clear" w:color="auto" w:fill="FFFFFF"/>
        </w:rPr>
        <w:t>X.</w:t>
      </w:r>
      <w:proofErr w:type="gramEnd"/>
      <w:r w:rsidRPr="003B4A18">
        <w:rPr>
          <w:rFonts w:ascii="Arial" w:hAnsi="Arial" w:cs="Arial"/>
          <w:shd w:val="clear" w:color="auto" w:fill="FFFFFF"/>
        </w:rPr>
        <w:t xml:space="preserve"> and Salmon, A.K. (2021) Intentional questioning to promote thinking and learning. </w:t>
      </w:r>
      <w:r w:rsidRPr="003B4A18">
        <w:rPr>
          <w:rFonts w:ascii="Arial" w:hAnsi="Arial" w:cs="Arial"/>
          <w:i/>
          <w:iCs/>
          <w:shd w:val="clear" w:color="auto" w:fill="FFFFFF"/>
        </w:rPr>
        <w:t xml:space="preserve">Thinking Skill and Creativity, </w:t>
      </w:r>
      <w:r w:rsidRPr="003B4A18">
        <w:rPr>
          <w:rFonts w:ascii="Arial" w:hAnsi="Arial" w:cs="Arial"/>
          <w:shd w:val="clear" w:color="auto" w:fill="FFFFFF"/>
        </w:rPr>
        <w:t>40.</w:t>
      </w:r>
    </w:p>
    <w:p w14:paraId="6D42A70C"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 xml:space="preserve">Birjandi, P. and Hadidi, T. (2012) The role of self, peer, and teacher assessment in promoting Iranian EFL Learner’s writing performance. </w:t>
      </w:r>
      <w:r w:rsidRPr="003B4A18">
        <w:rPr>
          <w:rFonts w:ascii="Arial" w:hAnsi="Arial" w:cs="Arial"/>
          <w:i/>
          <w:iCs/>
          <w:color w:val="222222"/>
          <w:shd w:val="clear" w:color="auto" w:fill="FFFFFF"/>
        </w:rPr>
        <w:t>Assessment and Evaluation in Higher Education</w:t>
      </w:r>
      <w:r w:rsidRPr="003B4A18">
        <w:rPr>
          <w:rFonts w:ascii="Arial" w:hAnsi="Arial" w:cs="Arial"/>
          <w:color w:val="222222"/>
          <w:shd w:val="clear" w:color="auto" w:fill="FFFFFF"/>
        </w:rPr>
        <w:t>, 37 (5), pp. 513–533.</w:t>
      </w:r>
    </w:p>
    <w:p w14:paraId="310F753D" w14:textId="77777777" w:rsidR="009115D0" w:rsidRPr="00267FD3" w:rsidRDefault="009115D0" w:rsidP="009115D0">
      <w:pPr>
        <w:spacing w:line="360" w:lineRule="auto"/>
        <w:ind w:left="720" w:hanging="720"/>
        <w:rPr>
          <w:rFonts w:ascii="Arial" w:hAnsi="Arial" w:cs="Arial"/>
          <w:color w:val="222222"/>
          <w:shd w:val="clear" w:color="auto" w:fill="FFFFFF"/>
        </w:rPr>
      </w:pPr>
      <w:r w:rsidRPr="00267FD3">
        <w:rPr>
          <w:rFonts w:ascii="Arial" w:hAnsi="Arial" w:cs="Arial"/>
          <w:color w:val="222222"/>
          <w:shd w:val="clear" w:color="auto" w:fill="FFFFFF"/>
        </w:rPr>
        <w:t xml:space="preserve">Black, P. </w:t>
      </w:r>
      <w:r w:rsidRPr="003B4A18">
        <w:rPr>
          <w:rFonts w:ascii="Arial" w:hAnsi="Arial" w:cs="Arial"/>
          <w:color w:val="222222"/>
          <w:shd w:val="clear" w:color="auto" w:fill="FFFFFF"/>
        </w:rPr>
        <w:t>and</w:t>
      </w:r>
      <w:r w:rsidRPr="00267FD3">
        <w:rPr>
          <w:rFonts w:ascii="Arial" w:hAnsi="Arial" w:cs="Arial"/>
          <w:color w:val="222222"/>
          <w:shd w:val="clear" w:color="auto" w:fill="FFFFFF"/>
        </w:rPr>
        <w:t xml:space="preserve"> Wiliam, D. (1998) </w:t>
      </w:r>
      <w:r w:rsidRPr="00267FD3">
        <w:rPr>
          <w:rFonts w:ascii="Arial" w:hAnsi="Arial" w:cs="Arial"/>
          <w:i/>
          <w:iCs/>
          <w:color w:val="222222"/>
          <w:shd w:val="clear" w:color="auto" w:fill="FFFFFF"/>
        </w:rPr>
        <w:t xml:space="preserve">Inside the black </w:t>
      </w:r>
      <w:r w:rsidRPr="003B4A18">
        <w:rPr>
          <w:rFonts w:ascii="Arial" w:hAnsi="Arial" w:cs="Arial"/>
          <w:i/>
          <w:iCs/>
          <w:color w:val="222222"/>
          <w:shd w:val="clear" w:color="auto" w:fill="FFFFFF"/>
        </w:rPr>
        <w:t>box:</w:t>
      </w:r>
      <w:r w:rsidRPr="00267FD3">
        <w:rPr>
          <w:rFonts w:ascii="Arial" w:hAnsi="Arial" w:cs="Arial"/>
          <w:i/>
          <w:iCs/>
          <w:color w:val="222222"/>
          <w:shd w:val="clear" w:color="auto" w:fill="FFFFFF"/>
        </w:rPr>
        <w:t xml:space="preserve"> raising standards through classroom assessment</w:t>
      </w:r>
      <w:r w:rsidRPr="00267FD3">
        <w:rPr>
          <w:rFonts w:ascii="Arial" w:hAnsi="Arial" w:cs="Arial"/>
          <w:color w:val="222222"/>
          <w:shd w:val="clear" w:color="auto" w:fill="FFFFFF"/>
        </w:rPr>
        <w:t>. London: GL Assessment.</w:t>
      </w:r>
    </w:p>
    <w:p w14:paraId="391184FF"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Black, P. and Wiliam, D. (2009) Developing the theory of formative assessment, </w:t>
      </w:r>
      <w:r w:rsidRPr="003B4A18">
        <w:rPr>
          <w:rFonts w:ascii="Arial" w:hAnsi="Arial" w:cs="Arial"/>
          <w:i/>
          <w:iCs/>
        </w:rPr>
        <w:t>Educational Assessment, Evaluation and Accountability</w:t>
      </w:r>
      <w:r w:rsidRPr="003B4A18">
        <w:rPr>
          <w:rFonts w:ascii="Arial" w:hAnsi="Arial" w:cs="Arial"/>
        </w:rPr>
        <w:t>, 21(1), pp. 5-31.</w:t>
      </w:r>
    </w:p>
    <w:p w14:paraId="7027EA53"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Black, P. et al. (2003) </w:t>
      </w:r>
      <w:r w:rsidRPr="003B4A18">
        <w:rPr>
          <w:rFonts w:ascii="Arial" w:hAnsi="Arial" w:cs="Arial"/>
          <w:i/>
          <w:iCs/>
        </w:rPr>
        <w:t>Assessment for Learning: Putting it into Practice</w:t>
      </w:r>
      <w:r w:rsidRPr="003B4A18">
        <w:rPr>
          <w:rFonts w:ascii="Arial" w:hAnsi="Arial" w:cs="Arial"/>
        </w:rPr>
        <w:t>. Maidenhead: Open University Press.</w:t>
      </w:r>
    </w:p>
    <w:p w14:paraId="46555B20"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Black, P., Harrison, C., Lee, C., Marshall, B. and Wiliam, D. (2004). Working inside the black box: Assessment for learning in the classroom, </w:t>
      </w:r>
      <w:r w:rsidRPr="003B4A18">
        <w:rPr>
          <w:rFonts w:ascii="Arial" w:hAnsi="Arial" w:cs="Arial"/>
          <w:i/>
          <w:iCs/>
          <w:shd w:val="clear" w:color="auto" w:fill="FFFFFF"/>
        </w:rPr>
        <w:t>Phi Delta Kappan</w:t>
      </w:r>
      <w:r w:rsidRPr="003B4A18">
        <w:rPr>
          <w:rFonts w:ascii="Arial" w:hAnsi="Arial" w:cs="Arial"/>
          <w:shd w:val="clear" w:color="auto" w:fill="FFFFFF"/>
        </w:rPr>
        <w:t>, 86(1), pp. 8-21.</w:t>
      </w:r>
    </w:p>
    <w:p w14:paraId="5395C6E5"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Boyd, M. P. (2015) ‘Relations Between Teacher Questioning and Student Talk in One Elementary ELL Classroom’, Journal of Literacy Research, 47(3), pp. 370–404.</w:t>
      </w:r>
    </w:p>
    <w:p w14:paraId="33FC2B17"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Briggs, M. (2008) </w:t>
      </w:r>
      <w:r w:rsidRPr="003B4A18">
        <w:rPr>
          <w:rFonts w:ascii="Arial" w:hAnsi="Arial" w:cs="Arial"/>
          <w:i/>
          <w:iCs/>
        </w:rPr>
        <w:t>Assessment for learning and teaching in primary schools</w:t>
      </w:r>
      <w:r w:rsidRPr="003B4A18">
        <w:rPr>
          <w:rFonts w:ascii="Arial" w:hAnsi="Arial" w:cs="Arial"/>
        </w:rPr>
        <w:t>. 2</w:t>
      </w:r>
      <w:r w:rsidRPr="003B4A18">
        <w:rPr>
          <w:rFonts w:ascii="Arial" w:hAnsi="Arial" w:cs="Arial"/>
          <w:vertAlign w:val="superscript"/>
        </w:rPr>
        <w:t>nd</w:t>
      </w:r>
      <w:r w:rsidRPr="003B4A18">
        <w:rPr>
          <w:rFonts w:ascii="Arial" w:hAnsi="Arial" w:cs="Arial"/>
        </w:rPr>
        <w:t xml:space="preserve"> edn. Exeter: Learning Matters.</w:t>
      </w:r>
    </w:p>
    <w:p w14:paraId="6C0DDA68"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 Brooks, J.G. and Brooks, M.G. (1999) </w:t>
      </w:r>
      <w:r w:rsidRPr="003B4A18">
        <w:rPr>
          <w:rFonts w:ascii="Arial" w:hAnsi="Arial" w:cs="Arial"/>
          <w:i/>
          <w:iCs/>
          <w:shd w:val="clear" w:color="auto" w:fill="FFFFFF"/>
        </w:rPr>
        <w:t>In search of understanding: The case for constructivist classrooms</w:t>
      </w:r>
      <w:r w:rsidRPr="003B4A18">
        <w:rPr>
          <w:rFonts w:ascii="Arial" w:hAnsi="Arial" w:cs="Arial"/>
          <w:shd w:val="clear" w:color="auto" w:fill="FFFFFF"/>
        </w:rPr>
        <w:t>. ASCD.</w:t>
      </w:r>
    </w:p>
    <w:p w14:paraId="6A80CBCD"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Brown, G. T. and Harris, L. R. (2013) ‘Student self-assessment’, in McMillian, J. H. (ed.) </w:t>
      </w:r>
      <w:r w:rsidRPr="003B4A18">
        <w:rPr>
          <w:rFonts w:ascii="Arial" w:hAnsi="Arial" w:cs="Arial"/>
          <w:i/>
          <w:iCs/>
        </w:rPr>
        <w:t xml:space="preserve">SAGE Handbook of Research on Classroom Assessment. </w:t>
      </w:r>
      <w:r w:rsidRPr="003B4A18">
        <w:rPr>
          <w:rFonts w:ascii="Arial" w:hAnsi="Arial" w:cs="Arial"/>
        </w:rPr>
        <w:t xml:space="preserve">Los Angeles, CA: SAGE. </w:t>
      </w:r>
    </w:p>
    <w:p w14:paraId="6A1779C5" w14:textId="77777777" w:rsidR="009115D0" w:rsidRPr="003B4A18" w:rsidRDefault="009115D0" w:rsidP="009115D0">
      <w:pPr>
        <w:spacing w:line="360" w:lineRule="auto"/>
        <w:ind w:left="720" w:hanging="720"/>
        <w:rPr>
          <w:rFonts w:ascii="Arial" w:hAnsi="Arial" w:cs="Arial"/>
        </w:rPr>
      </w:pPr>
      <w:r w:rsidRPr="003B4A18">
        <w:rPr>
          <w:rFonts w:ascii="Arial" w:hAnsi="Arial" w:cs="Arial"/>
        </w:rPr>
        <w:lastRenderedPageBreak/>
        <w:t>Brown, G. T., and Harris, L. R. (2013). “Student self-assessment,” in Sage Handbook of Research on Classroom Assessment, ed J. H. McMillan (Los Angeles, CA: Sage), 367–393.</w:t>
      </w:r>
    </w:p>
    <w:p w14:paraId="21A775E7"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Brown, G. T., Irving, S. E., Peterson, E. R. and Hirschfeld, G. H. (2009). Use of interactive–informal assessment practices: New Zealand secondary students' conceptions of assessment, </w:t>
      </w:r>
      <w:r w:rsidRPr="003B4A18">
        <w:rPr>
          <w:rFonts w:ascii="Arial" w:hAnsi="Arial" w:cs="Arial"/>
          <w:i/>
          <w:iCs/>
        </w:rPr>
        <w:t xml:space="preserve">Learning and Instruction, </w:t>
      </w:r>
      <w:r w:rsidRPr="003B4A18">
        <w:rPr>
          <w:rFonts w:ascii="Arial" w:hAnsi="Arial" w:cs="Arial"/>
        </w:rPr>
        <w:t>19(2), pp. 97– 111.</w:t>
      </w:r>
    </w:p>
    <w:p w14:paraId="3062D1A5"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Çakır, H. and Cengiz, Ö. (2016) The use of open ended versus closed ended questions in Turkish classrooms, </w:t>
      </w:r>
      <w:r w:rsidRPr="003B4A18">
        <w:rPr>
          <w:rFonts w:ascii="Arial" w:hAnsi="Arial" w:cs="Arial"/>
          <w:i/>
          <w:iCs/>
          <w:shd w:val="clear" w:color="auto" w:fill="FFFFFF"/>
        </w:rPr>
        <w:t>Open Journal of Modern Linguistics</w:t>
      </w:r>
      <w:r w:rsidRPr="003B4A18">
        <w:rPr>
          <w:rFonts w:ascii="Arial" w:hAnsi="Arial" w:cs="Arial"/>
          <w:shd w:val="clear" w:color="auto" w:fill="FFFFFF"/>
        </w:rPr>
        <w:t xml:space="preserve">, 6(2), p. 60-70. </w:t>
      </w:r>
    </w:p>
    <w:p w14:paraId="5A117FA8"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Claes, M. and Salame, R. (1975) La motivation à l'accomplissement et l'auto-évaluation des performances en relation avec le rendement scolaire [Motivation toward accomplishment and the self-evaluation of performances in relation to school achievement]. </w:t>
      </w:r>
      <w:r w:rsidRPr="003B4A18">
        <w:rPr>
          <w:rStyle w:val="Emphasis"/>
          <w:rFonts w:ascii="Arial" w:hAnsi="Arial" w:cs="Arial"/>
          <w:shd w:val="clear" w:color="auto" w:fill="FFFFFF"/>
        </w:rPr>
        <w:t>Canadian Journal of Behavioural Science / Revue canadienne des sciences du comportement, 7</w:t>
      </w:r>
      <w:r w:rsidRPr="003B4A18">
        <w:rPr>
          <w:rFonts w:ascii="Arial" w:hAnsi="Arial" w:cs="Arial"/>
          <w:shd w:val="clear" w:color="auto" w:fill="FFFFFF"/>
        </w:rPr>
        <w:t>(4), pp. 397–410.</w:t>
      </w:r>
    </w:p>
    <w:p w14:paraId="6C5B2C44"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 xml:space="preserve">Clarke, S. (2009) </w:t>
      </w:r>
      <w:r w:rsidRPr="003B4A18">
        <w:rPr>
          <w:rFonts w:ascii="Arial" w:hAnsi="Arial" w:cs="Arial"/>
          <w:i/>
          <w:iCs/>
          <w:color w:val="222222"/>
          <w:shd w:val="clear" w:color="auto" w:fill="FFFFFF"/>
        </w:rPr>
        <w:t xml:space="preserve">The Different Forms of Peer Assessment. </w:t>
      </w:r>
      <w:r w:rsidRPr="003B4A18">
        <w:rPr>
          <w:rFonts w:ascii="Arial" w:hAnsi="Arial" w:cs="Arial"/>
          <w:color w:val="222222"/>
          <w:shd w:val="clear" w:color="auto" w:fill="FFFFFF"/>
        </w:rPr>
        <w:t>Available at:</w:t>
      </w:r>
      <w:r w:rsidRPr="003B4A18">
        <w:rPr>
          <w:rFonts w:ascii="Arial" w:hAnsi="Arial" w:cs="Arial"/>
        </w:rPr>
        <w:t xml:space="preserve"> </w:t>
      </w:r>
      <w:r w:rsidRPr="003B4A18">
        <w:rPr>
          <w:rFonts w:ascii="Arial" w:hAnsi="Arial" w:cs="Arial"/>
          <w:color w:val="222222"/>
          <w:shd w:val="clear" w:color="auto" w:fill="FFFFFF"/>
        </w:rPr>
        <w:t xml:space="preserve">https://www.shirleyclarke-education.org/research/other-research-2009/ (Accessed: 4 January 2022). </w:t>
      </w:r>
    </w:p>
    <w:p w14:paraId="00BE1D8D"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Clift, L.D. (2015) The effects of student self-assessment with goal setting on fourth grade mathematics students</w:t>
      </w:r>
      <w:r w:rsidRPr="003B4A18">
        <w:rPr>
          <w:rFonts w:ascii="Arial" w:hAnsi="Arial" w:cs="Arial"/>
          <w:i/>
          <w:iCs/>
          <w:color w:val="222222"/>
          <w:shd w:val="clear" w:color="auto" w:fill="FFFFFF"/>
        </w:rPr>
        <w:t>: Creating self-regulating agents of learning</w:t>
      </w:r>
      <w:r w:rsidRPr="003B4A18">
        <w:rPr>
          <w:rFonts w:ascii="Arial" w:hAnsi="Arial" w:cs="Arial"/>
          <w:color w:val="222222"/>
          <w:shd w:val="clear" w:color="auto" w:fill="FFFFFF"/>
        </w:rPr>
        <w:t>. Lynchburg: Liberty University.</w:t>
      </w:r>
    </w:p>
    <w:p w14:paraId="18804C9E"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Cohen, L. et al. (2010) </w:t>
      </w:r>
      <w:r w:rsidRPr="003B4A18">
        <w:rPr>
          <w:rFonts w:ascii="Arial" w:hAnsi="Arial" w:cs="Arial"/>
          <w:i/>
          <w:iCs/>
          <w:shd w:val="clear" w:color="auto" w:fill="FFFFFF"/>
        </w:rPr>
        <w:t>A Guide to Teaching Practice</w:t>
      </w:r>
      <w:r w:rsidRPr="003B4A18">
        <w:rPr>
          <w:rFonts w:ascii="Arial" w:hAnsi="Arial" w:cs="Arial"/>
          <w:shd w:val="clear" w:color="auto" w:fill="FFFFFF"/>
        </w:rPr>
        <w:t>. 5</w:t>
      </w:r>
      <w:r w:rsidRPr="003B4A18">
        <w:rPr>
          <w:rFonts w:ascii="Arial" w:hAnsi="Arial" w:cs="Arial"/>
          <w:shd w:val="clear" w:color="auto" w:fill="FFFFFF"/>
          <w:vertAlign w:val="superscript"/>
        </w:rPr>
        <w:t>th</w:t>
      </w:r>
      <w:r w:rsidRPr="003B4A18">
        <w:rPr>
          <w:rFonts w:ascii="Arial" w:hAnsi="Arial" w:cs="Arial"/>
          <w:shd w:val="clear" w:color="auto" w:fill="FFFFFF"/>
        </w:rPr>
        <w:t xml:space="preserve"> edn. Routledge. </w:t>
      </w:r>
    </w:p>
    <w:p w14:paraId="0D080B31" w14:textId="77777777" w:rsidR="009115D0" w:rsidRPr="003B4A18" w:rsidRDefault="009115D0" w:rsidP="009115D0">
      <w:pPr>
        <w:spacing w:line="360" w:lineRule="auto"/>
        <w:ind w:left="720" w:hanging="720"/>
        <w:rPr>
          <w:rStyle w:val="Hyperlink"/>
          <w:rFonts w:ascii="Arial" w:hAnsi="Arial" w:cs="Arial"/>
        </w:rPr>
      </w:pPr>
      <w:r w:rsidRPr="003B4A18">
        <w:rPr>
          <w:rStyle w:val="Hyperlink"/>
          <w:rFonts w:ascii="Arial" w:hAnsi="Arial" w:cs="Arial"/>
        </w:rPr>
        <w:t xml:space="preserve">Donaldson, G. (2015) </w:t>
      </w:r>
      <w:r w:rsidRPr="003B4A18">
        <w:rPr>
          <w:rStyle w:val="Hyperlink"/>
          <w:rFonts w:ascii="Arial" w:hAnsi="Arial" w:cs="Arial"/>
          <w:i/>
          <w:iCs/>
        </w:rPr>
        <w:t>Successful Futures: Independent Review of Curriculum and Assessment Arrangements in Wales</w:t>
      </w:r>
      <w:r w:rsidRPr="003B4A18">
        <w:rPr>
          <w:rStyle w:val="Hyperlink"/>
          <w:rFonts w:ascii="Arial" w:hAnsi="Arial" w:cs="Arial"/>
        </w:rPr>
        <w:t xml:space="preserve">. Cardiff: Welsh Government. </w:t>
      </w:r>
    </w:p>
    <w:p w14:paraId="08A201DA"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Double, K.S., McGrane, J.A. </w:t>
      </w:r>
      <w:r>
        <w:rPr>
          <w:rFonts w:ascii="Arial" w:hAnsi="Arial" w:cs="Arial"/>
          <w:shd w:val="clear" w:color="auto" w:fill="FFFFFF"/>
        </w:rPr>
        <w:t>and</w:t>
      </w:r>
      <w:r w:rsidRPr="003B4A18">
        <w:rPr>
          <w:rFonts w:ascii="Arial" w:hAnsi="Arial" w:cs="Arial"/>
          <w:shd w:val="clear" w:color="auto" w:fill="FFFFFF"/>
        </w:rPr>
        <w:t xml:space="preserve"> Hopfenbeck, T.N. (2020) The Impact of Peer Assessment on Academic Performance: A Meta-analysis of Control Group Studies, </w:t>
      </w:r>
      <w:r w:rsidRPr="003B4A18">
        <w:rPr>
          <w:rFonts w:ascii="Arial" w:hAnsi="Arial" w:cs="Arial"/>
          <w:i/>
          <w:iCs/>
          <w:shd w:val="clear" w:color="auto" w:fill="FFFFFF"/>
        </w:rPr>
        <w:t>Educ Psychol Rev</w:t>
      </w:r>
      <w:r w:rsidRPr="003B4A18">
        <w:rPr>
          <w:rFonts w:ascii="Arial" w:hAnsi="Arial" w:cs="Arial"/>
          <w:shd w:val="clear" w:color="auto" w:fill="FFFFFF"/>
        </w:rPr>
        <w:t>, 32,</w:t>
      </w:r>
      <w:r w:rsidRPr="003B4A18">
        <w:rPr>
          <w:rFonts w:ascii="Arial" w:hAnsi="Arial" w:cs="Arial"/>
          <w:b/>
          <w:bCs/>
          <w:shd w:val="clear" w:color="auto" w:fill="FFFFFF"/>
        </w:rPr>
        <w:t> </w:t>
      </w:r>
      <w:r w:rsidRPr="003B4A18">
        <w:rPr>
          <w:rFonts w:ascii="Arial" w:hAnsi="Arial" w:cs="Arial"/>
          <w:shd w:val="clear" w:color="auto" w:fill="FFFFFF"/>
        </w:rPr>
        <w:t>pp. 481–509.</w:t>
      </w:r>
    </w:p>
    <w:p w14:paraId="4A2DB604"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Flórez, M. and Sammons, P. (2013) </w:t>
      </w:r>
      <w:r w:rsidRPr="003B4A18">
        <w:rPr>
          <w:rFonts w:ascii="Arial" w:hAnsi="Arial" w:cs="Arial"/>
          <w:i/>
          <w:iCs/>
        </w:rPr>
        <w:t>Assessment for learning</w:t>
      </w:r>
      <w:r w:rsidRPr="003B4A18">
        <w:rPr>
          <w:rFonts w:ascii="Arial" w:hAnsi="Arial" w:cs="Arial"/>
        </w:rPr>
        <w:t>. Reading: CfBT Education Trust.</w:t>
      </w:r>
    </w:p>
    <w:p w14:paraId="56AC80EB"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Gimbutas, E.C. (2019) </w:t>
      </w:r>
      <w:r w:rsidRPr="003B4A18">
        <w:rPr>
          <w:rFonts w:ascii="Arial" w:hAnsi="Arial" w:cs="Arial"/>
          <w:i/>
          <w:iCs/>
          <w:shd w:val="clear" w:color="auto" w:fill="FFFFFF"/>
        </w:rPr>
        <w:t>The effects of using mini whiteboards on the academic performance and engagement of students in a tenth-grade resource English/Language Arts classroom.</w:t>
      </w:r>
      <w:r w:rsidRPr="003B4A18">
        <w:rPr>
          <w:rFonts w:ascii="Arial" w:hAnsi="Arial" w:cs="Arial"/>
          <w:shd w:val="clear" w:color="auto" w:fill="FFFFFF"/>
        </w:rPr>
        <w:t xml:space="preserve"> Thesis. Rowan University. Available at: https://www.semanticscholar.org/paper/The-effects-of-using-mini-whiteboards-on-</w:t>
      </w:r>
      <w:r w:rsidRPr="003B4A18">
        <w:rPr>
          <w:rFonts w:ascii="Arial" w:hAnsi="Arial" w:cs="Arial"/>
          <w:shd w:val="clear" w:color="auto" w:fill="FFFFFF"/>
        </w:rPr>
        <w:lastRenderedPageBreak/>
        <w:t>the-and-of-Gimbutas/f1f0b036c56207f6139f51c14a084c1105bbbc3d (Accessed: 1 January 2022)</w:t>
      </w:r>
    </w:p>
    <w:p w14:paraId="32DAA837"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Gray, C. and MacBlain, S. (2015) </w:t>
      </w:r>
      <w:r w:rsidRPr="003B4A18">
        <w:rPr>
          <w:rFonts w:ascii="Arial" w:hAnsi="Arial" w:cs="Arial"/>
          <w:i/>
          <w:iCs/>
        </w:rPr>
        <w:t>Learning theories in childhood</w:t>
      </w:r>
      <w:r w:rsidRPr="003B4A18">
        <w:rPr>
          <w:rFonts w:ascii="Arial" w:hAnsi="Arial" w:cs="Arial"/>
        </w:rPr>
        <w:t>. 2</w:t>
      </w:r>
      <w:r w:rsidRPr="003B4A18">
        <w:rPr>
          <w:rFonts w:ascii="Arial" w:hAnsi="Arial" w:cs="Arial"/>
          <w:vertAlign w:val="superscript"/>
        </w:rPr>
        <w:t>nd</w:t>
      </w:r>
      <w:r w:rsidRPr="003B4A18">
        <w:rPr>
          <w:rFonts w:ascii="Arial" w:hAnsi="Arial" w:cs="Arial"/>
        </w:rPr>
        <w:t xml:space="preserve"> edn. London: SAGE. </w:t>
      </w:r>
    </w:p>
    <w:p w14:paraId="09740E97" w14:textId="77777777" w:rsidR="009115D0" w:rsidRPr="003B4A18" w:rsidRDefault="009115D0" w:rsidP="009115D0">
      <w:pPr>
        <w:spacing w:line="360" w:lineRule="auto"/>
        <w:ind w:left="720" w:hanging="720"/>
        <w:rPr>
          <w:rFonts w:ascii="Arial" w:hAnsi="Arial" w:cs="Arial"/>
          <w:color w:val="222222"/>
          <w:shd w:val="clear" w:color="auto" w:fill="FFFFFF"/>
        </w:rPr>
      </w:pPr>
      <w:r w:rsidRPr="00267FD3">
        <w:rPr>
          <w:rFonts w:ascii="Arial" w:hAnsi="Arial" w:cs="Arial"/>
          <w:color w:val="222222"/>
          <w:shd w:val="clear" w:color="auto" w:fill="FFFFFF"/>
        </w:rPr>
        <w:t xml:space="preserve">Hattie, J. </w:t>
      </w:r>
      <w:r w:rsidRPr="003B4A18">
        <w:rPr>
          <w:rFonts w:ascii="Arial" w:hAnsi="Arial" w:cs="Arial"/>
          <w:color w:val="222222"/>
          <w:shd w:val="clear" w:color="auto" w:fill="FFFFFF"/>
        </w:rPr>
        <w:t>and</w:t>
      </w:r>
      <w:r w:rsidRPr="00267FD3">
        <w:rPr>
          <w:rFonts w:ascii="Arial" w:hAnsi="Arial" w:cs="Arial"/>
          <w:color w:val="222222"/>
          <w:shd w:val="clear" w:color="auto" w:fill="FFFFFF"/>
        </w:rPr>
        <w:t xml:space="preserve"> Clarke, S. (2018) </w:t>
      </w:r>
      <w:r w:rsidRPr="00267FD3">
        <w:rPr>
          <w:rFonts w:ascii="Arial" w:hAnsi="Arial" w:cs="Arial"/>
          <w:i/>
          <w:iCs/>
          <w:color w:val="222222"/>
          <w:shd w:val="clear" w:color="auto" w:fill="FFFFFF"/>
        </w:rPr>
        <w:t>Visible Learning: Feedback</w:t>
      </w:r>
      <w:r w:rsidRPr="00267FD3">
        <w:rPr>
          <w:rFonts w:ascii="Arial" w:hAnsi="Arial" w:cs="Arial"/>
          <w:color w:val="222222"/>
          <w:shd w:val="clear" w:color="auto" w:fill="FFFFFF"/>
        </w:rPr>
        <w:t>. 1</w:t>
      </w:r>
      <w:r w:rsidRPr="003B4A18">
        <w:rPr>
          <w:rFonts w:ascii="Arial" w:hAnsi="Arial" w:cs="Arial"/>
          <w:color w:val="222222"/>
          <w:shd w:val="clear" w:color="auto" w:fill="FFFFFF"/>
          <w:vertAlign w:val="superscript"/>
        </w:rPr>
        <w:t>st</w:t>
      </w:r>
      <w:r w:rsidRPr="003B4A18">
        <w:rPr>
          <w:rFonts w:ascii="Arial" w:hAnsi="Arial" w:cs="Arial"/>
          <w:color w:val="222222"/>
          <w:shd w:val="clear" w:color="auto" w:fill="FFFFFF"/>
        </w:rPr>
        <w:t xml:space="preserve"> edn</w:t>
      </w:r>
      <w:r w:rsidRPr="00267FD3">
        <w:rPr>
          <w:rFonts w:ascii="Arial" w:hAnsi="Arial" w:cs="Arial"/>
          <w:color w:val="222222"/>
          <w:shd w:val="clear" w:color="auto" w:fill="FFFFFF"/>
        </w:rPr>
        <w:t>. Boca Raton, FL: Routledge</w:t>
      </w:r>
      <w:r w:rsidRPr="003B4A18">
        <w:rPr>
          <w:rFonts w:ascii="Arial" w:hAnsi="Arial" w:cs="Arial"/>
          <w:color w:val="222222"/>
          <w:shd w:val="clear" w:color="auto" w:fill="FFFFFF"/>
        </w:rPr>
        <w:t xml:space="preserve">. </w:t>
      </w:r>
    </w:p>
    <w:p w14:paraId="44606AB5"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Hickman, R. and Huckstep, P. (2003) Art and Mathematics in Education, </w:t>
      </w:r>
      <w:r w:rsidRPr="003B4A18">
        <w:rPr>
          <w:rFonts w:ascii="Arial" w:hAnsi="Arial" w:cs="Arial"/>
          <w:i/>
          <w:iCs/>
          <w:shd w:val="clear" w:color="auto" w:fill="FFFFFF"/>
        </w:rPr>
        <w:t>Journal of Aesthetic Education</w:t>
      </w:r>
      <w:r w:rsidRPr="003B4A18">
        <w:rPr>
          <w:rFonts w:ascii="Arial" w:hAnsi="Arial" w:cs="Arial"/>
          <w:shd w:val="clear" w:color="auto" w:fill="FFFFFF"/>
        </w:rPr>
        <w:t>, 37(1), pp. 1–12.</w:t>
      </w:r>
    </w:p>
    <w:p w14:paraId="41EA6FE8"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Irfan Yurdabakan (2011) The investigation of peer assessment in primary school cooperative learning groups with respect to gender, </w:t>
      </w:r>
      <w:r w:rsidRPr="003B4A18">
        <w:rPr>
          <w:rFonts w:ascii="Arial" w:hAnsi="Arial" w:cs="Arial"/>
          <w:i/>
          <w:iCs/>
        </w:rPr>
        <w:t>Education 3–13</w:t>
      </w:r>
      <w:r w:rsidRPr="003B4A18">
        <w:rPr>
          <w:rFonts w:ascii="Arial" w:hAnsi="Arial" w:cs="Arial"/>
        </w:rPr>
        <w:t>, 39(2), pp. 153-169.</w:t>
      </w:r>
    </w:p>
    <w:p w14:paraId="59D3DC10" w14:textId="6FD380D2"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 xml:space="preserve">Kostons, D. (2010) </w:t>
      </w:r>
      <w:r w:rsidRPr="003B4A18">
        <w:rPr>
          <w:rFonts w:ascii="Arial" w:hAnsi="Arial" w:cs="Arial"/>
          <w:i/>
          <w:iCs/>
          <w:color w:val="222222"/>
          <w:shd w:val="clear" w:color="auto" w:fill="FFFFFF"/>
        </w:rPr>
        <w:t>On the role of self-assessment and task-selection in self-regulated learning.</w:t>
      </w:r>
      <w:r w:rsidRPr="003B4A18">
        <w:rPr>
          <w:rFonts w:ascii="Arial" w:hAnsi="Arial" w:cs="Arial"/>
          <w:color w:val="222222"/>
          <w:shd w:val="clear" w:color="auto" w:fill="FFFFFF"/>
        </w:rPr>
        <w:t xml:space="preserve"> Doctoral Thesis. The Netherlands: Open University of the Netherlands. Available at: </w:t>
      </w:r>
      <w:hyperlink r:id="rId7" w:history="1">
        <w:r w:rsidRPr="003B4A18">
          <w:rPr>
            <w:rStyle w:val="Hyperlink"/>
            <w:rFonts w:ascii="Arial" w:hAnsi="Arial" w:cs="Arial"/>
            <w:shd w:val="clear" w:color="auto" w:fill="FFFFFF"/>
          </w:rPr>
          <w:t>https://research.ou.nl/en/publications/on-the-role-of-self-assessment-and-task-selection-in-self-regulat</w:t>
        </w:r>
      </w:hyperlink>
      <w:r w:rsidRPr="003B4A18">
        <w:rPr>
          <w:rFonts w:ascii="Arial" w:hAnsi="Arial" w:cs="Arial"/>
          <w:color w:val="222222"/>
          <w:shd w:val="clear" w:color="auto" w:fill="FFFFFF"/>
        </w:rPr>
        <w:t xml:space="preserve"> (Accessed: 3 </w:t>
      </w:r>
      <w:r w:rsidR="00CB1D84" w:rsidRPr="003B4A18">
        <w:rPr>
          <w:rFonts w:ascii="Arial" w:hAnsi="Arial" w:cs="Arial"/>
          <w:color w:val="222222"/>
          <w:shd w:val="clear" w:color="auto" w:fill="FFFFFF"/>
        </w:rPr>
        <w:t>January</w:t>
      </w:r>
      <w:r w:rsidRPr="003B4A18">
        <w:rPr>
          <w:rFonts w:ascii="Arial" w:hAnsi="Arial" w:cs="Arial"/>
          <w:color w:val="222222"/>
          <w:shd w:val="clear" w:color="auto" w:fill="FFFFFF"/>
        </w:rPr>
        <w:t xml:space="preserve"> 2022).</w:t>
      </w:r>
    </w:p>
    <w:p w14:paraId="2FAE4847"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 xml:space="preserve">Nikou, </w:t>
      </w:r>
      <w:proofErr w:type="gramStart"/>
      <w:r w:rsidRPr="003B4A18">
        <w:rPr>
          <w:rFonts w:ascii="Arial" w:hAnsi="Arial" w:cs="Arial"/>
          <w:color w:val="222222"/>
          <w:shd w:val="clear" w:color="auto" w:fill="FFFFFF"/>
        </w:rPr>
        <w:t>S.A.</w:t>
      </w:r>
      <w:proofErr w:type="gramEnd"/>
      <w:r w:rsidRPr="003B4A18">
        <w:rPr>
          <w:rFonts w:ascii="Arial" w:hAnsi="Arial" w:cs="Arial"/>
          <w:color w:val="222222"/>
          <w:shd w:val="clear" w:color="auto" w:fill="FFFFFF"/>
        </w:rPr>
        <w:t xml:space="preserve"> and Economides, A.A. (2016) The impact of paper-based, computer-based and mobile-based self-assessment on students' science motivation and achievement. </w:t>
      </w:r>
      <w:r w:rsidRPr="003B4A18">
        <w:rPr>
          <w:rFonts w:ascii="Arial" w:hAnsi="Arial" w:cs="Arial"/>
          <w:i/>
          <w:iCs/>
          <w:color w:val="222222"/>
          <w:shd w:val="clear" w:color="auto" w:fill="FFFFFF"/>
        </w:rPr>
        <w:t>Computers in Human Behavior</w:t>
      </w:r>
      <w:r w:rsidRPr="003B4A18">
        <w:rPr>
          <w:rFonts w:ascii="Arial" w:hAnsi="Arial" w:cs="Arial"/>
          <w:color w:val="222222"/>
          <w:shd w:val="clear" w:color="auto" w:fill="FFFFFF"/>
        </w:rPr>
        <w:t>, </w:t>
      </w:r>
      <w:r w:rsidRPr="003B4A18">
        <w:rPr>
          <w:rFonts w:ascii="Arial" w:hAnsi="Arial" w:cs="Arial"/>
          <w:i/>
          <w:iCs/>
          <w:color w:val="222222"/>
          <w:shd w:val="clear" w:color="auto" w:fill="FFFFFF"/>
        </w:rPr>
        <w:t>55</w:t>
      </w:r>
      <w:r w:rsidRPr="003B4A18">
        <w:rPr>
          <w:rFonts w:ascii="Arial" w:hAnsi="Arial" w:cs="Arial"/>
          <w:color w:val="222222"/>
          <w:shd w:val="clear" w:color="auto" w:fill="FFFFFF"/>
        </w:rPr>
        <w:t>, pp.1241-1248.</w:t>
      </w:r>
    </w:p>
    <w:p w14:paraId="4C1785F0"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Ross, J. A., Rolheiser, C. and Hogaboam-Gray, A. (1999) Effects of self-evaluation training on narrative writing, </w:t>
      </w:r>
      <w:r w:rsidRPr="003B4A18">
        <w:rPr>
          <w:rFonts w:ascii="Arial" w:hAnsi="Arial" w:cs="Arial"/>
          <w:i/>
          <w:iCs/>
        </w:rPr>
        <w:t>Assessing Writing</w:t>
      </w:r>
      <w:r w:rsidRPr="003B4A18">
        <w:rPr>
          <w:rFonts w:ascii="Arial" w:hAnsi="Arial" w:cs="Arial"/>
        </w:rPr>
        <w:t>, 6(1), pp. 107-132.</w:t>
      </w:r>
    </w:p>
    <w:p w14:paraId="3D7A203B"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Šajben, J., Kvaššayová Klimová, N. and Lovászová, Gabriela. (2020) ‘Minecraft: Education Edition as a Game-Based Learning in Slovakia’, </w:t>
      </w:r>
      <w:r w:rsidRPr="003B4A18">
        <w:rPr>
          <w:rFonts w:ascii="Arial" w:hAnsi="Arial" w:cs="Arial"/>
          <w:i/>
          <w:iCs/>
          <w:shd w:val="clear" w:color="auto" w:fill="FFFFFF"/>
        </w:rPr>
        <w:t>12</w:t>
      </w:r>
      <w:r w:rsidRPr="003B4A18">
        <w:rPr>
          <w:rFonts w:ascii="Arial" w:hAnsi="Arial" w:cs="Arial"/>
          <w:i/>
          <w:iCs/>
          <w:shd w:val="clear" w:color="auto" w:fill="FFFFFF"/>
          <w:vertAlign w:val="superscript"/>
        </w:rPr>
        <w:t>th</w:t>
      </w:r>
      <w:r w:rsidRPr="003B4A18">
        <w:rPr>
          <w:rFonts w:ascii="Arial" w:hAnsi="Arial" w:cs="Arial"/>
          <w:i/>
          <w:iCs/>
          <w:shd w:val="clear" w:color="auto" w:fill="FFFFFF"/>
        </w:rPr>
        <w:t xml:space="preserve"> Annual International Conference on Education and New Learning Technologies. </w:t>
      </w:r>
      <w:r w:rsidRPr="003B4A18">
        <w:rPr>
          <w:rFonts w:ascii="Arial" w:hAnsi="Arial" w:cs="Arial"/>
          <w:shd w:val="clear" w:color="auto" w:fill="FFFFFF"/>
        </w:rPr>
        <w:t>Online, 6-7</w:t>
      </w:r>
      <w:r w:rsidRPr="003B4A18">
        <w:rPr>
          <w:rFonts w:ascii="Arial" w:hAnsi="Arial" w:cs="Arial"/>
          <w:shd w:val="clear" w:color="auto" w:fill="FFFFFF"/>
          <w:vertAlign w:val="superscript"/>
        </w:rPr>
        <w:t>th</w:t>
      </w:r>
      <w:r w:rsidRPr="003B4A18">
        <w:rPr>
          <w:rFonts w:ascii="Arial" w:hAnsi="Arial" w:cs="Arial"/>
          <w:shd w:val="clear" w:color="auto" w:fill="FFFFFF"/>
        </w:rPr>
        <w:t xml:space="preserve"> July. Available at: https://library.iated.org/view/SAJBEN2020MIN (Accessed: 4 January 2022).</w:t>
      </w:r>
    </w:p>
    <w:p w14:paraId="11333B52"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 xml:space="preserve">Schunk, D. H. (1996) Goal and self-evaluative influences during children’s cognitive skill learning. </w:t>
      </w:r>
      <w:r w:rsidRPr="003B4A18">
        <w:rPr>
          <w:rFonts w:ascii="Arial" w:hAnsi="Arial" w:cs="Arial"/>
          <w:i/>
          <w:iCs/>
          <w:color w:val="222222"/>
          <w:shd w:val="clear" w:color="auto" w:fill="FFFFFF"/>
        </w:rPr>
        <w:t>American Educational Research Journal</w:t>
      </w:r>
      <w:r w:rsidRPr="003B4A18">
        <w:rPr>
          <w:rFonts w:ascii="Arial" w:hAnsi="Arial" w:cs="Arial"/>
          <w:color w:val="222222"/>
          <w:shd w:val="clear" w:color="auto" w:fill="FFFFFF"/>
        </w:rPr>
        <w:t>, 33 (2), pp. 359–382.</w:t>
      </w:r>
    </w:p>
    <w:p w14:paraId="757781FE"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 xml:space="preserve">Sharma, R., Jain, A., Gupta, N., Garg, S., Batta, M. and Dhir, S.K. (2016) Impact of self-assessment by students on their learning, </w:t>
      </w:r>
      <w:r w:rsidRPr="003B4A18">
        <w:rPr>
          <w:rFonts w:ascii="Arial" w:hAnsi="Arial" w:cs="Arial"/>
          <w:i/>
          <w:iCs/>
          <w:color w:val="222222"/>
          <w:shd w:val="clear" w:color="auto" w:fill="FFFFFF"/>
        </w:rPr>
        <w:t>International Journal of Applied and Basic Medical Research</w:t>
      </w:r>
      <w:r w:rsidRPr="003B4A18">
        <w:rPr>
          <w:rFonts w:ascii="Arial" w:hAnsi="Arial" w:cs="Arial"/>
          <w:color w:val="222222"/>
          <w:shd w:val="clear" w:color="auto" w:fill="FFFFFF"/>
        </w:rPr>
        <w:t>, 6(3), pp. 226-229.</w:t>
      </w:r>
    </w:p>
    <w:p w14:paraId="04C2D8E0"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Spendlove, D. (2009) </w:t>
      </w:r>
      <w:r w:rsidRPr="003B4A18">
        <w:rPr>
          <w:rFonts w:ascii="Arial" w:hAnsi="Arial" w:cs="Arial"/>
          <w:i/>
          <w:iCs/>
          <w:shd w:val="clear" w:color="auto" w:fill="FFFFFF"/>
        </w:rPr>
        <w:t>Putting assessment for learning into practice</w:t>
      </w:r>
      <w:r w:rsidRPr="003B4A18">
        <w:rPr>
          <w:rFonts w:ascii="Arial" w:hAnsi="Arial" w:cs="Arial"/>
          <w:shd w:val="clear" w:color="auto" w:fill="FFFFFF"/>
        </w:rPr>
        <w:t>. London: Continuum International Publishing Group.</w:t>
      </w:r>
    </w:p>
    <w:p w14:paraId="4206B68F"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 xml:space="preserve">Stahl, R.J. (1994) </w:t>
      </w:r>
      <w:r w:rsidRPr="003B4A18">
        <w:rPr>
          <w:rFonts w:ascii="Arial" w:hAnsi="Arial" w:cs="Arial"/>
          <w:i/>
          <w:iCs/>
          <w:shd w:val="clear" w:color="auto" w:fill="FFFFFF"/>
        </w:rPr>
        <w:t>Using" Think-Time" and" Wait-Time" Skillfully in the Classroom</w:t>
      </w:r>
      <w:r w:rsidRPr="003B4A18">
        <w:rPr>
          <w:rFonts w:ascii="Arial" w:hAnsi="Arial" w:cs="Arial"/>
          <w:shd w:val="clear" w:color="auto" w:fill="FFFFFF"/>
        </w:rPr>
        <w:t>. ERIC Digest.</w:t>
      </w:r>
    </w:p>
    <w:p w14:paraId="169653BC"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lastRenderedPageBreak/>
        <w:t>To, J. and Panadero, E. (2019) Peer assessment effects on the self-assessment process of first-year undergraduates, </w:t>
      </w:r>
      <w:r w:rsidRPr="003B4A18">
        <w:rPr>
          <w:rFonts w:ascii="Arial" w:hAnsi="Arial" w:cs="Arial"/>
          <w:i/>
          <w:iCs/>
          <w:shd w:val="clear" w:color="auto" w:fill="FFFFFF"/>
        </w:rPr>
        <w:t xml:space="preserve">Assessment </w:t>
      </w:r>
      <w:r>
        <w:rPr>
          <w:rFonts w:ascii="Arial" w:hAnsi="Arial" w:cs="Arial"/>
          <w:i/>
          <w:iCs/>
          <w:shd w:val="clear" w:color="auto" w:fill="FFFFFF"/>
        </w:rPr>
        <w:t>and</w:t>
      </w:r>
      <w:r w:rsidRPr="003B4A18">
        <w:rPr>
          <w:rFonts w:ascii="Arial" w:hAnsi="Arial" w:cs="Arial"/>
          <w:i/>
          <w:iCs/>
          <w:shd w:val="clear" w:color="auto" w:fill="FFFFFF"/>
        </w:rPr>
        <w:t xml:space="preserve"> Evaluation in Higher Education</w:t>
      </w:r>
      <w:r w:rsidRPr="003B4A18">
        <w:rPr>
          <w:rFonts w:ascii="Arial" w:hAnsi="Arial" w:cs="Arial"/>
          <w:shd w:val="clear" w:color="auto" w:fill="FFFFFF"/>
        </w:rPr>
        <w:t>, </w:t>
      </w:r>
      <w:r w:rsidRPr="003B4A18">
        <w:rPr>
          <w:rFonts w:ascii="Arial" w:hAnsi="Arial" w:cs="Arial"/>
          <w:i/>
          <w:iCs/>
          <w:shd w:val="clear" w:color="auto" w:fill="FFFFFF"/>
        </w:rPr>
        <w:t>44</w:t>
      </w:r>
      <w:r w:rsidRPr="003B4A18">
        <w:rPr>
          <w:rFonts w:ascii="Arial" w:hAnsi="Arial" w:cs="Arial"/>
          <w:shd w:val="clear" w:color="auto" w:fill="FFFFFF"/>
        </w:rPr>
        <w:t>(6), pp. 920-932.</w:t>
      </w:r>
    </w:p>
    <w:p w14:paraId="20170739"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Vasileiadou, D. and Karadimitriou, K., 2021. Examining the impact of self-assessment with the use of rubrics on primary school students’ performance. </w:t>
      </w:r>
      <w:r w:rsidRPr="003B4A18">
        <w:rPr>
          <w:rFonts w:ascii="Arial" w:hAnsi="Arial" w:cs="Arial"/>
          <w:i/>
          <w:iCs/>
          <w:color w:val="222222"/>
          <w:shd w:val="clear" w:color="auto" w:fill="FFFFFF"/>
        </w:rPr>
        <w:t>International Journal of Educational Research Open</w:t>
      </w:r>
      <w:r w:rsidRPr="003B4A18">
        <w:rPr>
          <w:rFonts w:ascii="Arial" w:hAnsi="Arial" w:cs="Arial"/>
          <w:color w:val="222222"/>
          <w:shd w:val="clear" w:color="auto" w:fill="FFFFFF"/>
        </w:rPr>
        <w:t>, </w:t>
      </w:r>
      <w:r w:rsidRPr="003B4A18">
        <w:rPr>
          <w:rFonts w:ascii="Arial" w:hAnsi="Arial" w:cs="Arial"/>
          <w:i/>
          <w:iCs/>
          <w:color w:val="222222"/>
          <w:shd w:val="clear" w:color="auto" w:fill="FFFFFF"/>
        </w:rPr>
        <w:t>2</w:t>
      </w:r>
      <w:r w:rsidRPr="003B4A18">
        <w:rPr>
          <w:rFonts w:ascii="Arial" w:hAnsi="Arial" w:cs="Arial"/>
          <w:color w:val="222222"/>
          <w:shd w:val="clear" w:color="auto" w:fill="FFFFFF"/>
        </w:rPr>
        <w:t>.</w:t>
      </w:r>
    </w:p>
    <w:p w14:paraId="2E7CEAD4"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Welsh Government (2020) </w:t>
      </w:r>
      <w:r w:rsidRPr="003B4A18">
        <w:rPr>
          <w:rFonts w:ascii="Arial" w:hAnsi="Arial" w:cs="Arial"/>
          <w:i/>
          <w:iCs/>
        </w:rPr>
        <w:t>Professional standards</w:t>
      </w:r>
      <w:r w:rsidRPr="003B4A18">
        <w:rPr>
          <w:rFonts w:ascii="Arial" w:hAnsi="Arial" w:cs="Arial"/>
        </w:rPr>
        <w:t>. Available at: https://hwb.gov.wales/professional-development/professional-standards#professional-standards-for-all-school-practitioners (Accessed: 7 December 2021).</w:t>
      </w:r>
    </w:p>
    <w:p w14:paraId="094987AF" w14:textId="77777777" w:rsidR="009115D0" w:rsidRPr="003B4A18" w:rsidRDefault="009115D0" w:rsidP="009115D0">
      <w:pPr>
        <w:spacing w:line="360" w:lineRule="auto"/>
        <w:ind w:left="720" w:hanging="720"/>
        <w:rPr>
          <w:rFonts w:ascii="Arial" w:hAnsi="Arial" w:cs="Arial"/>
          <w:shd w:val="clear" w:color="auto" w:fill="FFFFFF"/>
        </w:rPr>
      </w:pPr>
      <w:r w:rsidRPr="00F67F1E">
        <w:rPr>
          <w:rFonts w:ascii="Arial" w:hAnsi="Arial" w:cs="Arial"/>
          <w:shd w:val="clear" w:color="auto" w:fill="FFFFFF"/>
        </w:rPr>
        <w:t xml:space="preserve">Welsh Government (2020) </w:t>
      </w:r>
      <w:r w:rsidRPr="00F67F1E">
        <w:rPr>
          <w:rFonts w:ascii="Arial" w:hAnsi="Arial" w:cs="Arial"/>
          <w:i/>
          <w:iCs/>
          <w:shd w:val="clear" w:color="auto" w:fill="FFFFFF"/>
        </w:rPr>
        <w:t xml:space="preserve">Professional standards. </w:t>
      </w:r>
      <w:r w:rsidRPr="00F67F1E">
        <w:rPr>
          <w:rFonts w:ascii="Arial" w:hAnsi="Arial" w:cs="Arial"/>
          <w:shd w:val="clear" w:color="auto" w:fill="FFFFFF"/>
        </w:rPr>
        <w:t xml:space="preserve">Available at: https://hwb.gov.wales/professional-development/professional-standards#professional-standards-for-all-school-practitioners (Accessed: </w:t>
      </w:r>
      <w:r w:rsidRPr="003B4A18">
        <w:rPr>
          <w:rFonts w:ascii="Arial" w:hAnsi="Arial" w:cs="Arial"/>
          <w:shd w:val="clear" w:color="auto" w:fill="FFFFFF"/>
        </w:rPr>
        <w:t xml:space="preserve">4 January </w:t>
      </w:r>
      <w:r w:rsidRPr="00F67F1E">
        <w:rPr>
          <w:rFonts w:ascii="Arial" w:hAnsi="Arial" w:cs="Arial"/>
          <w:shd w:val="clear" w:color="auto" w:fill="FFFFFF"/>
        </w:rPr>
        <w:t>202</w:t>
      </w:r>
      <w:r w:rsidRPr="003B4A18">
        <w:rPr>
          <w:rFonts w:ascii="Arial" w:hAnsi="Arial" w:cs="Arial"/>
          <w:shd w:val="clear" w:color="auto" w:fill="FFFFFF"/>
        </w:rPr>
        <w:t>2</w:t>
      </w:r>
      <w:r w:rsidRPr="00F67F1E">
        <w:rPr>
          <w:rFonts w:ascii="Arial" w:hAnsi="Arial" w:cs="Arial"/>
          <w:shd w:val="clear" w:color="auto" w:fill="FFFFFF"/>
        </w:rPr>
        <w:t>).</w:t>
      </w:r>
    </w:p>
    <w:p w14:paraId="64E6EEAF" w14:textId="77777777" w:rsidR="009115D0" w:rsidRPr="003B4A18" w:rsidRDefault="009115D0" w:rsidP="009115D0">
      <w:pPr>
        <w:spacing w:line="360" w:lineRule="auto"/>
        <w:ind w:left="720" w:hanging="720"/>
        <w:rPr>
          <w:rFonts w:ascii="Arial" w:hAnsi="Arial" w:cs="Arial"/>
          <w:shd w:val="clear" w:color="auto" w:fill="FFFFFF"/>
        </w:rPr>
      </w:pPr>
      <w:r w:rsidRPr="003B4A18">
        <w:rPr>
          <w:rFonts w:ascii="Arial" w:hAnsi="Arial" w:cs="Arial"/>
          <w:shd w:val="clear" w:color="auto" w:fill="FFFFFF"/>
        </w:rPr>
        <w:t>Wiliam, D. (2018) </w:t>
      </w:r>
      <w:r w:rsidRPr="003B4A18">
        <w:rPr>
          <w:rFonts w:ascii="Arial" w:hAnsi="Arial" w:cs="Arial"/>
          <w:i/>
          <w:iCs/>
          <w:shd w:val="clear" w:color="auto" w:fill="FFFFFF"/>
        </w:rPr>
        <w:t>Embedded formative assessment</w:t>
      </w:r>
      <w:r w:rsidRPr="003B4A18">
        <w:rPr>
          <w:rFonts w:ascii="Arial" w:hAnsi="Arial" w:cs="Arial"/>
          <w:shd w:val="clear" w:color="auto" w:fill="FFFFFF"/>
        </w:rPr>
        <w:t>. 2</w:t>
      </w:r>
      <w:r w:rsidRPr="003B4A18">
        <w:rPr>
          <w:rFonts w:ascii="Arial" w:hAnsi="Arial" w:cs="Arial"/>
          <w:shd w:val="clear" w:color="auto" w:fill="FFFFFF"/>
          <w:vertAlign w:val="superscript"/>
        </w:rPr>
        <w:t>nd</w:t>
      </w:r>
      <w:r w:rsidRPr="003B4A18">
        <w:rPr>
          <w:rFonts w:ascii="Arial" w:hAnsi="Arial" w:cs="Arial"/>
          <w:shd w:val="clear" w:color="auto" w:fill="FFFFFF"/>
        </w:rPr>
        <w:t xml:space="preserve"> edition. Bloomington, Indiana: Solution Tree Press.</w:t>
      </w:r>
    </w:p>
    <w:p w14:paraId="0A5F8C90" w14:textId="77777777" w:rsidR="009115D0" w:rsidRPr="003B4A18" w:rsidRDefault="009115D0" w:rsidP="009115D0">
      <w:pPr>
        <w:spacing w:line="360" w:lineRule="auto"/>
        <w:ind w:left="720" w:hanging="720"/>
        <w:rPr>
          <w:rFonts w:ascii="Arial" w:hAnsi="Arial" w:cs="Arial"/>
          <w:color w:val="222222"/>
          <w:shd w:val="clear" w:color="auto" w:fill="FFFFFF"/>
        </w:rPr>
      </w:pPr>
      <w:r w:rsidRPr="003B4A18">
        <w:rPr>
          <w:rFonts w:ascii="Arial" w:hAnsi="Arial" w:cs="Arial"/>
          <w:color w:val="222222"/>
          <w:shd w:val="clear" w:color="auto" w:fill="FFFFFF"/>
        </w:rPr>
        <w:t>Willems, P.P. and Gonzalez-DeHass, A.R. (2012) School-Community Partnerships: Using Authentic Contexts to Academically Motivate Students. </w:t>
      </w:r>
      <w:r w:rsidRPr="003B4A18">
        <w:rPr>
          <w:rFonts w:ascii="Arial" w:hAnsi="Arial" w:cs="Arial"/>
          <w:i/>
          <w:iCs/>
          <w:color w:val="222222"/>
          <w:shd w:val="clear" w:color="auto" w:fill="FFFFFF"/>
        </w:rPr>
        <w:t>School Community Journal</w:t>
      </w:r>
      <w:r w:rsidRPr="003B4A18">
        <w:rPr>
          <w:rFonts w:ascii="Arial" w:hAnsi="Arial" w:cs="Arial"/>
          <w:color w:val="222222"/>
          <w:shd w:val="clear" w:color="auto" w:fill="FFFFFF"/>
        </w:rPr>
        <w:t>, 22(2), pp.9-30.</w:t>
      </w:r>
    </w:p>
    <w:p w14:paraId="0EA033C0" w14:textId="77777777" w:rsidR="009115D0" w:rsidRPr="003B4A18" w:rsidRDefault="009115D0" w:rsidP="009115D0">
      <w:pPr>
        <w:spacing w:line="360" w:lineRule="auto"/>
        <w:ind w:left="720" w:hanging="720"/>
        <w:rPr>
          <w:rFonts w:ascii="Arial" w:hAnsi="Arial" w:cs="Arial"/>
        </w:rPr>
      </w:pPr>
      <w:r w:rsidRPr="003B4A18">
        <w:rPr>
          <w:rFonts w:ascii="Arial" w:hAnsi="Arial" w:cs="Arial"/>
        </w:rPr>
        <w:t xml:space="preserve">Young, J. E. and Jackman, M. G.-A. (2014). Formative assessment in the Grenadian lower secondary school: Teachers’ perceptions, attitudes, and practices, </w:t>
      </w:r>
      <w:r w:rsidRPr="003B4A18">
        <w:rPr>
          <w:rFonts w:ascii="Arial" w:hAnsi="Arial" w:cs="Arial"/>
          <w:i/>
          <w:iCs/>
        </w:rPr>
        <w:t xml:space="preserve">Assessment in Education: Principles, Policy </w:t>
      </w:r>
      <w:r>
        <w:rPr>
          <w:rFonts w:ascii="Arial" w:hAnsi="Arial" w:cs="Arial"/>
          <w:i/>
          <w:iCs/>
        </w:rPr>
        <w:t>and</w:t>
      </w:r>
      <w:r w:rsidRPr="003B4A18">
        <w:rPr>
          <w:rFonts w:ascii="Arial" w:hAnsi="Arial" w:cs="Arial"/>
          <w:i/>
          <w:iCs/>
        </w:rPr>
        <w:t xml:space="preserve"> Practice</w:t>
      </w:r>
      <w:r w:rsidRPr="003B4A18">
        <w:rPr>
          <w:rFonts w:ascii="Arial" w:hAnsi="Arial" w:cs="Arial"/>
        </w:rPr>
        <w:t>, 21(4), pp. 398–411.</w:t>
      </w:r>
    </w:p>
    <w:p w14:paraId="49CDF16D" w14:textId="77777777" w:rsidR="006F2E66" w:rsidRPr="004124CB" w:rsidRDefault="006F2E66" w:rsidP="004124CB">
      <w:pPr>
        <w:spacing w:line="360" w:lineRule="auto"/>
        <w:rPr>
          <w:rFonts w:ascii="Arial" w:hAnsi="Arial" w:cs="Arial"/>
        </w:rPr>
      </w:pPr>
    </w:p>
    <w:sectPr w:rsidR="006F2E66" w:rsidRPr="00412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242"/>
    <w:rsid w:val="00007B73"/>
    <w:rsid w:val="0001326C"/>
    <w:rsid w:val="00025DD4"/>
    <w:rsid w:val="00046AB6"/>
    <w:rsid w:val="00052960"/>
    <w:rsid w:val="0005476F"/>
    <w:rsid w:val="00092DE8"/>
    <w:rsid w:val="000B4E69"/>
    <w:rsid w:val="000C557B"/>
    <w:rsid w:val="000D3C6B"/>
    <w:rsid w:val="001229FC"/>
    <w:rsid w:val="00137C0C"/>
    <w:rsid w:val="001620F0"/>
    <w:rsid w:val="00171A65"/>
    <w:rsid w:val="00177EA4"/>
    <w:rsid w:val="00182FFA"/>
    <w:rsid w:val="00197BD2"/>
    <w:rsid w:val="001A5981"/>
    <w:rsid w:val="001D1544"/>
    <w:rsid w:val="001D3FF2"/>
    <w:rsid w:val="00200F49"/>
    <w:rsid w:val="0021527B"/>
    <w:rsid w:val="00226BA7"/>
    <w:rsid w:val="00231732"/>
    <w:rsid w:val="002D0DD1"/>
    <w:rsid w:val="002F6E1C"/>
    <w:rsid w:val="0032760F"/>
    <w:rsid w:val="00330E5F"/>
    <w:rsid w:val="00335BA1"/>
    <w:rsid w:val="003414FE"/>
    <w:rsid w:val="00386242"/>
    <w:rsid w:val="003D4FBF"/>
    <w:rsid w:val="003E34FD"/>
    <w:rsid w:val="003E4B28"/>
    <w:rsid w:val="003E7D31"/>
    <w:rsid w:val="00404FE5"/>
    <w:rsid w:val="004124CB"/>
    <w:rsid w:val="0043778E"/>
    <w:rsid w:val="00450B3D"/>
    <w:rsid w:val="0049020C"/>
    <w:rsid w:val="004A2021"/>
    <w:rsid w:val="004A4C19"/>
    <w:rsid w:val="004A660B"/>
    <w:rsid w:val="004B7EAB"/>
    <w:rsid w:val="004C5A1B"/>
    <w:rsid w:val="00540380"/>
    <w:rsid w:val="0054710E"/>
    <w:rsid w:val="005567AC"/>
    <w:rsid w:val="00562EAF"/>
    <w:rsid w:val="00567966"/>
    <w:rsid w:val="00585539"/>
    <w:rsid w:val="005F46D5"/>
    <w:rsid w:val="0060168E"/>
    <w:rsid w:val="00602CC4"/>
    <w:rsid w:val="00633DD7"/>
    <w:rsid w:val="00651D63"/>
    <w:rsid w:val="006848D4"/>
    <w:rsid w:val="0069324F"/>
    <w:rsid w:val="0069407F"/>
    <w:rsid w:val="006B1B90"/>
    <w:rsid w:val="006B1EBA"/>
    <w:rsid w:val="006F0929"/>
    <w:rsid w:val="006F2E66"/>
    <w:rsid w:val="0071449D"/>
    <w:rsid w:val="007153E6"/>
    <w:rsid w:val="00724F04"/>
    <w:rsid w:val="00747075"/>
    <w:rsid w:val="00763790"/>
    <w:rsid w:val="007A04FF"/>
    <w:rsid w:val="007A1793"/>
    <w:rsid w:val="007C48A5"/>
    <w:rsid w:val="007E5F70"/>
    <w:rsid w:val="007E7D17"/>
    <w:rsid w:val="00801FFC"/>
    <w:rsid w:val="008407A3"/>
    <w:rsid w:val="008649C4"/>
    <w:rsid w:val="00875BAA"/>
    <w:rsid w:val="0088318E"/>
    <w:rsid w:val="00896E07"/>
    <w:rsid w:val="008C2B16"/>
    <w:rsid w:val="008D6AF8"/>
    <w:rsid w:val="008E5071"/>
    <w:rsid w:val="008F5AD1"/>
    <w:rsid w:val="008F78A2"/>
    <w:rsid w:val="009115D0"/>
    <w:rsid w:val="00926C82"/>
    <w:rsid w:val="00930B61"/>
    <w:rsid w:val="00933A0C"/>
    <w:rsid w:val="00953BB6"/>
    <w:rsid w:val="00966479"/>
    <w:rsid w:val="00966A00"/>
    <w:rsid w:val="00970681"/>
    <w:rsid w:val="009750BB"/>
    <w:rsid w:val="009852A0"/>
    <w:rsid w:val="00986558"/>
    <w:rsid w:val="009B335F"/>
    <w:rsid w:val="009D086C"/>
    <w:rsid w:val="00A1223D"/>
    <w:rsid w:val="00A15082"/>
    <w:rsid w:val="00A20066"/>
    <w:rsid w:val="00A203D1"/>
    <w:rsid w:val="00A810E0"/>
    <w:rsid w:val="00A81EFF"/>
    <w:rsid w:val="00AA316F"/>
    <w:rsid w:val="00AB453C"/>
    <w:rsid w:val="00AE72AE"/>
    <w:rsid w:val="00B20D71"/>
    <w:rsid w:val="00B22A12"/>
    <w:rsid w:val="00B27FEF"/>
    <w:rsid w:val="00B54904"/>
    <w:rsid w:val="00B61B38"/>
    <w:rsid w:val="00B80E3E"/>
    <w:rsid w:val="00BA0832"/>
    <w:rsid w:val="00BC53E5"/>
    <w:rsid w:val="00BD7A1A"/>
    <w:rsid w:val="00C10B8B"/>
    <w:rsid w:val="00C17408"/>
    <w:rsid w:val="00C65465"/>
    <w:rsid w:val="00C656D6"/>
    <w:rsid w:val="00CA0D25"/>
    <w:rsid w:val="00CB1D84"/>
    <w:rsid w:val="00CB6F4A"/>
    <w:rsid w:val="00CD45FA"/>
    <w:rsid w:val="00CE5135"/>
    <w:rsid w:val="00CE72C8"/>
    <w:rsid w:val="00D037F4"/>
    <w:rsid w:val="00D62163"/>
    <w:rsid w:val="00D62E59"/>
    <w:rsid w:val="00D70F83"/>
    <w:rsid w:val="00D7463B"/>
    <w:rsid w:val="00D97E34"/>
    <w:rsid w:val="00DC50A5"/>
    <w:rsid w:val="00DC626B"/>
    <w:rsid w:val="00DD6D87"/>
    <w:rsid w:val="00DE2B1A"/>
    <w:rsid w:val="00E14B9C"/>
    <w:rsid w:val="00E20EA0"/>
    <w:rsid w:val="00E4146A"/>
    <w:rsid w:val="00E573D7"/>
    <w:rsid w:val="00E73989"/>
    <w:rsid w:val="00E948C8"/>
    <w:rsid w:val="00EB75F7"/>
    <w:rsid w:val="00EE0FF4"/>
    <w:rsid w:val="00EE5162"/>
    <w:rsid w:val="00F14EAB"/>
    <w:rsid w:val="00F42E25"/>
    <w:rsid w:val="00F50A51"/>
    <w:rsid w:val="00F51548"/>
    <w:rsid w:val="00F64B44"/>
    <w:rsid w:val="00F96483"/>
    <w:rsid w:val="00FC2E34"/>
    <w:rsid w:val="00FF1348"/>
    <w:rsid w:val="6023E7C4"/>
    <w:rsid w:val="7A126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E9F5D"/>
  <w15:chartTrackingRefBased/>
  <w15:docId w15:val="{F5AFD289-6B27-43DC-A1C2-158C7F35B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620F0"/>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1620F0"/>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E5071"/>
    <w:rPr>
      <w:sz w:val="16"/>
      <w:szCs w:val="16"/>
    </w:rPr>
  </w:style>
  <w:style w:type="paragraph" w:styleId="CommentText">
    <w:name w:val="annotation text"/>
    <w:basedOn w:val="Normal"/>
    <w:link w:val="CommentTextChar"/>
    <w:uiPriority w:val="99"/>
    <w:unhideWhenUsed/>
    <w:rsid w:val="008E5071"/>
    <w:pPr>
      <w:spacing w:line="240" w:lineRule="auto"/>
    </w:pPr>
    <w:rPr>
      <w:sz w:val="20"/>
      <w:szCs w:val="20"/>
    </w:rPr>
  </w:style>
  <w:style w:type="character" w:customStyle="1" w:styleId="CommentTextChar">
    <w:name w:val="Comment Text Char"/>
    <w:basedOn w:val="DefaultParagraphFont"/>
    <w:link w:val="CommentText"/>
    <w:uiPriority w:val="99"/>
    <w:rsid w:val="008E5071"/>
    <w:rPr>
      <w:sz w:val="20"/>
      <w:szCs w:val="20"/>
    </w:rPr>
  </w:style>
  <w:style w:type="paragraph" w:styleId="CommentSubject">
    <w:name w:val="annotation subject"/>
    <w:basedOn w:val="CommentText"/>
    <w:next w:val="CommentText"/>
    <w:link w:val="CommentSubjectChar"/>
    <w:uiPriority w:val="99"/>
    <w:semiHidden/>
    <w:unhideWhenUsed/>
    <w:rsid w:val="008E5071"/>
    <w:rPr>
      <w:b/>
      <w:bCs/>
    </w:rPr>
  </w:style>
  <w:style w:type="character" w:customStyle="1" w:styleId="CommentSubjectChar">
    <w:name w:val="Comment Subject Char"/>
    <w:basedOn w:val="CommentTextChar"/>
    <w:link w:val="CommentSubject"/>
    <w:uiPriority w:val="99"/>
    <w:semiHidden/>
    <w:rsid w:val="008E5071"/>
    <w:rPr>
      <w:b/>
      <w:bCs/>
      <w:sz w:val="20"/>
      <w:szCs w:val="20"/>
    </w:rPr>
  </w:style>
  <w:style w:type="character" w:styleId="Hyperlink">
    <w:name w:val="Hyperlink"/>
    <w:basedOn w:val="DefaultParagraphFont"/>
    <w:uiPriority w:val="99"/>
    <w:unhideWhenUsed/>
    <w:rsid w:val="00B22A12"/>
    <w:rPr>
      <w:color w:val="0563C1" w:themeColor="hyperlink"/>
      <w:u w:val="single"/>
    </w:rPr>
  </w:style>
  <w:style w:type="character" w:styleId="UnresolvedMention">
    <w:name w:val="Unresolved Mention"/>
    <w:basedOn w:val="DefaultParagraphFont"/>
    <w:uiPriority w:val="99"/>
    <w:semiHidden/>
    <w:unhideWhenUsed/>
    <w:rsid w:val="00B22A12"/>
    <w:rPr>
      <w:color w:val="605E5C"/>
      <w:shd w:val="clear" w:color="auto" w:fill="E1DFDD"/>
    </w:rPr>
  </w:style>
  <w:style w:type="character" w:customStyle="1" w:styleId="cf01">
    <w:name w:val="cf01"/>
    <w:basedOn w:val="DefaultParagraphFont"/>
    <w:rsid w:val="00F50A51"/>
    <w:rPr>
      <w:rFonts w:ascii="Segoe UI" w:hAnsi="Segoe UI" w:cs="Segoe UI" w:hint="default"/>
      <w:sz w:val="18"/>
      <w:szCs w:val="18"/>
    </w:rPr>
  </w:style>
  <w:style w:type="character" w:styleId="Emphasis">
    <w:name w:val="Emphasis"/>
    <w:basedOn w:val="DefaultParagraphFont"/>
    <w:uiPriority w:val="20"/>
    <w:qFormat/>
    <w:rsid w:val="009115D0"/>
    <w:rPr>
      <w:i/>
      <w:iCs/>
    </w:rPr>
  </w:style>
  <w:style w:type="character" w:customStyle="1" w:styleId="Heading2Char">
    <w:name w:val="Heading 2 Char"/>
    <w:basedOn w:val="DefaultParagraphFont"/>
    <w:link w:val="Heading2"/>
    <w:uiPriority w:val="9"/>
    <w:rsid w:val="001620F0"/>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1620F0"/>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1620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F78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F78A2"/>
  </w:style>
  <w:style w:type="character" w:customStyle="1" w:styleId="eop">
    <w:name w:val="eop"/>
    <w:basedOn w:val="DefaultParagraphFont"/>
    <w:rsid w:val="008F78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951298">
      <w:bodyDiv w:val="1"/>
      <w:marLeft w:val="0"/>
      <w:marRight w:val="0"/>
      <w:marTop w:val="0"/>
      <w:marBottom w:val="0"/>
      <w:divBdr>
        <w:top w:val="none" w:sz="0" w:space="0" w:color="auto"/>
        <w:left w:val="none" w:sz="0" w:space="0" w:color="auto"/>
        <w:bottom w:val="none" w:sz="0" w:space="0" w:color="auto"/>
        <w:right w:val="none" w:sz="0" w:space="0" w:color="auto"/>
      </w:divBdr>
      <w:divsChild>
        <w:div w:id="1544906609">
          <w:marLeft w:val="0"/>
          <w:marRight w:val="0"/>
          <w:marTop w:val="0"/>
          <w:marBottom w:val="0"/>
          <w:divBdr>
            <w:top w:val="none" w:sz="0" w:space="0" w:color="auto"/>
            <w:left w:val="none" w:sz="0" w:space="0" w:color="auto"/>
            <w:bottom w:val="none" w:sz="0" w:space="0" w:color="auto"/>
            <w:right w:val="none" w:sz="0" w:space="0" w:color="auto"/>
          </w:divBdr>
          <w:divsChild>
            <w:div w:id="1846047180">
              <w:marLeft w:val="0"/>
              <w:marRight w:val="0"/>
              <w:marTop w:val="30"/>
              <w:marBottom w:val="30"/>
              <w:divBdr>
                <w:top w:val="none" w:sz="0" w:space="0" w:color="auto"/>
                <w:left w:val="none" w:sz="0" w:space="0" w:color="auto"/>
                <w:bottom w:val="none" w:sz="0" w:space="0" w:color="auto"/>
                <w:right w:val="none" w:sz="0" w:space="0" w:color="auto"/>
              </w:divBdr>
              <w:divsChild>
                <w:div w:id="1222596628">
                  <w:marLeft w:val="0"/>
                  <w:marRight w:val="0"/>
                  <w:marTop w:val="0"/>
                  <w:marBottom w:val="0"/>
                  <w:divBdr>
                    <w:top w:val="none" w:sz="0" w:space="0" w:color="auto"/>
                    <w:left w:val="none" w:sz="0" w:space="0" w:color="auto"/>
                    <w:bottom w:val="none" w:sz="0" w:space="0" w:color="auto"/>
                    <w:right w:val="none" w:sz="0" w:space="0" w:color="auto"/>
                  </w:divBdr>
                  <w:divsChild>
                    <w:div w:id="262613297">
                      <w:marLeft w:val="0"/>
                      <w:marRight w:val="0"/>
                      <w:marTop w:val="0"/>
                      <w:marBottom w:val="0"/>
                      <w:divBdr>
                        <w:top w:val="none" w:sz="0" w:space="0" w:color="auto"/>
                        <w:left w:val="none" w:sz="0" w:space="0" w:color="auto"/>
                        <w:bottom w:val="none" w:sz="0" w:space="0" w:color="auto"/>
                        <w:right w:val="none" w:sz="0" w:space="0" w:color="auto"/>
                      </w:divBdr>
                    </w:div>
                  </w:divsChild>
                </w:div>
                <w:div w:id="476655284">
                  <w:marLeft w:val="0"/>
                  <w:marRight w:val="0"/>
                  <w:marTop w:val="0"/>
                  <w:marBottom w:val="0"/>
                  <w:divBdr>
                    <w:top w:val="none" w:sz="0" w:space="0" w:color="auto"/>
                    <w:left w:val="none" w:sz="0" w:space="0" w:color="auto"/>
                    <w:bottom w:val="none" w:sz="0" w:space="0" w:color="auto"/>
                    <w:right w:val="none" w:sz="0" w:space="0" w:color="auto"/>
                  </w:divBdr>
                  <w:divsChild>
                    <w:div w:id="493646403">
                      <w:marLeft w:val="0"/>
                      <w:marRight w:val="0"/>
                      <w:marTop w:val="0"/>
                      <w:marBottom w:val="0"/>
                      <w:divBdr>
                        <w:top w:val="none" w:sz="0" w:space="0" w:color="auto"/>
                        <w:left w:val="none" w:sz="0" w:space="0" w:color="auto"/>
                        <w:bottom w:val="none" w:sz="0" w:space="0" w:color="auto"/>
                        <w:right w:val="none" w:sz="0" w:space="0" w:color="auto"/>
                      </w:divBdr>
                    </w:div>
                  </w:divsChild>
                </w:div>
                <w:div w:id="68164717">
                  <w:marLeft w:val="0"/>
                  <w:marRight w:val="0"/>
                  <w:marTop w:val="0"/>
                  <w:marBottom w:val="0"/>
                  <w:divBdr>
                    <w:top w:val="none" w:sz="0" w:space="0" w:color="auto"/>
                    <w:left w:val="none" w:sz="0" w:space="0" w:color="auto"/>
                    <w:bottom w:val="none" w:sz="0" w:space="0" w:color="auto"/>
                    <w:right w:val="none" w:sz="0" w:space="0" w:color="auto"/>
                  </w:divBdr>
                  <w:divsChild>
                    <w:div w:id="1112476694">
                      <w:marLeft w:val="0"/>
                      <w:marRight w:val="0"/>
                      <w:marTop w:val="0"/>
                      <w:marBottom w:val="0"/>
                      <w:divBdr>
                        <w:top w:val="none" w:sz="0" w:space="0" w:color="auto"/>
                        <w:left w:val="none" w:sz="0" w:space="0" w:color="auto"/>
                        <w:bottom w:val="none" w:sz="0" w:space="0" w:color="auto"/>
                        <w:right w:val="none" w:sz="0" w:space="0" w:color="auto"/>
                      </w:divBdr>
                    </w:div>
                    <w:div w:id="677733216">
                      <w:marLeft w:val="0"/>
                      <w:marRight w:val="0"/>
                      <w:marTop w:val="0"/>
                      <w:marBottom w:val="0"/>
                      <w:divBdr>
                        <w:top w:val="none" w:sz="0" w:space="0" w:color="auto"/>
                        <w:left w:val="none" w:sz="0" w:space="0" w:color="auto"/>
                        <w:bottom w:val="none" w:sz="0" w:space="0" w:color="auto"/>
                        <w:right w:val="none" w:sz="0" w:space="0" w:color="auto"/>
                      </w:divBdr>
                    </w:div>
                  </w:divsChild>
                </w:div>
                <w:div w:id="1448617699">
                  <w:marLeft w:val="0"/>
                  <w:marRight w:val="0"/>
                  <w:marTop w:val="0"/>
                  <w:marBottom w:val="0"/>
                  <w:divBdr>
                    <w:top w:val="none" w:sz="0" w:space="0" w:color="auto"/>
                    <w:left w:val="none" w:sz="0" w:space="0" w:color="auto"/>
                    <w:bottom w:val="none" w:sz="0" w:space="0" w:color="auto"/>
                    <w:right w:val="none" w:sz="0" w:space="0" w:color="auto"/>
                  </w:divBdr>
                  <w:divsChild>
                    <w:div w:id="304356246">
                      <w:marLeft w:val="0"/>
                      <w:marRight w:val="0"/>
                      <w:marTop w:val="0"/>
                      <w:marBottom w:val="0"/>
                      <w:divBdr>
                        <w:top w:val="none" w:sz="0" w:space="0" w:color="auto"/>
                        <w:left w:val="none" w:sz="0" w:space="0" w:color="auto"/>
                        <w:bottom w:val="none" w:sz="0" w:space="0" w:color="auto"/>
                        <w:right w:val="none" w:sz="0" w:space="0" w:color="auto"/>
                      </w:divBdr>
                    </w:div>
                  </w:divsChild>
                </w:div>
                <w:div w:id="78604358">
                  <w:marLeft w:val="0"/>
                  <w:marRight w:val="0"/>
                  <w:marTop w:val="0"/>
                  <w:marBottom w:val="0"/>
                  <w:divBdr>
                    <w:top w:val="none" w:sz="0" w:space="0" w:color="auto"/>
                    <w:left w:val="none" w:sz="0" w:space="0" w:color="auto"/>
                    <w:bottom w:val="none" w:sz="0" w:space="0" w:color="auto"/>
                    <w:right w:val="none" w:sz="0" w:space="0" w:color="auto"/>
                  </w:divBdr>
                  <w:divsChild>
                    <w:div w:id="1764647436">
                      <w:marLeft w:val="0"/>
                      <w:marRight w:val="0"/>
                      <w:marTop w:val="0"/>
                      <w:marBottom w:val="0"/>
                      <w:divBdr>
                        <w:top w:val="none" w:sz="0" w:space="0" w:color="auto"/>
                        <w:left w:val="none" w:sz="0" w:space="0" w:color="auto"/>
                        <w:bottom w:val="none" w:sz="0" w:space="0" w:color="auto"/>
                        <w:right w:val="none" w:sz="0" w:space="0" w:color="auto"/>
                      </w:divBdr>
                    </w:div>
                  </w:divsChild>
                </w:div>
                <w:div w:id="1597442485">
                  <w:marLeft w:val="0"/>
                  <w:marRight w:val="0"/>
                  <w:marTop w:val="0"/>
                  <w:marBottom w:val="0"/>
                  <w:divBdr>
                    <w:top w:val="none" w:sz="0" w:space="0" w:color="auto"/>
                    <w:left w:val="none" w:sz="0" w:space="0" w:color="auto"/>
                    <w:bottom w:val="none" w:sz="0" w:space="0" w:color="auto"/>
                    <w:right w:val="none" w:sz="0" w:space="0" w:color="auto"/>
                  </w:divBdr>
                  <w:divsChild>
                    <w:div w:id="1573539491">
                      <w:marLeft w:val="0"/>
                      <w:marRight w:val="0"/>
                      <w:marTop w:val="0"/>
                      <w:marBottom w:val="0"/>
                      <w:divBdr>
                        <w:top w:val="none" w:sz="0" w:space="0" w:color="auto"/>
                        <w:left w:val="none" w:sz="0" w:space="0" w:color="auto"/>
                        <w:bottom w:val="none" w:sz="0" w:space="0" w:color="auto"/>
                        <w:right w:val="none" w:sz="0" w:space="0" w:color="auto"/>
                      </w:divBdr>
                    </w:div>
                  </w:divsChild>
                </w:div>
                <w:div w:id="1728533906">
                  <w:marLeft w:val="0"/>
                  <w:marRight w:val="0"/>
                  <w:marTop w:val="0"/>
                  <w:marBottom w:val="0"/>
                  <w:divBdr>
                    <w:top w:val="none" w:sz="0" w:space="0" w:color="auto"/>
                    <w:left w:val="none" w:sz="0" w:space="0" w:color="auto"/>
                    <w:bottom w:val="none" w:sz="0" w:space="0" w:color="auto"/>
                    <w:right w:val="none" w:sz="0" w:space="0" w:color="auto"/>
                  </w:divBdr>
                  <w:divsChild>
                    <w:div w:id="1993562381">
                      <w:marLeft w:val="0"/>
                      <w:marRight w:val="0"/>
                      <w:marTop w:val="0"/>
                      <w:marBottom w:val="0"/>
                      <w:divBdr>
                        <w:top w:val="none" w:sz="0" w:space="0" w:color="auto"/>
                        <w:left w:val="none" w:sz="0" w:space="0" w:color="auto"/>
                        <w:bottom w:val="none" w:sz="0" w:space="0" w:color="auto"/>
                        <w:right w:val="none" w:sz="0" w:space="0" w:color="auto"/>
                      </w:divBdr>
                    </w:div>
                  </w:divsChild>
                </w:div>
                <w:div w:id="592251866">
                  <w:marLeft w:val="0"/>
                  <w:marRight w:val="0"/>
                  <w:marTop w:val="0"/>
                  <w:marBottom w:val="0"/>
                  <w:divBdr>
                    <w:top w:val="none" w:sz="0" w:space="0" w:color="auto"/>
                    <w:left w:val="none" w:sz="0" w:space="0" w:color="auto"/>
                    <w:bottom w:val="none" w:sz="0" w:space="0" w:color="auto"/>
                    <w:right w:val="none" w:sz="0" w:space="0" w:color="auto"/>
                  </w:divBdr>
                  <w:divsChild>
                    <w:div w:id="1555700215">
                      <w:marLeft w:val="0"/>
                      <w:marRight w:val="0"/>
                      <w:marTop w:val="0"/>
                      <w:marBottom w:val="0"/>
                      <w:divBdr>
                        <w:top w:val="none" w:sz="0" w:space="0" w:color="auto"/>
                        <w:left w:val="none" w:sz="0" w:space="0" w:color="auto"/>
                        <w:bottom w:val="none" w:sz="0" w:space="0" w:color="auto"/>
                        <w:right w:val="none" w:sz="0" w:space="0" w:color="auto"/>
                      </w:divBdr>
                    </w:div>
                  </w:divsChild>
                </w:div>
                <w:div w:id="55208322">
                  <w:marLeft w:val="0"/>
                  <w:marRight w:val="0"/>
                  <w:marTop w:val="0"/>
                  <w:marBottom w:val="0"/>
                  <w:divBdr>
                    <w:top w:val="none" w:sz="0" w:space="0" w:color="auto"/>
                    <w:left w:val="none" w:sz="0" w:space="0" w:color="auto"/>
                    <w:bottom w:val="none" w:sz="0" w:space="0" w:color="auto"/>
                    <w:right w:val="none" w:sz="0" w:space="0" w:color="auto"/>
                  </w:divBdr>
                  <w:divsChild>
                    <w:div w:id="1120103208">
                      <w:marLeft w:val="0"/>
                      <w:marRight w:val="0"/>
                      <w:marTop w:val="0"/>
                      <w:marBottom w:val="0"/>
                      <w:divBdr>
                        <w:top w:val="none" w:sz="0" w:space="0" w:color="auto"/>
                        <w:left w:val="none" w:sz="0" w:space="0" w:color="auto"/>
                        <w:bottom w:val="none" w:sz="0" w:space="0" w:color="auto"/>
                        <w:right w:val="none" w:sz="0" w:space="0" w:color="auto"/>
                      </w:divBdr>
                    </w:div>
                  </w:divsChild>
                </w:div>
                <w:div w:id="946546271">
                  <w:marLeft w:val="0"/>
                  <w:marRight w:val="0"/>
                  <w:marTop w:val="0"/>
                  <w:marBottom w:val="0"/>
                  <w:divBdr>
                    <w:top w:val="none" w:sz="0" w:space="0" w:color="auto"/>
                    <w:left w:val="none" w:sz="0" w:space="0" w:color="auto"/>
                    <w:bottom w:val="none" w:sz="0" w:space="0" w:color="auto"/>
                    <w:right w:val="none" w:sz="0" w:space="0" w:color="auto"/>
                  </w:divBdr>
                  <w:divsChild>
                    <w:div w:id="1119640650">
                      <w:marLeft w:val="0"/>
                      <w:marRight w:val="0"/>
                      <w:marTop w:val="0"/>
                      <w:marBottom w:val="0"/>
                      <w:divBdr>
                        <w:top w:val="none" w:sz="0" w:space="0" w:color="auto"/>
                        <w:left w:val="none" w:sz="0" w:space="0" w:color="auto"/>
                        <w:bottom w:val="none" w:sz="0" w:space="0" w:color="auto"/>
                        <w:right w:val="none" w:sz="0" w:space="0" w:color="auto"/>
                      </w:divBdr>
                    </w:div>
                  </w:divsChild>
                </w:div>
                <w:div w:id="543829660">
                  <w:marLeft w:val="0"/>
                  <w:marRight w:val="0"/>
                  <w:marTop w:val="0"/>
                  <w:marBottom w:val="0"/>
                  <w:divBdr>
                    <w:top w:val="none" w:sz="0" w:space="0" w:color="auto"/>
                    <w:left w:val="none" w:sz="0" w:space="0" w:color="auto"/>
                    <w:bottom w:val="none" w:sz="0" w:space="0" w:color="auto"/>
                    <w:right w:val="none" w:sz="0" w:space="0" w:color="auto"/>
                  </w:divBdr>
                  <w:divsChild>
                    <w:div w:id="279341458">
                      <w:marLeft w:val="0"/>
                      <w:marRight w:val="0"/>
                      <w:marTop w:val="0"/>
                      <w:marBottom w:val="0"/>
                      <w:divBdr>
                        <w:top w:val="none" w:sz="0" w:space="0" w:color="auto"/>
                        <w:left w:val="none" w:sz="0" w:space="0" w:color="auto"/>
                        <w:bottom w:val="none" w:sz="0" w:space="0" w:color="auto"/>
                        <w:right w:val="none" w:sz="0" w:space="0" w:color="auto"/>
                      </w:divBdr>
                    </w:div>
                  </w:divsChild>
                </w:div>
                <w:div w:id="1136602123">
                  <w:marLeft w:val="0"/>
                  <w:marRight w:val="0"/>
                  <w:marTop w:val="0"/>
                  <w:marBottom w:val="0"/>
                  <w:divBdr>
                    <w:top w:val="none" w:sz="0" w:space="0" w:color="auto"/>
                    <w:left w:val="none" w:sz="0" w:space="0" w:color="auto"/>
                    <w:bottom w:val="none" w:sz="0" w:space="0" w:color="auto"/>
                    <w:right w:val="none" w:sz="0" w:space="0" w:color="auto"/>
                  </w:divBdr>
                  <w:divsChild>
                    <w:div w:id="797454518">
                      <w:marLeft w:val="0"/>
                      <w:marRight w:val="0"/>
                      <w:marTop w:val="0"/>
                      <w:marBottom w:val="0"/>
                      <w:divBdr>
                        <w:top w:val="none" w:sz="0" w:space="0" w:color="auto"/>
                        <w:left w:val="none" w:sz="0" w:space="0" w:color="auto"/>
                        <w:bottom w:val="none" w:sz="0" w:space="0" w:color="auto"/>
                        <w:right w:val="none" w:sz="0" w:space="0" w:color="auto"/>
                      </w:divBdr>
                    </w:div>
                  </w:divsChild>
                </w:div>
                <w:div w:id="1892881799">
                  <w:marLeft w:val="0"/>
                  <w:marRight w:val="0"/>
                  <w:marTop w:val="0"/>
                  <w:marBottom w:val="0"/>
                  <w:divBdr>
                    <w:top w:val="none" w:sz="0" w:space="0" w:color="auto"/>
                    <w:left w:val="none" w:sz="0" w:space="0" w:color="auto"/>
                    <w:bottom w:val="none" w:sz="0" w:space="0" w:color="auto"/>
                    <w:right w:val="none" w:sz="0" w:space="0" w:color="auto"/>
                  </w:divBdr>
                  <w:divsChild>
                    <w:div w:id="982849534">
                      <w:marLeft w:val="0"/>
                      <w:marRight w:val="0"/>
                      <w:marTop w:val="0"/>
                      <w:marBottom w:val="0"/>
                      <w:divBdr>
                        <w:top w:val="none" w:sz="0" w:space="0" w:color="auto"/>
                        <w:left w:val="none" w:sz="0" w:space="0" w:color="auto"/>
                        <w:bottom w:val="none" w:sz="0" w:space="0" w:color="auto"/>
                        <w:right w:val="none" w:sz="0" w:space="0" w:color="auto"/>
                      </w:divBdr>
                    </w:div>
                  </w:divsChild>
                </w:div>
                <w:div w:id="525682063">
                  <w:marLeft w:val="0"/>
                  <w:marRight w:val="0"/>
                  <w:marTop w:val="0"/>
                  <w:marBottom w:val="0"/>
                  <w:divBdr>
                    <w:top w:val="none" w:sz="0" w:space="0" w:color="auto"/>
                    <w:left w:val="none" w:sz="0" w:space="0" w:color="auto"/>
                    <w:bottom w:val="none" w:sz="0" w:space="0" w:color="auto"/>
                    <w:right w:val="none" w:sz="0" w:space="0" w:color="auto"/>
                  </w:divBdr>
                  <w:divsChild>
                    <w:div w:id="2010449174">
                      <w:marLeft w:val="0"/>
                      <w:marRight w:val="0"/>
                      <w:marTop w:val="0"/>
                      <w:marBottom w:val="0"/>
                      <w:divBdr>
                        <w:top w:val="none" w:sz="0" w:space="0" w:color="auto"/>
                        <w:left w:val="none" w:sz="0" w:space="0" w:color="auto"/>
                        <w:bottom w:val="none" w:sz="0" w:space="0" w:color="auto"/>
                        <w:right w:val="none" w:sz="0" w:space="0" w:color="auto"/>
                      </w:divBdr>
                    </w:div>
                  </w:divsChild>
                </w:div>
                <w:div w:id="324549264">
                  <w:marLeft w:val="0"/>
                  <w:marRight w:val="0"/>
                  <w:marTop w:val="0"/>
                  <w:marBottom w:val="0"/>
                  <w:divBdr>
                    <w:top w:val="none" w:sz="0" w:space="0" w:color="auto"/>
                    <w:left w:val="none" w:sz="0" w:space="0" w:color="auto"/>
                    <w:bottom w:val="none" w:sz="0" w:space="0" w:color="auto"/>
                    <w:right w:val="none" w:sz="0" w:space="0" w:color="auto"/>
                  </w:divBdr>
                  <w:divsChild>
                    <w:div w:id="33410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0131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research.ou.nl/en/publications/on-the-role-of-self-assessment-and-task-selection-in-self-regula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4" ma:contentTypeDescription="Create a new document." ma:contentTypeScope="" ma:versionID="97fe7d20f9b8d3b51fe292ded011c3cc">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8656bc8c07487703583c10ad9be3cdc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6CE998-D0E1-4FEB-AE45-202F2E7C043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9821441-428A-43F9-87CD-B30B921CB64F}">
  <ds:schemaRefs>
    <ds:schemaRef ds:uri="http://schemas.microsoft.com/sharepoint/v3/contenttype/forms"/>
  </ds:schemaRefs>
</ds:datastoreItem>
</file>

<file path=customXml/itemProps3.xml><?xml version="1.0" encoding="utf-8"?>
<ds:datastoreItem xmlns:ds="http://schemas.openxmlformats.org/officeDocument/2006/customXml" ds:itemID="{92430453-32E7-4264-A2FA-7DF6F06FAD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5976</Words>
  <Characters>34066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Caitlin Williams</dc:creator>
  <cp:keywords/>
  <dc:description/>
  <cp:lastModifiedBy>Laura Caitlin Williams (2100406)</cp:lastModifiedBy>
  <cp:revision>2</cp:revision>
  <dcterms:created xsi:type="dcterms:W3CDTF">2022-01-04T22:21:00Z</dcterms:created>
  <dcterms:modified xsi:type="dcterms:W3CDTF">2022-01-04T22:21:00Z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