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85BD6" w14:textId="2433F6A3" w:rsidR="0016423B" w:rsidRDefault="009A2861">
      <w:pPr>
        <w:spacing w:line="480" w:lineRule="auto"/>
        <w:jc w:val="center"/>
        <w:rPr>
          <w:rFonts w:ascii="Times New Roman" w:eastAsia="Times New Roman" w:hAnsi="Times New Roman" w:cs="Times New Roman"/>
          <w:b/>
          <w:color w:val="1F1F1F"/>
          <w:sz w:val="32"/>
          <w:szCs w:val="32"/>
          <w:highlight w:val="white"/>
        </w:rPr>
      </w:pPr>
      <w:r>
        <w:rPr>
          <w:rFonts w:ascii="Times New Roman" w:eastAsia="Times New Roman" w:hAnsi="Times New Roman" w:cs="Times New Roman"/>
          <w:b/>
          <w:color w:val="1F1F1F"/>
          <w:sz w:val="32"/>
          <w:szCs w:val="32"/>
        </w:rPr>
        <w:t xml:space="preserve">LAW AND LEGAL PRACTICE </w:t>
      </w:r>
    </w:p>
    <w:p w14:paraId="50382A29" w14:textId="77777777" w:rsidR="0016423B" w:rsidRDefault="0016423B">
      <w:pPr>
        <w:spacing w:line="480" w:lineRule="auto"/>
        <w:jc w:val="both"/>
        <w:rPr>
          <w:rFonts w:ascii="Times New Roman" w:eastAsia="Times New Roman" w:hAnsi="Times New Roman" w:cs="Times New Roman"/>
          <w:color w:val="1F1F1F"/>
          <w:sz w:val="24"/>
          <w:szCs w:val="24"/>
          <w:highlight w:val="white"/>
        </w:rPr>
      </w:pPr>
    </w:p>
    <w:p w14:paraId="15B645D5" w14:textId="77777777" w:rsidR="0016423B" w:rsidRDefault="00000000">
      <w:pPr>
        <w:spacing w:line="480" w:lineRule="auto"/>
        <w:jc w:val="both"/>
        <w:rPr>
          <w:rFonts w:ascii="Times New Roman" w:eastAsia="Times New Roman" w:hAnsi="Times New Roman" w:cs="Times New Roman"/>
          <w:b/>
          <w:color w:val="1F1F1F"/>
          <w:sz w:val="24"/>
          <w:szCs w:val="24"/>
          <w:highlight w:val="white"/>
        </w:rPr>
      </w:pPr>
      <w:r>
        <w:br w:type="page"/>
      </w:r>
    </w:p>
    <w:p w14:paraId="32B04D0D" w14:textId="78899B76" w:rsidR="0016423B" w:rsidRDefault="0016423B">
      <w:pPr>
        <w:spacing w:line="480" w:lineRule="auto"/>
        <w:jc w:val="both"/>
        <w:rPr>
          <w:rFonts w:ascii="Times New Roman" w:eastAsia="Times New Roman" w:hAnsi="Times New Roman" w:cs="Times New Roman"/>
          <w:color w:val="1F1F1F"/>
          <w:sz w:val="24"/>
          <w:szCs w:val="24"/>
          <w:highlight w:val="white"/>
        </w:rPr>
      </w:pPr>
    </w:p>
    <w:p w14:paraId="3088AD10" w14:textId="77777777" w:rsidR="0016423B" w:rsidRDefault="00000000">
      <w:pPr>
        <w:spacing w:line="480" w:lineRule="auto"/>
        <w:jc w:val="center"/>
        <w:rPr>
          <w:rFonts w:ascii="Times New Roman" w:eastAsia="Times New Roman" w:hAnsi="Times New Roman" w:cs="Times New Roman"/>
          <w:b/>
          <w:color w:val="1F1F1F"/>
          <w:sz w:val="28"/>
          <w:szCs w:val="28"/>
          <w:highlight w:val="white"/>
        </w:rPr>
      </w:pPr>
      <w:r>
        <w:rPr>
          <w:rFonts w:ascii="Times New Roman" w:eastAsia="Times New Roman" w:hAnsi="Times New Roman" w:cs="Times New Roman"/>
          <w:b/>
          <w:color w:val="1F1F1F"/>
          <w:sz w:val="28"/>
          <w:szCs w:val="28"/>
          <w:highlight w:val="white"/>
        </w:rPr>
        <w:t>Table of Contents</w:t>
      </w:r>
    </w:p>
    <w:sdt>
      <w:sdtPr>
        <w:id w:val="-767848601"/>
        <w:docPartObj>
          <w:docPartGallery w:val="Table of Contents"/>
          <w:docPartUnique/>
        </w:docPartObj>
      </w:sdtPr>
      <w:sdtContent>
        <w:p w14:paraId="0A308EA3" w14:textId="6B918022" w:rsidR="00FB0224" w:rsidRPr="00FB0224" w:rsidRDefault="00000000" w:rsidP="00FB0224">
          <w:pPr>
            <w:pStyle w:val="TOC1"/>
            <w:rPr>
              <w:rFonts w:ascii="Times New Roman" w:eastAsiaTheme="minorEastAsia" w:hAnsi="Times New Roman" w:cs="Times New Roman"/>
              <w:noProof/>
              <w:sz w:val="24"/>
              <w:szCs w:val="24"/>
              <w:lang w:val="en-IN"/>
            </w:rPr>
          </w:pPr>
          <w:r w:rsidRPr="00FB0224">
            <w:rPr>
              <w:rFonts w:ascii="Times New Roman" w:hAnsi="Times New Roman" w:cs="Times New Roman"/>
              <w:sz w:val="24"/>
              <w:szCs w:val="24"/>
            </w:rPr>
            <w:fldChar w:fldCharType="begin"/>
          </w:r>
          <w:r w:rsidRPr="00FB0224">
            <w:rPr>
              <w:rFonts w:ascii="Times New Roman" w:hAnsi="Times New Roman" w:cs="Times New Roman"/>
              <w:sz w:val="24"/>
              <w:szCs w:val="24"/>
            </w:rPr>
            <w:instrText xml:space="preserve"> TOC \h \u \z </w:instrText>
          </w:r>
          <w:r w:rsidRPr="00FB0224">
            <w:rPr>
              <w:rFonts w:ascii="Times New Roman" w:hAnsi="Times New Roman" w:cs="Times New Roman"/>
              <w:sz w:val="24"/>
              <w:szCs w:val="24"/>
            </w:rPr>
            <w:fldChar w:fldCharType="separate"/>
          </w:r>
          <w:hyperlink w:anchor="_Toc129307067" w:history="1">
            <w:r w:rsidR="00FB0224" w:rsidRPr="00FB0224">
              <w:rPr>
                <w:rStyle w:val="Hyperlink"/>
                <w:rFonts w:ascii="Times New Roman" w:hAnsi="Times New Roman" w:cs="Times New Roman"/>
                <w:noProof/>
                <w:sz w:val="24"/>
                <w:szCs w:val="24"/>
                <w:highlight w:val="white"/>
              </w:rPr>
              <w:t>Introduction</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_Toc129307067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3</w:t>
            </w:r>
            <w:r w:rsidR="00FB0224" w:rsidRPr="00FB0224">
              <w:rPr>
                <w:rFonts w:ascii="Times New Roman" w:hAnsi="Times New Roman" w:cs="Times New Roman"/>
                <w:noProof/>
                <w:webHidden/>
                <w:sz w:val="24"/>
                <w:szCs w:val="24"/>
              </w:rPr>
              <w:fldChar w:fldCharType="end"/>
            </w:r>
          </w:hyperlink>
        </w:p>
        <w:p w14:paraId="03DCAFCD" w14:textId="2C35AB9F"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68" w:history="1">
            <w:r w:rsidR="00FB0224" w:rsidRPr="00FB0224">
              <w:rPr>
                <w:rStyle w:val="Hyperlink"/>
                <w:rFonts w:ascii="Times New Roman" w:hAnsi="Times New Roman" w:cs="Times New Roman"/>
                <w:noProof/>
                <w:sz w:val="24"/>
                <w:szCs w:val="24"/>
                <w:highlight w:val="white"/>
              </w:rPr>
              <w:t>The Human Rights Act of 1998</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_Toc129307068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3</w:t>
            </w:r>
            <w:r w:rsidR="00FB0224" w:rsidRPr="00FB0224">
              <w:rPr>
                <w:rFonts w:ascii="Times New Roman" w:hAnsi="Times New Roman" w:cs="Times New Roman"/>
                <w:noProof/>
                <w:webHidden/>
                <w:sz w:val="24"/>
                <w:szCs w:val="24"/>
              </w:rPr>
              <w:fldChar w:fldCharType="end"/>
            </w:r>
          </w:hyperlink>
        </w:p>
        <w:p w14:paraId="445101DF" w14:textId="040378D7"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69" w:history="1">
            <w:r w:rsidR="00FB0224" w:rsidRPr="00FB0224">
              <w:rPr>
                <w:rStyle w:val="Hyperlink"/>
                <w:rFonts w:ascii="Times New Roman" w:hAnsi="Times New Roman" w:cs="Times New Roman"/>
                <w:noProof/>
                <w:sz w:val="24"/>
                <w:szCs w:val="24"/>
                <w:highlight w:val="white"/>
              </w:rPr>
              <w:t>Aims and objectives</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_Toc129307069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4</w:t>
            </w:r>
            <w:r w:rsidR="00FB0224" w:rsidRPr="00FB0224">
              <w:rPr>
                <w:rFonts w:ascii="Times New Roman" w:hAnsi="Times New Roman" w:cs="Times New Roman"/>
                <w:noProof/>
                <w:webHidden/>
                <w:sz w:val="24"/>
                <w:szCs w:val="24"/>
              </w:rPr>
              <w:fldChar w:fldCharType="end"/>
            </w:r>
          </w:hyperlink>
        </w:p>
        <w:p w14:paraId="72C19CE7" w14:textId="4513CA1F"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0" w:history="1">
            <w:r w:rsidR="00FB0224" w:rsidRPr="00FB0224">
              <w:rPr>
                <w:rStyle w:val="Hyperlink"/>
                <w:rFonts w:ascii="Times New Roman" w:hAnsi="Times New Roman" w:cs="Times New Roman"/>
                <w:noProof/>
                <w:sz w:val="24"/>
                <w:szCs w:val="24"/>
                <w:highlight w:val="white"/>
              </w:rPr>
              <w:t>Why it has been created?</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_Toc129307070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5</w:t>
            </w:r>
            <w:r w:rsidR="00FB0224" w:rsidRPr="00FB0224">
              <w:rPr>
                <w:rFonts w:ascii="Times New Roman" w:hAnsi="Times New Roman" w:cs="Times New Roman"/>
                <w:noProof/>
                <w:webHidden/>
                <w:sz w:val="24"/>
                <w:szCs w:val="24"/>
              </w:rPr>
              <w:fldChar w:fldCharType="end"/>
            </w:r>
          </w:hyperlink>
        </w:p>
        <w:p w14:paraId="08AD4268" w14:textId="4A5A8C92"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1" w:history="1">
            <w:r w:rsidR="00FB0224" w:rsidRPr="00FB0224">
              <w:rPr>
                <w:rStyle w:val="Hyperlink"/>
                <w:rFonts w:ascii="Times New Roman" w:hAnsi="Times New Roman" w:cs="Times New Roman"/>
                <w:noProof/>
                <w:sz w:val="24"/>
                <w:szCs w:val="24"/>
              </w:rPr>
              <w:t>Changes that the bill will make</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_Toc129307071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5</w:t>
            </w:r>
            <w:r w:rsidR="00FB0224" w:rsidRPr="00FB0224">
              <w:rPr>
                <w:rFonts w:ascii="Times New Roman" w:hAnsi="Times New Roman" w:cs="Times New Roman"/>
                <w:noProof/>
                <w:webHidden/>
                <w:sz w:val="24"/>
                <w:szCs w:val="24"/>
              </w:rPr>
              <w:fldChar w:fldCharType="end"/>
            </w:r>
          </w:hyperlink>
        </w:p>
        <w:p w14:paraId="79D94640" w14:textId="263554E5"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2" w:history="1">
            <w:r w:rsidR="00FB0224" w:rsidRPr="00FB0224">
              <w:rPr>
                <w:rStyle w:val="Hyperlink"/>
                <w:rFonts w:ascii="Times New Roman" w:hAnsi="Times New Roman" w:cs="Times New Roman"/>
                <w:noProof/>
                <w:sz w:val="24"/>
                <w:szCs w:val="24"/>
                <w:highlight w:val="white"/>
              </w:rPr>
              <w:t>Things that will remain same</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_Toc129307072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6</w:t>
            </w:r>
            <w:r w:rsidR="00FB0224" w:rsidRPr="00FB0224">
              <w:rPr>
                <w:rFonts w:ascii="Times New Roman" w:hAnsi="Times New Roman" w:cs="Times New Roman"/>
                <w:noProof/>
                <w:webHidden/>
                <w:sz w:val="24"/>
                <w:szCs w:val="24"/>
              </w:rPr>
              <w:fldChar w:fldCharType="end"/>
            </w:r>
          </w:hyperlink>
        </w:p>
        <w:p w14:paraId="1F69077A" w14:textId="7243CAE6"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3" w:history="1">
            <w:r w:rsidR="00FB0224" w:rsidRPr="00FB0224">
              <w:rPr>
                <w:rStyle w:val="Hyperlink"/>
                <w:rFonts w:ascii="Times New Roman" w:hAnsi="Times New Roman" w:cs="Times New Roman"/>
                <w:noProof/>
                <w:sz w:val="24"/>
                <w:szCs w:val="24"/>
                <w:highlight w:val="white"/>
              </w:rPr>
              <w:t>Recommendations</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_Toc129307073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7</w:t>
            </w:r>
            <w:r w:rsidR="00FB0224" w:rsidRPr="00FB0224">
              <w:rPr>
                <w:rFonts w:ascii="Times New Roman" w:hAnsi="Times New Roman" w:cs="Times New Roman"/>
                <w:noProof/>
                <w:webHidden/>
                <w:sz w:val="24"/>
                <w:szCs w:val="24"/>
              </w:rPr>
              <w:fldChar w:fldCharType="end"/>
            </w:r>
          </w:hyperlink>
        </w:p>
        <w:p w14:paraId="1B50A179" w14:textId="0690F6E6"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4" w:history="1">
            <w:r w:rsidR="00FB0224" w:rsidRPr="00FB0224">
              <w:rPr>
                <w:rStyle w:val="Hyperlink"/>
                <w:rFonts w:ascii="Times New Roman" w:hAnsi="Times New Roman" w:cs="Times New Roman"/>
                <w:noProof/>
                <w:sz w:val="24"/>
                <w:szCs w:val="24"/>
                <w:highlight w:val="white"/>
              </w:rPr>
              <w:t>Conclusion</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_Toc129307074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8</w:t>
            </w:r>
            <w:r w:rsidR="00FB0224" w:rsidRPr="00FB0224">
              <w:rPr>
                <w:rFonts w:ascii="Times New Roman" w:hAnsi="Times New Roman" w:cs="Times New Roman"/>
                <w:noProof/>
                <w:webHidden/>
                <w:sz w:val="24"/>
                <w:szCs w:val="24"/>
              </w:rPr>
              <w:fldChar w:fldCharType="end"/>
            </w:r>
          </w:hyperlink>
        </w:p>
        <w:p w14:paraId="7F4F63BD" w14:textId="6E3A9C69" w:rsidR="00FB0224" w:rsidRPr="00FB0224" w:rsidRDefault="00000000" w:rsidP="00FB0224">
          <w:pPr>
            <w:pStyle w:val="TOC1"/>
            <w:rPr>
              <w:rFonts w:ascii="Times New Roman" w:eastAsiaTheme="minorEastAsia" w:hAnsi="Times New Roman" w:cs="Times New Roman"/>
              <w:noProof/>
              <w:sz w:val="24"/>
              <w:szCs w:val="24"/>
              <w:lang w:val="en-IN"/>
            </w:rPr>
          </w:pPr>
          <w:hyperlink w:anchor="_Toc129307075" w:history="1">
            <w:r w:rsidR="00FB0224" w:rsidRPr="00FB0224">
              <w:rPr>
                <w:rStyle w:val="Hyperlink"/>
                <w:rFonts w:ascii="Times New Roman" w:hAnsi="Times New Roman" w:cs="Times New Roman"/>
                <w:noProof/>
                <w:sz w:val="24"/>
                <w:szCs w:val="24"/>
                <w:highlight w:val="white"/>
              </w:rPr>
              <w:t>References</w:t>
            </w:r>
            <w:r w:rsidR="00FB0224" w:rsidRPr="00FB0224">
              <w:rPr>
                <w:rFonts w:ascii="Times New Roman" w:hAnsi="Times New Roman" w:cs="Times New Roman"/>
                <w:noProof/>
                <w:webHidden/>
                <w:sz w:val="24"/>
                <w:szCs w:val="24"/>
              </w:rPr>
              <w:tab/>
            </w:r>
            <w:r w:rsidR="00FB0224" w:rsidRPr="00FB0224">
              <w:rPr>
                <w:rFonts w:ascii="Times New Roman" w:hAnsi="Times New Roman" w:cs="Times New Roman"/>
                <w:noProof/>
                <w:webHidden/>
                <w:sz w:val="24"/>
                <w:szCs w:val="24"/>
              </w:rPr>
              <w:fldChar w:fldCharType="begin"/>
            </w:r>
            <w:r w:rsidR="00FB0224" w:rsidRPr="00FB0224">
              <w:rPr>
                <w:rFonts w:ascii="Times New Roman" w:hAnsi="Times New Roman" w:cs="Times New Roman"/>
                <w:noProof/>
                <w:webHidden/>
                <w:sz w:val="24"/>
                <w:szCs w:val="24"/>
              </w:rPr>
              <w:instrText xml:space="preserve"> PAGEREF _Toc129307075 \h </w:instrText>
            </w:r>
            <w:r w:rsidR="00FB0224" w:rsidRPr="00FB0224">
              <w:rPr>
                <w:rFonts w:ascii="Times New Roman" w:hAnsi="Times New Roman" w:cs="Times New Roman"/>
                <w:noProof/>
                <w:webHidden/>
                <w:sz w:val="24"/>
                <w:szCs w:val="24"/>
              </w:rPr>
            </w:r>
            <w:r w:rsidR="00FB0224" w:rsidRPr="00FB0224">
              <w:rPr>
                <w:rFonts w:ascii="Times New Roman" w:hAnsi="Times New Roman" w:cs="Times New Roman"/>
                <w:noProof/>
                <w:webHidden/>
                <w:sz w:val="24"/>
                <w:szCs w:val="24"/>
              </w:rPr>
              <w:fldChar w:fldCharType="separate"/>
            </w:r>
            <w:r w:rsidR="00FB0224" w:rsidRPr="00FB0224">
              <w:rPr>
                <w:rFonts w:ascii="Times New Roman" w:hAnsi="Times New Roman" w:cs="Times New Roman"/>
                <w:noProof/>
                <w:webHidden/>
                <w:sz w:val="24"/>
                <w:szCs w:val="24"/>
              </w:rPr>
              <w:t>9</w:t>
            </w:r>
            <w:r w:rsidR="00FB0224" w:rsidRPr="00FB0224">
              <w:rPr>
                <w:rFonts w:ascii="Times New Roman" w:hAnsi="Times New Roman" w:cs="Times New Roman"/>
                <w:noProof/>
                <w:webHidden/>
                <w:sz w:val="24"/>
                <w:szCs w:val="24"/>
              </w:rPr>
              <w:fldChar w:fldCharType="end"/>
            </w:r>
          </w:hyperlink>
        </w:p>
        <w:p w14:paraId="76264AC7" w14:textId="23B24020" w:rsidR="0016423B" w:rsidRDefault="00000000" w:rsidP="00FB0224">
          <w:pPr>
            <w:spacing w:line="480" w:lineRule="auto"/>
            <w:jc w:val="both"/>
          </w:pPr>
          <w:r w:rsidRPr="00FB0224">
            <w:rPr>
              <w:rFonts w:ascii="Times New Roman" w:hAnsi="Times New Roman" w:cs="Times New Roman"/>
              <w:sz w:val="24"/>
              <w:szCs w:val="24"/>
            </w:rPr>
            <w:fldChar w:fldCharType="end"/>
          </w:r>
        </w:p>
      </w:sdtContent>
    </w:sdt>
    <w:p w14:paraId="360F982C" w14:textId="77777777" w:rsidR="0016423B" w:rsidRDefault="0016423B">
      <w:pPr>
        <w:spacing w:line="480" w:lineRule="auto"/>
        <w:jc w:val="both"/>
        <w:rPr>
          <w:rFonts w:ascii="Times New Roman" w:eastAsia="Times New Roman" w:hAnsi="Times New Roman" w:cs="Times New Roman"/>
          <w:b/>
          <w:color w:val="1F1F1F"/>
          <w:sz w:val="24"/>
          <w:szCs w:val="24"/>
          <w:highlight w:val="white"/>
        </w:rPr>
      </w:pPr>
    </w:p>
    <w:p w14:paraId="4BAE55BB" w14:textId="7363ED44" w:rsidR="0075328D" w:rsidRDefault="0075328D">
      <w:pPr>
        <w:spacing w:line="480" w:lineRule="auto"/>
        <w:jc w:val="both"/>
      </w:pPr>
    </w:p>
    <w:p w14:paraId="5B924928" w14:textId="160D5C53" w:rsidR="00721640" w:rsidRDefault="00721640">
      <w:pPr>
        <w:spacing w:line="480" w:lineRule="auto"/>
        <w:jc w:val="both"/>
      </w:pPr>
    </w:p>
    <w:p w14:paraId="199B98FF" w14:textId="18D85446"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3E25C684" w14:textId="4A3D7B90"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33BA1356" w14:textId="0484A3C9"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6F8C0BD1" w14:textId="6AAE3ACC"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39129746" w14:textId="1942393D"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1C9AA6B7" w14:textId="73FA6DE1"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695641CE" w14:textId="2D27596C"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599E590D" w14:textId="2ACB393E" w:rsidR="00721640" w:rsidRDefault="00721640">
      <w:pPr>
        <w:spacing w:line="480" w:lineRule="auto"/>
        <w:jc w:val="both"/>
        <w:rPr>
          <w:rFonts w:ascii="Times New Roman" w:eastAsia="Times New Roman" w:hAnsi="Times New Roman" w:cs="Times New Roman"/>
          <w:b/>
          <w:color w:val="1F1F1F"/>
          <w:sz w:val="24"/>
          <w:szCs w:val="24"/>
          <w:highlight w:val="white"/>
        </w:rPr>
      </w:pPr>
    </w:p>
    <w:p w14:paraId="515FBA1E" w14:textId="77777777" w:rsidR="00721640" w:rsidRPr="00721640" w:rsidRDefault="00721640">
      <w:pPr>
        <w:spacing w:line="480" w:lineRule="auto"/>
        <w:jc w:val="both"/>
        <w:rPr>
          <w:rFonts w:ascii="Times New Roman" w:eastAsia="Times New Roman" w:hAnsi="Times New Roman" w:cs="Times New Roman"/>
          <w:b/>
          <w:color w:val="1F1F1F"/>
          <w:sz w:val="24"/>
          <w:szCs w:val="24"/>
          <w:highlight w:val="white"/>
        </w:rPr>
      </w:pPr>
    </w:p>
    <w:p w14:paraId="179F4802" w14:textId="17F9BE63" w:rsidR="0075328D" w:rsidRDefault="0075328D" w:rsidP="00721640">
      <w:pPr>
        <w:pStyle w:val="Heading1"/>
        <w:rPr>
          <w:highlight w:val="white"/>
        </w:rPr>
      </w:pPr>
      <w:bookmarkStart w:id="0" w:name="_Toc129307067"/>
      <w:r>
        <w:rPr>
          <w:highlight w:val="white"/>
        </w:rPr>
        <w:lastRenderedPageBreak/>
        <w:t>Introduction</w:t>
      </w:r>
      <w:bookmarkEnd w:id="0"/>
    </w:p>
    <w:p w14:paraId="5534C9E3" w14:textId="2CE2AFD8"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On 22 June 2022, Great Britain repealed and replaced the Human rights Bill of 1998 with the Bill of Rights Bill. This enforcement makes the rights contained in the act domestically enforceable in the European Convention on Human Rights. The UK Bill of rights aims to start a small withdrawal from EHCR and has started to lay the groundwork for a full future withdrawal</w:t>
      </w:r>
      <w:r w:rsidR="00BE077F">
        <w:rPr>
          <w:rFonts w:ascii="Times New Roman" w:eastAsia="Times New Roman" w:hAnsi="Times New Roman" w:cs="Times New Roman"/>
          <w:color w:val="1F1F1F"/>
          <w:sz w:val="24"/>
          <w:szCs w:val="24"/>
          <w:highlight w:val="white"/>
        </w:rPr>
        <w:t xml:space="preserve"> (</w:t>
      </w:r>
      <w:r w:rsidR="00BE077F" w:rsidRPr="00AC7E24">
        <w:rPr>
          <w:rFonts w:ascii="Times New Roman" w:eastAsia="Times New Roman" w:hAnsi="Times New Roman" w:cs="Times New Roman"/>
          <w:color w:val="1F1F1F"/>
          <w:sz w:val="24"/>
          <w:szCs w:val="24"/>
          <w:highlight w:val="white"/>
        </w:rPr>
        <w:t>Drake</w:t>
      </w:r>
      <w:r w:rsidR="00BE077F">
        <w:rPr>
          <w:rFonts w:ascii="Times New Roman" w:eastAsia="Times New Roman" w:hAnsi="Times New Roman" w:cs="Times New Roman"/>
          <w:color w:val="1F1F1F"/>
          <w:sz w:val="24"/>
          <w:szCs w:val="24"/>
          <w:highlight w:val="white"/>
        </w:rPr>
        <w:t xml:space="preserve"> et al. 2022)</w:t>
      </w:r>
      <w:r>
        <w:rPr>
          <w:rFonts w:ascii="Times New Roman" w:eastAsia="Times New Roman" w:hAnsi="Times New Roman" w:cs="Times New Roman"/>
          <w:color w:val="1F1F1F"/>
          <w:sz w:val="24"/>
          <w:szCs w:val="24"/>
          <w:highlight w:val="white"/>
        </w:rPr>
        <w:t xml:space="preserve">. The opinion on the new bill of rights has been divided into two extremes where are wanting to bring it back and </w:t>
      </w:r>
      <w:r w:rsidR="005D107F">
        <w:rPr>
          <w:rFonts w:ascii="Times New Roman" w:eastAsia="Times New Roman" w:hAnsi="Times New Roman" w:cs="Times New Roman"/>
          <w:color w:val="1F1F1F"/>
          <w:sz w:val="24"/>
          <w:szCs w:val="24"/>
          <w:highlight w:val="white"/>
        </w:rPr>
        <w:t>re-establish</w:t>
      </w:r>
      <w:r>
        <w:rPr>
          <w:rFonts w:ascii="Times New Roman" w:eastAsia="Times New Roman" w:hAnsi="Times New Roman" w:cs="Times New Roman"/>
          <w:color w:val="1F1F1F"/>
          <w:sz w:val="24"/>
          <w:szCs w:val="24"/>
          <w:highlight w:val="white"/>
        </w:rPr>
        <w:t xml:space="preserve"> the Human Rights Act. There are many things that are changing in the Bill of Rights reform while many parts are kept similar to the Human Rights Act of 1998. This study will discuss the objectives of creating the bill and other reform suggestions that might be present.</w:t>
      </w:r>
    </w:p>
    <w:p w14:paraId="475428B6" w14:textId="6EDAF7F2" w:rsidR="0075328D" w:rsidRDefault="0075328D" w:rsidP="00721640">
      <w:pPr>
        <w:pStyle w:val="Heading1"/>
        <w:rPr>
          <w:highlight w:val="white"/>
        </w:rPr>
      </w:pPr>
      <w:bookmarkStart w:id="1" w:name="_Toc129307068"/>
      <w:r>
        <w:rPr>
          <w:highlight w:val="white"/>
        </w:rPr>
        <w:t>The Human Rights Act of 1998</w:t>
      </w:r>
      <w:bookmarkEnd w:id="1"/>
    </w:p>
    <w:p w14:paraId="1ED1B16F" w14:textId="60CC82BA"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human rights act of </w:t>
      </w:r>
      <w:r w:rsidR="007A2CC1">
        <w:rPr>
          <w:rFonts w:ascii="Times New Roman" w:eastAsia="Times New Roman" w:hAnsi="Times New Roman" w:cs="Times New Roman"/>
          <w:color w:val="1F1F1F"/>
          <w:sz w:val="24"/>
          <w:szCs w:val="24"/>
          <w:highlight w:val="white"/>
        </w:rPr>
        <w:t>1998 is</w:t>
      </w:r>
      <w:r>
        <w:rPr>
          <w:rFonts w:ascii="Times New Roman" w:eastAsia="Times New Roman" w:hAnsi="Times New Roman" w:cs="Times New Roman"/>
          <w:color w:val="1F1F1F"/>
          <w:sz w:val="24"/>
          <w:szCs w:val="24"/>
          <w:highlight w:val="white"/>
        </w:rPr>
        <w:t xml:space="preserve"> legislation that </w:t>
      </w:r>
      <w:r w:rsidR="007A2CC1">
        <w:rPr>
          <w:rFonts w:ascii="Times New Roman" w:eastAsia="Times New Roman" w:hAnsi="Times New Roman" w:cs="Times New Roman"/>
          <w:color w:val="1F1F1F"/>
          <w:sz w:val="24"/>
          <w:szCs w:val="24"/>
          <w:highlight w:val="white"/>
        </w:rPr>
        <w:t>talks</w:t>
      </w:r>
      <w:r>
        <w:rPr>
          <w:rFonts w:ascii="Times New Roman" w:eastAsia="Times New Roman" w:hAnsi="Times New Roman" w:cs="Times New Roman"/>
          <w:color w:val="1F1F1F"/>
          <w:sz w:val="24"/>
          <w:szCs w:val="24"/>
          <w:highlight w:val="white"/>
        </w:rPr>
        <w:t xml:space="preserve"> about all the human rights a British person is entitled to. This act gives powers to its people to pursue cases that are relating to their human rights in U.K. courts</w:t>
      </w:r>
      <w:r w:rsidR="00296294">
        <w:rPr>
          <w:rFonts w:ascii="Times New Roman" w:eastAsia="Times New Roman" w:hAnsi="Times New Roman" w:cs="Times New Roman"/>
          <w:color w:val="1F1F1F"/>
          <w:sz w:val="24"/>
          <w:szCs w:val="24"/>
          <w:highlight w:val="white"/>
        </w:rPr>
        <w:t xml:space="preserve"> (</w:t>
      </w:r>
      <w:r w:rsidR="00296294" w:rsidRPr="00AC7E24">
        <w:rPr>
          <w:rFonts w:ascii="Times New Roman" w:eastAsia="Times New Roman" w:hAnsi="Times New Roman" w:cs="Times New Roman"/>
          <w:color w:val="1F1F1F"/>
          <w:sz w:val="24"/>
          <w:szCs w:val="24"/>
          <w:highlight w:val="white"/>
        </w:rPr>
        <w:t>Aikens,</w:t>
      </w:r>
      <w:r w:rsidR="00296294">
        <w:rPr>
          <w:rFonts w:ascii="Times New Roman" w:eastAsia="Times New Roman" w:hAnsi="Times New Roman" w:cs="Times New Roman"/>
          <w:color w:val="1F1F1F"/>
          <w:sz w:val="24"/>
          <w:szCs w:val="24"/>
          <w:highlight w:val="white"/>
        </w:rPr>
        <w:t xml:space="preserve"> </w:t>
      </w:r>
      <w:r w:rsidR="00296294" w:rsidRPr="00AC7E24">
        <w:rPr>
          <w:rFonts w:ascii="Times New Roman" w:eastAsia="Times New Roman" w:hAnsi="Times New Roman" w:cs="Times New Roman"/>
          <w:color w:val="1F1F1F"/>
          <w:sz w:val="24"/>
          <w:szCs w:val="24"/>
          <w:highlight w:val="white"/>
        </w:rPr>
        <w:t>2020)</w:t>
      </w:r>
      <w:r>
        <w:rPr>
          <w:rFonts w:ascii="Times New Roman" w:eastAsia="Times New Roman" w:hAnsi="Times New Roman" w:cs="Times New Roman"/>
          <w:color w:val="1F1F1F"/>
          <w:sz w:val="24"/>
          <w:szCs w:val="24"/>
          <w:highlight w:val="white"/>
        </w:rPr>
        <w:t>. This act allowed a smooth process of people being able to take up the case of their human rights more profoundly than before because before the year 2000, if a U.K. citizen had to take up their case, they had to take their complaints to the European courts of Human Rights in Strasbourg, France. The convention rights, listed as per Schedule 1 of the act are as follows:</w:t>
      </w:r>
    </w:p>
    <w:p w14:paraId="6157DD6B" w14:textId="4D2DB250"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life</w:t>
      </w:r>
    </w:p>
    <w:p w14:paraId="6FA7DC25" w14:textId="74F8126B"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 xml:space="preserve">Freedom right from torture or degrading </w:t>
      </w:r>
      <w:r w:rsidR="007A2CC1">
        <w:rPr>
          <w:rFonts w:ascii="Times New Roman" w:eastAsia="Times New Roman" w:hAnsi="Times New Roman" w:cs="Times New Roman"/>
          <w:color w:val="1F1F1F"/>
          <w:sz w:val="24"/>
          <w:szCs w:val="24"/>
          <w:highlight w:val="white"/>
        </w:rPr>
        <w:t>behaviour</w:t>
      </w:r>
      <w:r>
        <w:rPr>
          <w:rFonts w:ascii="Times New Roman" w:eastAsia="Times New Roman" w:hAnsi="Times New Roman" w:cs="Times New Roman"/>
          <w:color w:val="1F1F1F"/>
          <w:sz w:val="24"/>
          <w:szCs w:val="24"/>
          <w:highlight w:val="white"/>
        </w:rPr>
        <w:t xml:space="preserve"> </w:t>
      </w:r>
    </w:p>
    <w:p w14:paraId="6CECE6ED" w14:textId="456F3929"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seek freedom from acts of slavery</w:t>
      </w:r>
    </w:p>
    <w:p w14:paraId="322AE7A9" w14:textId="7F961E84"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seek a trial that’s fair</w:t>
      </w:r>
    </w:p>
    <w:p w14:paraId="077E59C8" w14:textId="28601D29"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seek a private family life with no intrusion</w:t>
      </w:r>
    </w:p>
    <w:p w14:paraId="5EB8B5E5" w14:textId="0A4B7335"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get proper education</w:t>
      </w:r>
    </w:p>
    <w:p w14:paraId="4530C9F2" w14:textId="0B8F6C68"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lastRenderedPageBreak/>
        <w:t>●</w:t>
      </w:r>
      <w:r>
        <w:rPr>
          <w:rFonts w:ascii="Times New Roman" w:eastAsia="Times New Roman" w:hAnsi="Times New Roman" w:cs="Times New Roman"/>
          <w:color w:val="1F1F1F"/>
          <w:sz w:val="24"/>
          <w:szCs w:val="24"/>
          <w:highlight w:val="white"/>
        </w:rPr>
        <w:tab/>
        <w:t>Right to choose a spouse freely</w:t>
      </w:r>
    </w:p>
    <w:p w14:paraId="161BCB1D" w14:textId="183E9572"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enjoy free elections</w:t>
      </w:r>
    </w:p>
    <w:p w14:paraId="505E653D" w14:textId="33F7EAB7"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freedom in expressing oneself and thought</w:t>
      </w:r>
    </w:p>
    <w:p w14:paraId="5F157A83" w14:textId="48F44014"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enjoy the rights without facing any discrimination</w:t>
      </w:r>
    </w:p>
    <w:p w14:paraId="50ECC8B4" w14:textId="5D4B11AF"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protect property</w:t>
      </w:r>
    </w:p>
    <w:p w14:paraId="71C12B80" w14:textId="23F25F49"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practice own religion without any discrimination</w:t>
      </w:r>
    </w:p>
    <w:p w14:paraId="016E948E" w14:textId="243E3EE6"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ab/>
        <w:t>Right to gain security and seek liberty</w:t>
      </w:r>
    </w:p>
    <w:p w14:paraId="65BEB579" w14:textId="02FFCD0F" w:rsidR="0075328D" w:rsidRDefault="0075328D" w:rsidP="00721640">
      <w:pPr>
        <w:pStyle w:val="Heading1"/>
        <w:rPr>
          <w:highlight w:val="white"/>
        </w:rPr>
      </w:pPr>
      <w:bookmarkStart w:id="2" w:name="_Toc129307069"/>
      <w:r>
        <w:rPr>
          <w:highlight w:val="white"/>
        </w:rPr>
        <w:t>Aims and objectives</w:t>
      </w:r>
      <w:bookmarkEnd w:id="2"/>
    </w:p>
    <w:p w14:paraId="4C9D9B25" w14:textId="7EA222D1"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aims and objectives to create the new bill of rights were many. Firstly, there was a lot o cases that showed that infringement of liberty, and democracy were happening in the UK. That’s why the parliament decided to reform its laws and hold them to the Supreme Court so that anyone violating its terms would be held accountable</w:t>
      </w:r>
      <w:r w:rsidR="008524CD">
        <w:rPr>
          <w:rFonts w:ascii="Times New Roman" w:eastAsia="Times New Roman" w:hAnsi="Times New Roman" w:cs="Times New Roman"/>
          <w:color w:val="1F1F1F"/>
          <w:sz w:val="24"/>
          <w:szCs w:val="24"/>
          <w:highlight w:val="white"/>
        </w:rPr>
        <w:t xml:space="preserve"> (</w:t>
      </w:r>
      <w:r w:rsidR="008524CD" w:rsidRPr="00AC7E24">
        <w:rPr>
          <w:rFonts w:ascii="Times New Roman" w:eastAsia="Times New Roman" w:hAnsi="Times New Roman" w:cs="Times New Roman"/>
          <w:color w:val="1F1F1F"/>
          <w:sz w:val="24"/>
          <w:szCs w:val="24"/>
          <w:highlight w:val="white"/>
        </w:rPr>
        <w:t>Kyriakopoulos,</w:t>
      </w:r>
      <w:r w:rsidR="008524CD">
        <w:rPr>
          <w:rFonts w:ascii="Times New Roman" w:eastAsia="Times New Roman" w:hAnsi="Times New Roman" w:cs="Times New Roman"/>
          <w:color w:val="1F1F1F"/>
          <w:sz w:val="24"/>
          <w:szCs w:val="24"/>
          <w:highlight w:val="white"/>
        </w:rPr>
        <w:t xml:space="preserve"> </w:t>
      </w:r>
      <w:r w:rsidR="008524CD" w:rsidRPr="00AC7E24">
        <w:rPr>
          <w:rFonts w:ascii="Times New Roman" w:eastAsia="Times New Roman" w:hAnsi="Times New Roman" w:cs="Times New Roman"/>
          <w:color w:val="1F1F1F"/>
          <w:sz w:val="24"/>
          <w:szCs w:val="24"/>
          <w:highlight w:val="white"/>
        </w:rPr>
        <w:t>2021)</w:t>
      </w:r>
      <w:r>
        <w:rPr>
          <w:rFonts w:ascii="Times New Roman" w:eastAsia="Times New Roman" w:hAnsi="Times New Roman" w:cs="Times New Roman"/>
          <w:color w:val="1F1F1F"/>
          <w:sz w:val="24"/>
          <w:szCs w:val="24"/>
          <w:highlight w:val="white"/>
        </w:rPr>
        <w:t>. The Bill of rights was created in order to develop some changes in the Human rights Act, in other words, implement a course of action that would bolster the effectiveness of the Human Rights Act</w:t>
      </w:r>
    </w:p>
    <w:p w14:paraId="557BCE1C" w14:textId="0B4ED1EC" w:rsidR="0075328D" w:rsidRPr="00721640" w:rsidRDefault="0075328D" w:rsidP="00721640">
      <w:pPr>
        <w:pStyle w:val="ListParagraph"/>
        <w:numPr>
          <w:ilvl w:val="0"/>
          <w:numId w:val="1"/>
        </w:numPr>
        <w:spacing w:line="480" w:lineRule="auto"/>
        <w:jc w:val="both"/>
        <w:rPr>
          <w:rFonts w:ascii="Times New Roman" w:eastAsia="Times New Roman" w:hAnsi="Times New Roman" w:cs="Times New Roman"/>
          <w:color w:val="1F1F1F"/>
          <w:sz w:val="24"/>
          <w:szCs w:val="24"/>
          <w:highlight w:val="white"/>
        </w:rPr>
      </w:pPr>
      <w:r w:rsidRPr="006B39EF">
        <w:rPr>
          <w:rFonts w:ascii="Times New Roman" w:eastAsia="Times New Roman" w:hAnsi="Times New Roman" w:cs="Times New Roman"/>
          <w:color w:val="1F1F1F"/>
          <w:sz w:val="24"/>
          <w:szCs w:val="24"/>
          <w:highlight w:val="white"/>
        </w:rPr>
        <w:t xml:space="preserve">To execute a law around education to develop a program to operate on the Human Rights Programme. </w:t>
      </w:r>
    </w:p>
    <w:p w14:paraId="30F3D7E6" w14:textId="2E6AAC5F" w:rsidR="006B39EF" w:rsidRPr="00721640" w:rsidRDefault="0075328D" w:rsidP="00721640">
      <w:pPr>
        <w:pStyle w:val="ListParagraph"/>
        <w:numPr>
          <w:ilvl w:val="0"/>
          <w:numId w:val="1"/>
        </w:numPr>
        <w:spacing w:line="480" w:lineRule="auto"/>
        <w:jc w:val="both"/>
        <w:rPr>
          <w:rFonts w:ascii="Times New Roman" w:eastAsia="Times New Roman" w:hAnsi="Times New Roman" w:cs="Times New Roman"/>
          <w:color w:val="1F1F1F"/>
          <w:sz w:val="24"/>
          <w:szCs w:val="24"/>
          <w:highlight w:val="white"/>
        </w:rPr>
      </w:pPr>
      <w:r w:rsidRPr="006B39EF">
        <w:rPr>
          <w:rFonts w:ascii="Times New Roman" w:eastAsia="Times New Roman" w:hAnsi="Times New Roman" w:cs="Times New Roman"/>
          <w:color w:val="1F1F1F"/>
          <w:sz w:val="24"/>
          <w:szCs w:val="24"/>
          <w:highlight w:val="white"/>
        </w:rPr>
        <w:t>To make sure that there are common laws that declare the rights of the citizens in the Human Rights Act.</w:t>
      </w:r>
    </w:p>
    <w:p w14:paraId="60E72413" w14:textId="57EBDBC8" w:rsidR="008C26DC" w:rsidRPr="00721640" w:rsidRDefault="0075328D" w:rsidP="00721640">
      <w:pPr>
        <w:pStyle w:val="ListParagraph"/>
        <w:numPr>
          <w:ilvl w:val="0"/>
          <w:numId w:val="1"/>
        </w:numPr>
        <w:spacing w:line="480" w:lineRule="auto"/>
        <w:jc w:val="both"/>
        <w:rPr>
          <w:rFonts w:ascii="Times New Roman" w:eastAsia="Times New Roman" w:hAnsi="Times New Roman" w:cs="Times New Roman"/>
          <w:color w:val="1F1F1F"/>
          <w:sz w:val="24"/>
          <w:szCs w:val="24"/>
          <w:highlight w:val="white"/>
        </w:rPr>
      </w:pPr>
      <w:r w:rsidRPr="006B39EF">
        <w:rPr>
          <w:rFonts w:ascii="Times New Roman" w:eastAsia="Times New Roman" w:hAnsi="Times New Roman" w:cs="Times New Roman"/>
          <w:color w:val="1F1F1F"/>
          <w:sz w:val="24"/>
          <w:szCs w:val="24"/>
          <w:highlight w:val="white"/>
        </w:rPr>
        <w:t>To make sure the transparency increases about the use of section 3 court interpretations.</w:t>
      </w:r>
    </w:p>
    <w:p w14:paraId="609B6F87" w14:textId="6113F40E" w:rsidR="0011146C" w:rsidRPr="00721640" w:rsidRDefault="006B39EF" w:rsidP="00721640">
      <w:pPr>
        <w:pStyle w:val="ListParagraph"/>
        <w:numPr>
          <w:ilvl w:val="0"/>
          <w:numId w:val="1"/>
        </w:numPr>
        <w:spacing w:line="480" w:lineRule="auto"/>
        <w:jc w:val="both"/>
        <w:rPr>
          <w:rFonts w:ascii="Times New Roman" w:eastAsia="Times New Roman" w:hAnsi="Times New Roman" w:cs="Times New Roman"/>
          <w:color w:val="1F1F1F"/>
          <w:sz w:val="24"/>
          <w:szCs w:val="24"/>
          <w:highlight w:val="white"/>
        </w:rPr>
      </w:pPr>
      <w:r w:rsidRPr="008C26DC">
        <w:rPr>
          <w:rFonts w:ascii="Times New Roman" w:eastAsia="Times New Roman" w:hAnsi="Times New Roman" w:cs="Times New Roman"/>
          <w:color w:val="1F1F1F"/>
          <w:sz w:val="24"/>
          <w:szCs w:val="24"/>
          <w:highlight w:val="white"/>
        </w:rPr>
        <w:t>T</w:t>
      </w:r>
      <w:r w:rsidR="0075328D" w:rsidRPr="008C26DC">
        <w:rPr>
          <w:rFonts w:ascii="Times New Roman" w:eastAsia="Times New Roman" w:hAnsi="Times New Roman" w:cs="Times New Roman"/>
          <w:color w:val="1F1F1F"/>
          <w:sz w:val="24"/>
          <w:szCs w:val="24"/>
          <w:highlight w:val="white"/>
        </w:rPr>
        <w:t xml:space="preserve">o enable them to law to suspend quashing orders that have been in place. </w:t>
      </w:r>
    </w:p>
    <w:p w14:paraId="129D7E3A" w14:textId="37887EB0" w:rsidR="0075328D" w:rsidRPr="0011146C" w:rsidRDefault="0011146C" w:rsidP="0011146C">
      <w:pPr>
        <w:pStyle w:val="ListParagraph"/>
        <w:numPr>
          <w:ilvl w:val="0"/>
          <w:numId w:val="1"/>
        </w:num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w:t>
      </w:r>
      <w:r w:rsidR="0075328D" w:rsidRPr="0011146C">
        <w:rPr>
          <w:rFonts w:ascii="Times New Roman" w:eastAsia="Times New Roman" w:hAnsi="Times New Roman" w:cs="Times New Roman"/>
          <w:color w:val="1F1F1F"/>
          <w:sz w:val="24"/>
          <w:szCs w:val="24"/>
          <w:highlight w:val="white"/>
        </w:rPr>
        <w:t xml:space="preserve">o make sure that the Henry VII clause cannot be altered after the act. </w:t>
      </w:r>
    </w:p>
    <w:p w14:paraId="047B6DE3" w14:textId="0A70F4D7" w:rsidR="0075328D" w:rsidRDefault="0075328D" w:rsidP="009610A6">
      <w:pPr>
        <w:pStyle w:val="Heading1"/>
        <w:rPr>
          <w:highlight w:val="white"/>
        </w:rPr>
      </w:pPr>
      <w:bookmarkStart w:id="3" w:name="_Toc129307070"/>
      <w:r>
        <w:rPr>
          <w:highlight w:val="white"/>
        </w:rPr>
        <w:lastRenderedPageBreak/>
        <w:t>Why it has been created?</w:t>
      </w:r>
      <w:bookmarkEnd w:id="3"/>
    </w:p>
    <w:p w14:paraId="3B661F61" w14:textId="407D228B"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bill of rights was created because the communist party committed to introducing a bill that would replace the Human Rights bill of 1998. It repeated the same in its 2010 and 2015 manifestos and in 2017, it said that it would not change the HRA bill but will replace certain reforms that would act as an update for the “Human Rights Act” for the current British environment.</w:t>
      </w:r>
      <w:r w:rsidR="007A2CC1">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The stated purpose for the bill to be created was to update and re-balance the relationship between the U.K. court laws and the European Court of Human Rights and Parliament and give the primary decision aiming power to the parliament</w:t>
      </w:r>
      <w:r w:rsidR="001F773F">
        <w:rPr>
          <w:rFonts w:ascii="Times New Roman" w:eastAsia="Times New Roman" w:hAnsi="Times New Roman" w:cs="Times New Roman"/>
          <w:color w:val="1F1F1F"/>
          <w:sz w:val="24"/>
          <w:szCs w:val="24"/>
          <w:highlight w:val="white"/>
        </w:rPr>
        <w:t xml:space="preserve"> (</w:t>
      </w:r>
      <w:r w:rsidR="001F773F" w:rsidRPr="00AC7E24">
        <w:rPr>
          <w:rFonts w:ascii="Times New Roman" w:eastAsia="Times New Roman" w:hAnsi="Times New Roman" w:cs="Times New Roman"/>
          <w:color w:val="1F1F1F"/>
          <w:sz w:val="24"/>
          <w:szCs w:val="24"/>
          <w:highlight w:val="white"/>
        </w:rPr>
        <w:t>Sánchez-</w:t>
      </w:r>
      <w:proofErr w:type="spellStart"/>
      <w:r w:rsidR="001F773F" w:rsidRPr="00AC7E24">
        <w:rPr>
          <w:rFonts w:ascii="Times New Roman" w:eastAsia="Times New Roman" w:hAnsi="Times New Roman" w:cs="Times New Roman"/>
          <w:color w:val="1F1F1F"/>
          <w:sz w:val="24"/>
          <w:szCs w:val="24"/>
          <w:highlight w:val="white"/>
        </w:rPr>
        <w:t>Monedero</w:t>
      </w:r>
      <w:proofErr w:type="spellEnd"/>
      <w:r w:rsidR="001F773F" w:rsidRPr="00AC7E24">
        <w:rPr>
          <w:rFonts w:ascii="Times New Roman" w:eastAsia="Times New Roman" w:hAnsi="Times New Roman" w:cs="Times New Roman"/>
          <w:color w:val="1F1F1F"/>
          <w:sz w:val="24"/>
          <w:szCs w:val="24"/>
          <w:highlight w:val="white"/>
        </w:rPr>
        <w:t xml:space="preserve">, </w:t>
      </w:r>
      <w:proofErr w:type="spellStart"/>
      <w:r w:rsidR="001F773F" w:rsidRPr="00AC7E24">
        <w:rPr>
          <w:rFonts w:ascii="Times New Roman" w:eastAsia="Times New Roman" w:hAnsi="Times New Roman" w:cs="Times New Roman"/>
          <w:color w:val="1F1F1F"/>
          <w:sz w:val="24"/>
          <w:szCs w:val="24"/>
          <w:highlight w:val="white"/>
        </w:rPr>
        <w:t>Dencik</w:t>
      </w:r>
      <w:proofErr w:type="spellEnd"/>
      <w:r w:rsidR="001F773F">
        <w:rPr>
          <w:rFonts w:ascii="Times New Roman" w:eastAsia="Times New Roman" w:hAnsi="Times New Roman" w:cs="Times New Roman"/>
          <w:color w:val="1F1F1F"/>
          <w:sz w:val="24"/>
          <w:szCs w:val="24"/>
          <w:highlight w:val="white"/>
        </w:rPr>
        <w:t xml:space="preserve"> and</w:t>
      </w:r>
      <w:r w:rsidR="001F773F" w:rsidRPr="00AC7E24">
        <w:rPr>
          <w:rFonts w:ascii="Times New Roman" w:eastAsia="Times New Roman" w:hAnsi="Times New Roman" w:cs="Times New Roman"/>
          <w:color w:val="1F1F1F"/>
          <w:sz w:val="24"/>
          <w:szCs w:val="24"/>
          <w:highlight w:val="white"/>
        </w:rPr>
        <w:t xml:space="preserve"> Edwards,</w:t>
      </w:r>
      <w:r w:rsidR="001F773F">
        <w:rPr>
          <w:rFonts w:ascii="Times New Roman" w:eastAsia="Times New Roman" w:hAnsi="Times New Roman" w:cs="Times New Roman"/>
          <w:color w:val="1F1F1F"/>
          <w:sz w:val="24"/>
          <w:szCs w:val="24"/>
          <w:highlight w:val="white"/>
        </w:rPr>
        <w:t xml:space="preserve"> </w:t>
      </w:r>
      <w:r w:rsidR="001F773F" w:rsidRPr="00AC7E24">
        <w:rPr>
          <w:rFonts w:ascii="Times New Roman" w:eastAsia="Times New Roman" w:hAnsi="Times New Roman" w:cs="Times New Roman"/>
          <w:color w:val="1F1F1F"/>
          <w:sz w:val="24"/>
          <w:szCs w:val="24"/>
          <w:highlight w:val="white"/>
        </w:rPr>
        <w:t>2020</w:t>
      </w:r>
      <w:r w:rsidR="001F773F">
        <w:rPr>
          <w:rFonts w:ascii="Times New Roman" w:eastAsia="Times New Roman" w:hAnsi="Times New Roman" w:cs="Times New Roman"/>
          <w:color w:val="1F1F1F"/>
          <w:sz w:val="24"/>
          <w:szCs w:val="24"/>
          <w:highlight w:val="white"/>
        </w:rPr>
        <w:t>).</w:t>
      </w:r>
    </w:p>
    <w:p w14:paraId="75F5521E" w14:textId="5433A99C" w:rsidR="007A2CC1" w:rsidRDefault="007A2CC1" w:rsidP="007A2CC1">
      <w:pPr>
        <w:pStyle w:val="Heading1"/>
      </w:pPr>
      <w:bookmarkStart w:id="4" w:name="_Toc129307071"/>
      <w:r w:rsidRPr="007A2CC1">
        <w:t xml:space="preserve">Changes </w:t>
      </w:r>
      <w:r>
        <w:t>that the bill will make</w:t>
      </w:r>
      <w:bookmarkEnd w:id="4"/>
    </w:p>
    <w:p w14:paraId="1112B715" w14:textId="017EBBBF"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new Bill is changing a lot of provisions of the Human Rights Act and including a lot of new reforms which are:</w:t>
      </w:r>
    </w:p>
    <w:p w14:paraId="0B682666" w14:textId="70ABEA3E"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new reform has made it mandatory for the claimant to prove that the damage that has been done to them is significant and has brought significant damage to them as a result of the breach of their rights</w:t>
      </w:r>
      <w:r w:rsidR="00420325">
        <w:rPr>
          <w:rFonts w:ascii="Times New Roman" w:eastAsia="Times New Roman" w:hAnsi="Times New Roman" w:cs="Times New Roman"/>
          <w:color w:val="1F1F1F"/>
          <w:sz w:val="24"/>
          <w:szCs w:val="24"/>
          <w:highlight w:val="white"/>
        </w:rPr>
        <w:t xml:space="preserve"> (</w:t>
      </w:r>
      <w:r w:rsidR="00420325" w:rsidRPr="00AC7E24">
        <w:rPr>
          <w:rFonts w:ascii="Times New Roman" w:eastAsia="Times New Roman" w:hAnsi="Times New Roman" w:cs="Times New Roman"/>
          <w:color w:val="1F1F1F"/>
          <w:sz w:val="24"/>
          <w:szCs w:val="24"/>
          <w:highlight w:val="white"/>
        </w:rPr>
        <w:t>Potter,</w:t>
      </w:r>
      <w:r w:rsidR="00420325">
        <w:rPr>
          <w:rFonts w:ascii="Times New Roman" w:eastAsia="Times New Roman" w:hAnsi="Times New Roman" w:cs="Times New Roman"/>
          <w:color w:val="1F1F1F"/>
          <w:sz w:val="24"/>
          <w:szCs w:val="24"/>
          <w:highlight w:val="white"/>
        </w:rPr>
        <w:t xml:space="preserve"> </w:t>
      </w:r>
      <w:r w:rsidR="00420325" w:rsidRPr="00AC7E24">
        <w:rPr>
          <w:rFonts w:ascii="Times New Roman" w:eastAsia="Times New Roman" w:hAnsi="Times New Roman" w:cs="Times New Roman"/>
          <w:color w:val="1F1F1F"/>
          <w:sz w:val="24"/>
          <w:szCs w:val="24"/>
          <w:highlight w:val="white"/>
        </w:rPr>
        <w:t>2020)</w:t>
      </w:r>
      <w:r>
        <w:rPr>
          <w:rFonts w:ascii="Times New Roman" w:eastAsia="Times New Roman" w:hAnsi="Times New Roman" w:cs="Times New Roman"/>
          <w:color w:val="1F1F1F"/>
          <w:sz w:val="24"/>
          <w:szCs w:val="24"/>
          <w:highlight w:val="white"/>
        </w:rPr>
        <w:t xml:space="preserve">. </w:t>
      </w:r>
    </w:p>
    <w:p w14:paraId="4EEF106C" w14:textId="585D21D6"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new reform included a statement to set a higher threshold in order to tackle the foreign national offenders based on their right to private life. </w:t>
      </w:r>
    </w:p>
    <w:p w14:paraId="2D27B78F" w14:textId="07E7FB8B"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new reform also said to remove the duty to interpret legislation with the rights of the convention. </w:t>
      </w:r>
    </w:p>
    <w:p w14:paraId="5895BD8B" w14:textId="2E124D1F"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new reform now wants to shorten the interpretation of the rights to a mere text instead of translating the entire rights and interpreting them</w:t>
      </w:r>
      <w:r w:rsidR="00584E77">
        <w:rPr>
          <w:rFonts w:ascii="Times New Roman" w:eastAsia="Times New Roman" w:hAnsi="Times New Roman" w:cs="Times New Roman"/>
          <w:color w:val="1F1F1F"/>
          <w:sz w:val="24"/>
          <w:szCs w:val="24"/>
          <w:highlight w:val="white"/>
        </w:rPr>
        <w:t xml:space="preserve"> (</w:t>
      </w:r>
      <w:r w:rsidR="00584E77" w:rsidRPr="00AC7E24">
        <w:rPr>
          <w:rFonts w:ascii="Times New Roman" w:eastAsia="Times New Roman" w:hAnsi="Times New Roman" w:cs="Times New Roman"/>
          <w:color w:val="1F1F1F"/>
          <w:sz w:val="24"/>
          <w:szCs w:val="24"/>
          <w:highlight w:val="white"/>
        </w:rPr>
        <w:t>Sánchez-</w:t>
      </w:r>
      <w:proofErr w:type="spellStart"/>
      <w:r w:rsidR="00584E77" w:rsidRPr="00AC7E24">
        <w:rPr>
          <w:rFonts w:ascii="Times New Roman" w:eastAsia="Times New Roman" w:hAnsi="Times New Roman" w:cs="Times New Roman"/>
          <w:color w:val="1F1F1F"/>
          <w:sz w:val="24"/>
          <w:szCs w:val="24"/>
          <w:highlight w:val="white"/>
        </w:rPr>
        <w:t>Monedero</w:t>
      </w:r>
      <w:proofErr w:type="spellEnd"/>
      <w:r w:rsidR="00584E77" w:rsidRPr="00AC7E24">
        <w:rPr>
          <w:rFonts w:ascii="Times New Roman" w:eastAsia="Times New Roman" w:hAnsi="Times New Roman" w:cs="Times New Roman"/>
          <w:color w:val="1F1F1F"/>
          <w:sz w:val="24"/>
          <w:szCs w:val="24"/>
          <w:highlight w:val="white"/>
        </w:rPr>
        <w:t xml:space="preserve">, </w:t>
      </w:r>
      <w:proofErr w:type="spellStart"/>
      <w:r w:rsidR="00584E77" w:rsidRPr="00AC7E24">
        <w:rPr>
          <w:rFonts w:ascii="Times New Roman" w:eastAsia="Times New Roman" w:hAnsi="Times New Roman" w:cs="Times New Roman"/>
          <w:color w:val="1F1F1F"/>
          <w:sz w:val="24"/>
          <w:szCs w:val="24"/>
          <w:highlight w:val="white"/>
        </w:rPr>
        <w:t>Dencik</w:t>
      </w:r>
      <w:proofErr w:type="spellEnd"/>
      <w:r w:rsidR="00584E77">
        <w:rPr>
          <w:rFonts w:ascii="Times New Roman" w:eastAsia="Times New Roman" w:hAnsi="Times New Roman" w:cs="Times New Roman"/>
          <w:color w:val="1F1F1F"/>
          <w:sz w:val="24"/>
          <w:szCs w:val="24"/>
          <w:highlight w:val="white"/>
        </w:rPr>
        <w:t xml:space="preserve"> and</w:t>
      </w:r>
      <w:r w:rsidR="00584E77" w:rsidRPr="00AC7E24">
        <w:rPr>
          <w:rFonts w:ascii="Times New Roman" w:eastAsia="Times New Roman" w:hAnsi="Times New Roman" w:cs="Times New Roman"/>
          <w:color w:val="1F1F1F"/>
          <w:sz w:val="24"/>
          <w:szCs w:val="24"/>
          <w:highlight w:val="white"/>
        </w:rPr>
        <w:t xml:space="preserve"> Edwards,</w:t>
      </w:r>
      <w:r w:rsidR="00584E77">
        <w:rPr>
          <w:rFonts w:ascii="Times New Roman" w:eastAsia="Times New Roman" w:hAnsi="Times New Roman" w:cs="Times New Roman"/>
          <w:color w:val="1F1F1F"/>
          <w:sz w:val="24"/>
          <w:szCs w:val="24"/>
          <w:highlight w:val="white"/>
        </w:rPr>
        <w:t xml:space="preserve"> </w:t>
      </w:r>
      <w:r w:rsidR="00584E77" w:rsidRPr="00AC7E24">
        <w:rPr>
          <w:rFonts w:ascii="Times New Roman" w:eastAsia="Times New Roman" w:hAnsi="Times New Roman" w:cs="Times New Roman"/>
          <w:color w:val="1F1F1F"/>
          <w:sz w:val="24"/>
          <w:szCs w:val="24"/>
          <w:highlight w:val="white"/>
        </w:rPr>
        <w:t>2020</w:t>
      </w:r>
      <w:r w:rsidR="00584E77">
        <w:rPr>
          <w:rFonts w:ascii="Times New Roman" w:eastAsia="Times New Roman" w:hAnsi="Times New Roman" w:cs="Times New Roman"/>
          <w:color w:val="1F1F1F"/>
          <w:sz w:val="24"/>
          <w:szCs w:val="24"/>
          <w:highlight w:val="white"/>
        </w:rPr>
        <w:t>)</w:t>
      </w:r>
      <w:r>
        <w:rPr>
          <w:rFonts w:ascii="Times New Roman" w:eastAsia="Times New Roman" w:hAnsi="Times New Roman" w:cs="Times New Roman"/>
          <w:color w:val="1F1F1F"/>
          <w:sz w:val="24"/>
          <w:szCs w:val="24"/>
          <w:highlight w:val="white"/>
        </w:rPr>
        <w:t xml:space="preserve">. </w:t>
      </w:r>
    </w:p>
    <w:p w14:paraId="12EE13CC" w14:textId="0F9C02E2"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lastRenderedPageBreak/>
        <w:t xml:space="preserve">●The new reform has also taken control from the European Court on Human </w:t>
      </w:r>
      <w:r w:rsidR="00584E77">
        <w:rPr>
          <w:rFonts w:ascii="Times New Roman" w:eastAsia="Times New Roman" w:hAnsi="Times New Roman" w:cs="Times New Roman"/>
          <w:color w:val="1F1F1F"/>
          <w:sz w:val="24"/>
          <w:szCs w:val="24"/>
          <w:highlight w:val="white"/>
        </w:rPr>
        <w:t>Rights (</w:t>
      </w:r>
      <w:r>
        <w:rPr>
          <w:rFonts w:ascii="Times New Roman" w:eastAsia="Times New Roman" w:hAnsi="Times New Roman" w:cs="Times New Roman"/>
          <w:color w:val="1F1F1F"/>
          <w:sz w:val="24"/>
          <w:szCs w:val="24"/>
          <w:highlight w:val="white"/>
        </w:rPr>
        <w:t>ECHR) and now has asked the courts to stop seeing the case from their perspective and process in the way that they should because this reform belongs to the people of the U.K.</w:t>
      </w:r>
    </w:p>
    <w:p w14:paraId="3543BA33" w14:textId="1CA371D0"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●This reform also makes it true that when courts are deciding their views on the rights </w:t>
      </w:r>
      <w:proofErr w:type="gramStart"/>
      <w:r>
        <w:rPr>
          <w:rFonts w:ascii="Times New Roman" w:eastAsia="Times New Roman" w:hAnsi="Times New Roman" w:cs="Times New Roman"/>
          <w:color w:val="1F1F1F"/>
          <w:sz w:val="24"/>
          <w:szCs w:val="24"/>
          <w:highlight w:val="white"/>
        </w:rPr>
        <w:t>issue</w:t>
      </w:r>
      <w:proofErr w:type="gramEnd"/>
      <w:r>
        <w:rPr>
          <w:rFonts w:ascii="Times New Roman" w:eastAsia="Times New Roman" w:hAnsi="Times New Roman" w:cs="Times New Roman"/>
          <w:color w:val="1F1F1F"/>
          <w:sz w:val="24"/>
          <w:szCs w:val="24"/>
          <w:highlight w:val="white"/>
        </w:rPr>
        <w:t xml:space="preserve"> they must go through it with the parliament. </w:t>
      </w:r>
    </w:p>
    <w:p w14:paraId="1139206F" w14:textId="4551FBB3"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Bill has excluded taking charge of matters of human rights from the military overseas. </w:t>
      </w:r>
    </w:p>
    <w:p w14:paraId="604DB4C5" w14:textId="1D5061A4"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●It is also telling the courts that they cannot find a public body without giving an explanation to the parliament. </w:t>
      </w:r>
    </w:p>
    <w:p w14:paraId="52CDB38B" w14:textId="2FBE8C99"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●Other provisions of the Bill seek to reduce the burden on public bodies</w:t>
      </w:r>
    </w:p>
    <w:p w14:paraId="6550C4B6" w14:textId="46B01C0B" w:rsidR="0075328D" w:rsidRDefault="0075328D" w:rsidP="007A2CC1">
      <w:pPr>
        <w:pStyle w:val="Heading1"/>
        <w:rPr>
          <w:highlight w:val="white"/>
        </w:rPr>
      </w:pPr>
      <w:bookmarkStart w:id="5" w:name="_Toc129307072"/>
      <w:r>
        <w:rPr>
          <w:highlight w:val="white"/>
        </w:rPr>
        <w:t xml:space="preserve">Things that </w:t>
      </w:r>
      <w:r w:rsidR="007A2CC1">
        <w:rPr>
          <w:highlight w:val="white"/>
        </w:rPr>
        <w:t>will remain same</w:t>
      </w:r>
      <w:bookmarkEnd w:id="5"/>
    </w:p>
    <w:p w14:paraId="7173D352" w14:textId="4C113D14"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Several reforms have been kept as it is in the mail to preserve the sanctity of the mail. For instance, the bill reserves the rights of the convention and the ability of them to be enforced within the domestic courts. Again, even though the primary decision-making power remains with the U.K. supreme courts, it will not alter </w:t>
      </w:r>
      <w:r w:rsidR="007A2CC1">
        <w:rPr>
          <w:rFonts w:ascii="Times New Roman" w:eastAsia="Times New Roman" w:hAnsi="Times New Roman" w:cs="Times New Roman"/>
          <w:color w:val="1F1F1F"/>
          <w:sz w:val="24"/>
          <w:szCs w:val="24"/>
          <w:highlight w:val="white"/>
        </w:rPr>
        <w:t>U. K’s membership</w:t>
      </w:r>
      <w:r>
        <w:rPr>
          <w:rFonts w:ascii="Times New Roman" w:eastAsia="Times New Roman" w:hAnsi="Times New Roman" w:cs="Times New Roman"/>
          <w:color w:val="1F1F1F"/>
          <w:sz w:val="24"/>
          <w:szCs w:val="24"/>
          <w:highlight w:val="white"/>
        </w:rPr>
        <w:t xml:space="preserve"> of the EHCR along with the obligations of the government. </w:t>
      </w:r>
      <w:r w:rsidR="004755ED" w:rsidRPr="004755ED">
        <w:rPr>
          <w:rFonts w:ascii="Times New Roman" w:eastAsia="Times New Roman" w:hAnsi="Times New Roman" w:cs="Times New Roman"/>
          <w:color w:val="1F1F1F"/>
          <w:sz w:val="24"/>
          <w:szCs w:val="24"/>
        </w:rPr>
        <w:t>European Union (Withdrawal) Act 2018</w:t>
      </w:r>
      <w:r w:rsidR="004755ED">
        <w:rPr>
          <w:rFonts w:ascii="Times New Roman" w:eastAsia="Times New Roman" w:hAnsi="Times New Roman" w:cs="Times New Roman"/>
          <w:color w:val="1F1F1F"/>
          <w:sz w:val="24"/>
          <w:szCs w:val="24"/>
        </w:rPr>
        <w:t xml:space="preserve"> </w:t>
      </w:r>
      <w:r w:rsidR="004755ED" w:rsidRPr="004755ED">
        <w:rPr>
          <w:rFonts w:ascii="Times New Roman" w:eastAsia="Times New Roman" w:hAnsi="Times New Roman" w:cs="Times New Roman"/>
          <w:color w:val="1F1F1F"/>
          <w:sz w:val="24"/>
          <w:szCs w:val="24"/>
        </w:rPr>
        <w:t>is an Act of the British Parliament that establishes the need for legislative agreement for any exit deal reached between both the administration of the United Kingdom as well as the European Union, as well as the repealing of the European Communities Act of 1972.</w:t>
      </w:r>
      <w:r w:rsidR="004755ED">
        <w:rPr>
          <w:rFonts w:ascii="Times New Roman" w:eastAsia="Times New Roman" w:hAnsi="Times New Roman" w:cs="Times New Roman"/>
          <w:color w:val="1F1F1F"/>
          <w:sz w:val="24"/>
          <w:szCs w:val="24"/>
        </w:rPr>
        <w:t xml:space="preserve"> </w:t>
      </w:r>
      <w:r>
        <w:rPr>
          <w:rFonts w:ascii="Times New Roman" w:eastAsia="Times New Roman" w:hAnsi="Times New Roman" w:cs="Times New Roman"/>
          <w:color w:val="1F1F1F"/>
          <w:sz w:val="24"/>
          <w:szCs w:val="24"/>
          <w:highlight w:val="white"/>
        </w:rPr>
        <w:t>Again, public authorities are still required to act in accordance with human rights and not offend the rights of anyone</w:t>
      </w:r>
      <w:r w:rsidR="00AF3C8D">
        <w:rPr>
          <w:rFonts w:ascii="Times New Roman" w:eastAsia="Times New Roman" w:hAnsi="Times New Roman" w:cs="Times New Roman"/>
          <w:color w:val="1F1F1F"/>
          <w:sz w:val="24"/>
          <w:szCs w:val="24"/>
          <w:highlight w:val="white"/>
        </w:rPr>
        <w:t xml:space="preserve"> (</w:t>
      </w:r>
      <w:proofErr w:type="spellStart"/>
      <w:r w:rsidR="00AF3C8D" w:rsidRPr="006D2505">
        <w:rPr>
          <w:rFonts w:ascii="Times New Roman" w:eastAsia="Times New Roman" w:hAnsi="Times New Roman" w:cs="Times New Roman"/>
          <w:color w:val="1F1F1F"/>
          <w:sz w:val="24"/>
          <w:szCs w:val="24"/>
          <w:highlight w:val="white"/>
        </w:rPr>
        <w:t>Wettstein</w:t>
      </w:r>
      <w:proofErr w:type="spellEnd"/>
      <w:r w:rsidR="00AF3C8D">
        <w:rPr>
          <w:rFonts w:ascii="Times New Roman" w:eastAsia="Times New Roman" w:hAnsi="Times New Roman" w:cs="Times New Roman"/>
          <w:color w:val="1F1F1F"/>
          <w:sz w:val="24"/>
          <w:szCs w:val="24"/>
          <w:highlight w:val="white"/>
        </w:rPr>
        <w:t xml:space="preserve"> et al. 2019)</w:t>
      </w:r>
      <w:r>
        <w:rPr>
          <w:rFonts w:ascii="Times New Roman" w:eastAsia="Times New Roman" w:hAnsi="Times New Roman" w:cs="Times New Roman"/>
          <w:color w:val="1F1F1F"/>
          <w:sz w:val="24"/>
          <w:szCs w:val="24"/>
          <w:highlight w:val="white"/>
        </w:rPr>
        <w:t xml:space="preserve">. Higher courts such as the Supreme Court, Higher Courts, Courts of Appeal, and the High court are still given the authority and power to issue a “declaration of incompatibility” if and when they find that all compromises with a convention right. It will not immediately change the reform whatsoever, but it will change the leadership direction to think about the legislation with respect to human rights. </w:t>
      </w:r>
      <w:r w:rsidR="00BB1E0F" w:rsidRPr="00BB1E0F">
        <w:rPr>
          <w:rFonts w:ascii="Times New Roman" w:eastAsia="Times New Roman" w:hAnsi="Times New Roman" w:cs="Times New Roman"/>
          <w:color w:val="1F1F1F"/>
          <w:sz w:val="24"/>
          <w:szCs w:val="24"/>
        </w:rPr>
        <w:t xml:space="preserve">The European Communities Act of 1972, which grants </w:t>
      </w:r>
      <w:r w:rsidR="00BB1E0F" w:rsidRPr="00BB1E0F">
        <w:rPr>
          <w:rFonts w:ascii="Times New Roman" w:eastAsia="Times New Roman" w:hAnsi="Times New Roman" w:cs="Times New Roman"/>
          <w:color w:val="1F1F1F"/>
          <w:sz w:val="24"/>
          <w:szCs w:val="24"/>
        </w:rPr>
        <w:lastRenderedPageBreak/>
        <w:t>EU law precedence over UK national legislation, was indeed the legal document that propelled the UK into to the European Union. Modern EU law that is applicable in the UK heavily depends just on 1972 Act.</w:t>
      </w:r>
    </w:p>
    <w:p w14:paraId="5970CDBE" w14:textId="0ED3B422" w:rsidR="007A2CC1" w:rsidRDefault="007A2CC1">
      <w:pPr>
        <w:spacing w:line="480" w:lineRule="auto"/>
        <w:jc w:val="both"/>
        <w:rPr>
          <w:rFonts w:ascii="Times New Roman" w:hAnsi="Times New Roman"/>
          <w:b/>
          <w:sz w:val="28"/>
          <w:szCs w:val="40"/>
        </w:rPr>
      </w:pPr>
      <w:r>
        <w:rPr>
          <w:rFonts w:ascii="Times New Roman" w:hAnsi="Times New Roman"/>
          <w:b/>
          <w:sz w:val="28"/>
          <w:szCs w:val="40"/>
        </w:rPr>
        <w:t>A</w:t>
      </w:r>
      <w:r w:rsidRPr="007A2CC1">
        <w:rPr>
          <w:rFonts w:ascii="Times New Roman" w:hAnsi="Times New Roman"/>
          <w:b/>
          <w:sz w:val="28"/>
          <w:szCs w:val="40"/>
        </w:rPr>
        <w:t>dvantages and disadvantages of these changes</w:t>
      </w:r>
    </w:p>
    <w:p w14:paraId="502CBC15" w14:textId="212694BA" w:rsidR="0075328D" w:rsidRPr="007A2CC1" w:rsidRDefault="0075328D">
      <w:pPr>
        <w:spacing w:line="480" w:lineRule="auto"/>
        <w:jc w:val="both"/>
        <w:rPr>
          <w:rFonts w:ascii="Times New Roman" w:hAnsi="Times New Roman"/>
          <w:b/>
          <w:sz w:val="28"/>
          <w:szCs w:val="40"/>
        </w:rPr>
      </w:pPr>
      <w:r>
        <w:rPr>
          <w:rFonts w:ascii="Times New Roman" w:eastAsia="Times New Roman" w:hAnsi="Times New Roman" w:cs="Times New Roman"/>
          <w:color w:val="1F1F1F"/>
          <w:sz w:val="24"/>
          <w:szCs w:val="24"/>
          <w:highlight w:val="white"/>
        </w:rPr>
        <w:t>The bill of rights will significantly change the way human rights are perceived and enforced in the UK.  It will require individuals now prove that they have been through significant damage and that their human rights have been breached in order to pursue a trial. This can backfire a lot because a breach of human rights is an emotional subject, not a financial or statement that can be proved. Again, some breaches of human rights cannot be proved in a written format. For instance, abuse and making racial comments, neglecting customers because of their race and ethnicity. These remarks will be impossible to prove and thus the people seeking rights for their life will be unable to do so</w:t>
      </w:r>
      <w:r w:rsidR="00EB43A4">
        <w:rPr>
          <w:rFonts w:ascii="Times New Roman" w:eastAsia="Times New Roman" w:hAnsi="Times New Roman" w:cs="Times New Roman"/>
          <w:color w:val="1F1F1F"/>
          <w:sz w:val="24"/>
          <w:szCs w:val="24"/>
          <w:highlight w:val="white"/>
        </w:rPr>
        <w:t xml:space="preserve"> (</w:t>
      </w:r>
      <w:r w:rsidR="00EB43A4" w:rsidRPr="00AC7E24">
        <w:rPr>
          <w:rFonts w:ascii="Times New Roman" w:eastAsia="Times New Roman" w:hAnsi="Times New Roman" w:cs="Times New Roman"/>
          <w:color w:val="1F1F1F"/>
          <w:sz w:val="24"/>
          <w:szCs w:val="24"/>
          <w:highlight w:val="white"/>
        </w:rPr>
        <w:t xml:space="preserve">Helfer </w:t>
      </w:r>
      <w:r w:rsidR="00EB43A4">
        <w:rPr>
          <w:rFonts w:ascii="Times New Roman" w:eastAsia="Times New Roman" w:hAnsi="Times New Roman" w:cs="Times New Roman"/>
          <w:color w:val="1F1F1F"/>
          <w:sz w:val="24"/>
          <w:szCs w:val="24"/>
          <w:highlight w:val="white"/>
        </w:rPr>
        <w:t>and</w:t>
      </w:r>
      <w:r w:rsidR="00EB43A4" w:rsidRPr="00AC7E24">
        <w:rPr>
          <w:rFonts w:ascii="Times New Roman" w:eastAsia="Times New Roman" w:hAnsi="Times New Roman" w:cs="Times New Roman"/>
          <w:color w:val="1F1F1F"/>
          <w:sz w:val="24"/>
          <w:szCs w:val="24"/>
          <w:highlight w:val="white"/>
        </w:rPr>
        <w:t xml:space="preserve"> </w:t>
      </w:r>
      <w:proofErr w:type="spellStart"/>
      <w:r w:rsidR="00EB43A4" w:rsidRPr="00AC7E24">
        <w:rPr>
          <w:rFonts w:ascii="Times New Roman" w:eastAsia="Times New Roman" w:hAnsi="Times New Roman" w:cs="Times New Roman"/>
          <w:color w:val="1F1F1F"/>
          <w:sz w:val="24"/>
          <w:szCs w:val="24"/>
          <w:highlight w:val="white"/>
        </w:rPr>
        <w:t>Voeten</w:t>
      </w:r>
      <w:proofErr w:type="spellEnd"/>
      <w:r w:rsidR="00EB43A4" w:rsidRPr="00AC7E24">
        <w:rPr>
          <w:rFonts w:ascii="Times New Roman" w:eastAsia="Times New Roman" w:hAnsi="Times New Roman" w:cs="Times New Roman"/>
          <w:color w:val="1F1F1F"/>
          <w:sz w:val="24"/>
          <w:szCs w:val="24"/>
          <w:highlight w:val="white"/>
        </w:rPr>
        <w:t>,</w:t>
      </w:r>
      <w:r w:rsidR="00EB43A4">
        <w:rPr>
          <w:rFonts w:ascii="Times New Roman" w:eastAsia="Times New Roman" w:hAnsi="Times New Roman" w:cs="Times New Roman"/>
          <w:color w:val="1F1F1F"/>
          <w:sz w:val="24"/>
          <w:szCs w:val="24"/>
          <w:highlight w:val="white"/>
        </w:rPr>
        <w:t xml:space="preserve"> </w:t>
      </w:r>
      <w:r w:rsidR="00EB43A4" w:rsidRPr="00AC7E24">
        <w:rPr>
          <w:rFonts w:ascii="Times New Roman" w:eastAsia="Times New Roman" w:hAnsi="Times New Roman" w:cs="Times New Roman"/>
          <w:color w:val="1F1F1F"/>
          <w:sz w:val="24"/>
          <w:szCs w:val="24"/>
          <w:highlight w:val="white"/>
        </w:rPr>
        <w:t>2020)</w:t>
      </w:r>
      <w:r>
        <w:rPr>
          <w:rFonts w:ascii="Times New Roman" w:eastAsia="Times New Roman" w:hAnsi="Times New Roman" w:cs="Times New Roman"/>
          <w:color w:val="1F1F1F"/>
          <w:sz w:val="24"/>
          <w:szCs w:val="24"/>
          <w:highlight w:val="white"/>
        </w:rPr>
        <w:t xml:space="preserve">. </w:t>
      </w:r>
    </w:p>
    <w:p w14:paraId="5F891B02" w14:textId="751A840D"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But on the other hand, if they are able to do so, the proof would help them move their case forward and seek the justice that they deserve without a hassle. The bill has its complications but it is aimed at making it easier for the legislation as well as the people. However, it might need some reforms in order to become more citizen-friendly.</w:t>
      </w:r>
      <w:r w:rsidR="007A2CC1">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 xml:space="preserve">The bill will create many inconsistencies about the convention rights in the rest of the world because the law clearly reformed that </w:t>
      </w:r>
      <w:r w:rsidR="007A2CC1">
        <w:rPr>
          <w:rFonts w:ascii="Times New Roman" w:eastAsia="Times New Roman" w:hAnsi="Times New Roman" w:cs="Times New Roman"/>
          <w:color w:val="1F1F1F"/>
          <w:sz w:val="24"/>
          <w:szCs w:val="24"/>
          <w:highlight w:val="white"/>
        </w:rPr>
        <w:t>the</w:t>
      </w:r>
      <w:r>
        <w:rPr>
          <w:rFonts w:ascii="Times New Roman" w:eastAsia="Times New Roman" w:hAnsi="Times New Roman" w:cs="Times New Roman"/>
          <w:color w:val="1F1F1F"/>
          <w:sz w:val="24"/>
          <w:szCs w:val="24"/>
          <w:highlight w:val="white"/>
        </w:rPr>
        <w:t xml:space="preserve"> courts are now prohibited to take consideration of EHCR. This means, if the U.K. has its own absolute rules regarding its citizen’s convention rights it will become less clear and opaque to the rest of the world or at least, the rest of Europe</w:t>
      </w:r>
      <w:r w:rsidR="00AB7D21">
        <w:rPr>
          <w:rFonts w:ascii="Times New Roman" w:eastAsia="Times New Roman" w:hAnsi="Times New Roman" w:cs="Times New Roman"/>
          <w:color w:val="1F1F1F"/>
          <w:sz w:val="24"/>
          <w:szCs w:val="24"/>
          <w:highlight w:val="white"/>
        </w:rPr>
        <w:t xml:space="preserve"> (</w:t>
      </w:r>
      <w:r w:rsidR="00AB7D21" w:rsidRPr="00AC7E24">
        <w:rPr>
          <w:rFonts w:ascii="Times New Roman" w:eastAsia="Times New Roman" w:hAnsi="Times New Roman" w:cs="Times New Roman"/>
          <w:color w:val="1F1F1F"/>
          <w:sz w:val="24"/>
          <w:szCs w:val="24"/>
          <w:highlight w:val="white"/>
        </w:rPr>
        <w:t>Mishra,</w:t>
      </w:r>
      <w:r w:rsidR="00AB7D21">
        <w:rPr>
          <w:rFonts w:ascii="Times New Roman" w:eastAsia="Times New Roman" w:hAnsi="Times New Roman" w:cs="Times New Roman"/>
          <w:color w:val="1F1F1F"/>
          <w:sz w:val="24"/>
          <w:szCs w:val="24"/>
          <w:highlight w:val="white"/>
        </w:rPr>
        <w:t xml:space="preserve"> </w:t>
      </w:r>
      <w:r w:rsidR="00AB7D21" w:rsidRPr="00AC7E24">
        <w:rPr>
          <w:rFonts w:ascii="Times New Roman" w:eastAsia="Times New Roman" w:hAnsi="Times New Roman" w:cs="Times New Roman"/>
          <w:color w:val="1F1F1F"/>
          <w:sz w:val="24"/>
          <w:szCs w:val="24"/>
          <w:highlight w:val="white"/>
        </w:rPr>
        <w:t>2019)</w:t>
      </w:r>
      <w:r>
        <w:rPr>
          <w:rFonts w:ascii="Times New Roman" w:eastAsia="Times New Roman" w:hAnsi="Times New Roman" w:cs="Times New Roman"/>
          <w:color w:val="1F1F1F"/>
          <w:sz w:val="24"/>
          <w:szCs w:val="24"/>
          <w:highlight w:val="white"/>
        </w:rPr>
        <w:t xml:space="preserve">. </w:t>
      </w:r>
    </w:p>
    <w:p w14:paraId="43E324AF" w14:textId="4CD80BCB"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Again, courts will be delayed because even with a slight incompatibility of laws they have to issue many declarations that can just become time-consuming and drag the process further. </w:t>
      </w:r>
    </w:p>
    <w:p w14:paraId="4C832AD8" w14:textId="71B09676"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Not only that, but the bill also prevents the courts to introduce or implement any positive obligations which means the citizens are only left with half the protection set up. </w:t>
      </w:r>
    </w:p>
    <w:p w14:paraId="71D3A359" w14:textId="17494A35" w:rsidR="0075328D" w:rsidRDefault="0075328D" w:rsidP="009610A6">
      <w:pPr>
        <w:pStyle w:val="Heading1"/>
        <w:rPr>
          <w:highlight w:val="white"/>
        </w:rPr>
      </w:pPr>
      <w:bookmarkStart w:id="6" w:name="_Toc129307073"/>
      <w:r>
        <w:rPr>
          <w:highlight w:val="white"/>
        </w:rPr>
        <w:lastRenderedPageBreak/>
        <w:t>Recommendations</w:t>
      </w:r>
      <w:bookmarkEnd w:id="6"/>
    </w:p>
    <w:p w14:paraId="5F2E8870" w14:textId="00192F35" w:rsidR="0075328D" w:rsidRDefault="0075328D">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Personally, there is no clear clarification that the U.K. needed the Bill of Rights Bill. And it is evident that it is more curbing the human rights of its citizens than allowing them to flourish. It also should </w:t>
      </w:r>
      <w:r w:rsidR="007A2CC1">
        <w:rPr>
          <w:rFonts w:ascii="Times New Roman" w:eastAsia="Times New Roman" w:hAnsi="Times New Roman" w:cs="Times New Roman"/>
          <w:color w:val="1F1F1F"/>
          <w:sz w:val="24"/>
          <w:szCs w:val="24"/>
          <w:highlight w:val="white"/>
        </w:rPr>
        <w:t>court</w:t>
      </w:r>
      <w:r>
        <w:rPr>
          <w:rFonts w:ascii="Times New Roman" w:eastAsia="Times New Roman" w:hAnsi="Times New Roman" w:cs="Times New Roman"/>
          <w:color w:val="1F1F1F"/>
          <w:sz w:val="24"/>
          <w:szCs w:val="24"/>
          <w:highlight w:val="white"/>
        </w:rPr>
        <w:t xml:space="preserve"> to have more authority to make decisions on their own and introduce </w:t>
      </w:r>
      <w:r w:rsidR="005D107F">
        <w:rPr>
          <w:rFonts w:ascii="Times New Roman" w:eastAsia="Times New Roman" w:hAnsi="Times New Roman" w:cs="Times New Roman"/>
          <w:color w:val="1F1F1F"/>
          <w:sz w:val="24"/>
          <w:szCs w:val="24"/>
          <w:highlight w:val="white"/>
        </w:rPr>
        <w:t>legislations</w:t>
      </w:r>
      <w:r>
        <w:rPr>
          <w:rFonts w:ascii="Times New Roman" w:eastAsia="Times New Roman" w:hAnsi="Times New Roman" w:cs="Times New Roman"/>
          <w:color w:val="1F1F1F"/>
          <w:sz w:val="24"/>
          <w:szCs w:val="24"/>
          <w:highlight w:val="white"/>
        </w:rPr>
        <w:t xml:space="preserve"> that are </w:t>
      </w:r>
      <w:r w:rsidR="005D107F">
        <w:rPr>
          <w:rFonts w:ascii="Times New Roman" w:eastAsia="Times New Roman" w:hAnsi="Times New Roman" w:cs="Times New Roman"/>
          <w:color w:val="1F1F1F"/>
          <w:sz w:val="24"/>
          <w:szCs w:val="24"/>
          <w:highlight w:val="white"/>
        </w:rPr>
        <w:t>up to</w:t>
      </w:r>
      <w:r>
        <w:rPr>
          <w:rFonts w:ascii="Times New Roman" w:eastAsia="Times New Roman" w:hAnsi="Times New Roman" w:cs="Times New Roman"/>
          <w:color w:val="1F1F1F"/>
          <w:sz w:val="24"/>
          <w:szCs w:val="24"/>
          <w:highlight w:val="white"/>
        </w:rPr>
        <w:t xml:space="preserve"> the conventional rights of the citizens. Secondly, significant </w:t>
      </w:r>
      <w:r w:rsidR="005D107F">
        <w:rPr>
          <w:rFonts w:ascii="Times New Roman" w:eastAsia="Times New Roman" w:hAnsi="Times New Roman" w:cs="Times New Roman"/>
          <w:color w:val="1F1F1F"/>
          <w:sz w:val="24"/>
          <w:szCs w:val="24"/>
          <w:highlight w:val="white"/>
        </w:rPr>
        <w:t>damage</w:t>
      </w:r>
      <w:r>
        <w:rPr>
          <w:rFonts w:ascii="Times New Roman" w:eastAsia="Times New Roman" w:hAnsi="Times New Roman" w:cs="Times New Roman"/>
          <w:color w:val="1F1F1F"/>
          <w:sz w:val="24"/>
          <w:szCs w:val="24"/>
          <w:highlight w:val="white"/>
        </w:rPr>
        <w:t xml:space="preserve"> should be taken lightly as there is no definition that fits to every scenario for every individual and this can greatly impact the way human rights is seen. The term </w:t>
      </w:r>
      <w:r w:rsidR="005D107F">
        <w:rPr>
          <w:rFonts w:ascii="Times New Roman" w:eastAsia="Times New Roman" w:hAnsi="Times New Roman" w:cs="Times New Roman"/>
          <w:color w:val="1F1F1F"/>
          <w:sz w:val="24"/>
          <w:szCs w:val="24"/>
          <w:highlight w:val="white"/>
        </w:rPr>
        <w:t>significant</w:t>
      </w:r>
      <w:r>
        <w:rPr>
          <w:rFonts w:ascii="Times New Roman" w:eastAsia="Times New Roman" w:hAnsi="Times New Roman" w:cs="Times New Roman"/>
          <w:color w:val="1F1F1F"/>
          <w:sz w:val="24"/>
          <w:szCs w:val="24"/>
          <w:highlight w:val="white"/>
        </w:rPr>
        <w:t xml:space="preserve"> damage and the ways to prove should be eradicated and a separate reform should be replaced so that people can take their complaints without a hassle. The bill should also make sure that public authorities strictly comply with human rights reforms so that there are less cases to begin with and charges should vary according to the intensity of the breach of human rights. </w:t>
      </w:r>
    </w:p>
    <w:p w14:paraId="512D0AD6" w14:textId="121C91AD" w:rsidR="0075328D" w:rsidRDefault="007A2CC1" w:rsidP="007A2CC1">
      <w:pPr>
        <w:pStyle w:val="Heading1"/>
        <w:rPr>
          <w:highlight w:val="white"/>
        </w:rPr>
      </w:pPr>
      <w:bookmarkStart w:id="7" w:name="_Toc129307074"/>
      <w:r>
        <w:rPr>
          <w:highlight w:val="white"/>
        </w:rPr>
        <w:t>Conclusion</w:t>
      </w:r>
      <w:bookmarkEnd w:id="7"/>
    </w:p>
    <w:p w14:paraId="6D0D6346" w14:textId="48A9308F" w:rsidR="007A2CC1" w:rsidRPr="007A2CC1" w:rsidRDefault="007A2CC1" w:rsidP="007A2CC1">
      <w:pPr>
        <w:spacing w:line="480" w:lineRule="auto"/>
        <w:jc w:val="both"/>
        <w:rPr>
          <w:rFonts w:ascii="Times New Roman" w:hAnsi="Times New Roman" w:cs="Times New Roman"/>
          <w:sz w:val="24"/>
          <w:szCs w:val="24"/>
          <w:highlight w:val="white"/>
        </w:rPr>
      </w:pPr>
      <w:r w:rsidRPr="007A2CC1">
        <w:rPr>
          <w:rFonts w:ascii="Times New Roman" w:hAnsi="Times New Roman" w:cs="Times New Roman"/>
          <w:sz w:val="24"/>
          <w:szCs w:val="24"/>
        </w:rPr>
        <w:t>All of the human rights to which a British person is entitled are covered by the human rights act of 1998. This statute grants its citizens the authority to bring legal claims involving their human rights before British courts.</w:t>
      </w:r>
      <w:r>
        <w:rPr>
          <w:rFonts w:ascii="Times New Roman" w:hAnsi="Times New Roman" w:cs="Times New Roman"/>
          <w:sz w:val="24"/>
          <w:szCs w:val="24"/>
        </w:rPr>
        <w:t xml:space="preserve"> </w:t>
      </w:r>
      <w:r w:rsidRPr="007A2CC1">
        <w:rPr>
          <w:rFonts w:ascii="Times New Roman" w:hAnsi="Times New Roman" w:cs="Times New Roman"/>
          <w:sz w:val="24"/>
          <w:szCs w:val="24"/>
        </w:rPr>
        <w:t>The bill of rights will fundamentally alter how the UK views and upholds human rights. In order to pursue a trial, people will now need to demonstrate that they have suffered considerable harm and that their human rights have been violated.</w:t>
      </w:r>
      <w:r>
        <w:rPr>
          <w:rFonts w:ascii="Times New Roman" w:hAnsi="Times New Roman" w:cs="Times New Roman"/>
          <w:sz w:val="24"/>
          <w:szCs w:val="24"/>
        </w:rPr>
        <w:t xml:space="preserve"> </w:t>
      </w:r>
      <w:r w:rsidRPr="007A2CC1">
        <w:rPr>
          <w:rFonts w:ascii="Times New Roman" w:hAnsi="Times New Roman" w:cs="Times New Roman"/>
          <w:sz w:val="24"/>
          <w:szCs w:val="24"/>
        </w:rPr>
        <w:t>To maintain the integrity of the correspondence, some improvements have been left in place. For instance, the measure reserves the convention's rights and the authority to enforce them in national courts.</w:t>
      </w:r>
    </w:p>
    <w:p w14:paraId="48059B71" w14:textId="77777777" w:rsidR="0075328D" w:rsidRDefault="0075328D">
      <w:pPr>
        <w:spacing w:line="480" w:lineRule="auto"/>
        <w:jc w:val="both"/>
        <w:rPr>
          <w:rFonts w:ascii="Times New Roman" w:eastAsia="Times New Roman" w:hAnsi="Times New Roman" w:cs="Times New Roman"/>
          <w:color w:val="1F1F1F"/>
          <w:sz w:val="24"/>
          <w:szCs w:val="24"/>
          <w:highlight w:val="white"/>
        </w:rPr>
      </w:pPr>
    </w:p>
    <w:p w14:paraId="1A2926E1" w14:textId="77777777" w:rsidR="0075328D" w:rsidRDefault="0075328D">
      <w:pPr>
        <w:spacing w:line="480" w:lineRule="auto"/>
        <w:jc w:val="both"/>
        <w:rPr>
          <w:rFonts w:ascii="Times New Roman" w:eastAsia="Times New Roman" w:hAnsi="Times New Roman" w:cs="Times New Roman"/>
          <w:color w:val="1F1F1F"/>
          <w:sz w:val="24"/>
          <w:szCs w:val="24"/>
          <w:highlight w:val="white"/>
        </w:rPr>
      </w:pPr>
    </w:p>
    <w:p w14:paraId="673589E1" w14:textId="77777777" w:rsidR="0016423B" w:rsidRDefault="0016423B">
      <w:pPr>
        <w:spacing w:line="480" w:lineRule="auto"/>
        <w:jc w:val="both"/>
        <w:rPr>
          <w:rFonts w:ascii="Times New Roman" w:eastAsia="Times New Roman" w:hAnsi="Times New Roman" w:cs="Times New Roman"/>
          <w:b/>
          <w:color w:val="1F1F1F"/>
          <w:sz w:val="24"/>
          <w:szCs w:val="24"/>
          <w:highlight w:val="white"/>
        </w:rPr>
      </w:pPr>
    </w:p>
    <w:p w14:paraId="02853402" w14:textId="77777777" w:rsidR="00AC7E24" w:rsidRDefault="00AC7E24">
      <w:pPr>
        <w:rPr>
          <w:rFonts w:ascii="Times New Roman" w:hAnsi="Times New Roman"/>
          <w:b/>
          <w:sz w:val="28"/>
          <w:szCs w:val="40"/>
          <w:highlight w:val="white"/>
        </w:rPr>
      </w:pPr>
      <w:r>
        <w:rPr>
          <w:highlight w:val="white"/>
        </w:rPr>
        <w:br w:type="page"/>
      </w:r>
    </w:p>
    <w:p w14:paraId="0BF7668A" w14:textId="0B1A1430" w:rsidR="0016423B" w:rsidRDefault="00000000">
      <w:pPr>
        <w:pStyle w:val="Heading1"/>
        <w:rPr>
          <w:highlight w:val="white"/>
        </w:rPr>
      </w:pPr>
      <w:bookmarkStart w:id="8" w:name="_Toc129307075"/>
      <w:r>
        <w:rPr>
          <w:highlight w:val="white"/>
        </w:rPr>
        <w:lastRenderedPageBreak/>
        <w:t>References</w:t>
      </w:r>
      <w:bookmarkEnd w:id="8"/>
    </w:p>
    <w:p w14:paraId="60D0E688" w14:textId="4A744F65"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 xml:space="preserve">Drake, A., Keller, P., </w:t>
      </w:r>
      <w:proofErr w:type="spellStart"/>
      <w:r w:rsidRPr="00AC7E24">
        <w:rPr>
          <w:rFonts w:ascii="Times New Roman" w:eastAsia="Times New Roman" w:hAnsi="Times New Roman" w:cs="Times New Roman"/>
          <w:color w:val="1F1F1F"/>
          <w:sz w:val="24"/>
          <w:szCs w:val="24"/>
          <w:highlight w:val="white"/>
        </w:rPr>
        <w:t>Pietropaoli</w:t>
      </w:r>
      <w:proofErr w:type="spellEnd"/>
      <w:r w:rsidRPr="00AC7E24">
        <w:rPr>
          <w:rFonts w:ascii="Times New Roman" w:eastAsia="Times New Roman" w:hAnsi="Times New Roman" w:cs="Times New Roman"/>
          <w:color w:val="1F1F1F"/>
          <w:sz w:val="24"/>
          <w:szCs w:val="24"/>
          <w:highlight w:val="white"/>
        </w:rPr>
        <w:t xml:space="preserve">, I., Puri, A., </w:t>
      </w:r>
      <w:proofErr w:type="spellStart"/>
      <w:r w:rsidRPr="00AC7E24">
        <w:rPr>
          <w:rFonts w:ascii="Times New Roman" w:eastAsia="Times New Roman" w:hAnsi="Times New Roman" w:cs="Times New Roman"/>
          <w:color w:val="1F1F1F"/>
          <w:sz w:val="24"/>
          <w:szCs w:val="24"/>
          <w:highlight w:val="white"/>
        </w:rPr>
        <w:t>Maniatis</w:t>
      </w:r>
      <w:proofErr w:type="spellEnd"/>
      <w:r w:rsidRPr="00AC7E24">
        <w:rPr>
          <w:rFonts w:ascii="Times New Roman" w:eastAsia="Times New Roman" w:hAnsi="Times New Roman" w:cs="Times New Roman"/>
          <w:color w:val="1F1F1F"/>
          <w:sz w:val="24"/>
          <w:szCs w:val="24"/>
          <w:highlight w:val="white"/>
        </w:rPr>
        <w:t xml:space="preserve">, S., Tomlinson, J., ... </w:t>
      </w:r>
      <w:r>
        <w:rPr>
          <w:rFonts w:ascii="Times New Roman" w:eastAsia="Times New Roman" w:hAnsi="Times New Roman" w:cs="Times New Roman"/>
          <w:color w:val="1F1F1F"/>
          <w:sz w:val="24"/>
          <w:szCs w:val="24"/>
          <w:highlight w:val="white"/>
        </w:rPr>
        <w:t>and</w:t>
      </w:r>
      <w:r w:rsidRPr="00AC7E24">
        <w:rPr>
          <w:rFonts w:ascii="Times New Roman" w:eastAsia="Times New Roman" w:hAnsi="Times New Roman" w:cs="Times New Roman"/>
          <w:color w:val="1F1F1F"/>
          <w:sz w:val="24"/>
          <w:szCs w:val="24"/>
          <w:highlight w:val="white"/>
        </w:rPr>
        <w:t xml:space="preserve"> Blair, S. W. (2022). Legal contestation of artificial intelligence-related decision-making in the United Kingdom: reflections for policy. </w:t>
      </w:r>
      <w:r w:rsidRPr="00AC7E24">
        <w:rPr>
          <w:rFonts w:ascii="Times New Roman" w:eastAsia="Times New Roman" w:hAnsi="Times New Roman" w:cs="Times New Roman"/>
          <w:i/>
          <w:iCs/>
          <w:color w:val="1F1F1F"/>
          <w:sz w:val="24"/>
          <w:szCs w:val="24"/>
          <w:highlight w:val="white"/>
        </w:rPr>
        <w:t>International Review of Law, Computers &amp; Technology</w:t>
      </w:r>
      <w:r w:rsidRPr="00AC7E24">
        <w:rPr>
          <w:rFonts w:ascii="Times New Roman" w:eastAsia="Times New Roman" w:hAnsi="Times New Roman" w:cs="Times New Roman"/>
          <w:color w:val="1F1F1F"/>
          <w:sz w:val="24"/>
          <w:szCs w:val="24"/>
          <w:highlight w:val="white"/>
        </w:rPr>
        <w:t>, </w:t>
      </w:r>
      <w:r w:rsidRPr="00AC7E24">
        <w:rPr>
          <w:rFonts w:ascii="Times New Roman" w:eastAsia="Times New Roman" w:hAnsi="Times New Roman" w:cs="Times New Roman"/>
          <w:i/>
          <w:iCs/>
          <w:color w:val="1F1F1F"/>
          <w:sz w:val="24"/>
          <w:szCs w:val="24"/>
          <w:highlight w:val="white"/>
        </w:rPr>
        <w:t>36</w:t>
      </w:r>
      <w:r w:rsidRPr="00AC7E24">
        <w:rPr>
          <w:rFonts w:ascii="Times New Roman" w:eastAsia="Times New Roman" w:hAnsi="Times New Roman" w:cs="Times New Roman"/>
          <w:color w:val="1F1F1F"/>
          <w:sz w:val="24"/>
          <w:szCs w:val="24"/>
          <w:highlight w:val="white"/>
        </w:rPr>
        <w:t>(2), 251-285.</w:t>
      </w:r>
    </w:p>
    <w:p w14:paraId="4928EA5D" w14:textId="77777777"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Aikens, R. H. S. R. (2020). UK–England and Wales. In </w:t>
      </w:r>
      <w:r w:rsidRPr="00AC7E24">
        <w:rPr>
          <w:rFonts w:ascii="Times New Roman" w:eastAsia="Times New Roman" w:hAnsi="Times New Roman" w:cs="Times New Roman"/>
          <w:i/>
          <w:iCs/>
          <w:color w:val="1F1F1F"/>
          <w:sz w:val="24"/>
          <w:szCs w:val="24"/>
          <w:highlight w:val="white"/>
        </w:rPr>
        <w:t>Courts in Evolving Societies</w:t>
      </w:r>
      <w:r w:rsidRPr="00AC7E24">
        <w:rPr>
          <w:rFonts w:ascii="Times New Roman" w:eastAsia="Times New Roman" w:hAnsi="Times New Roman" w:cs="Times New Roman"/>
          <w:color w:val="1F1F1F"/>
          <w:sz w:val="24"/>
          <w:szCs w:val="24"/>
          <w:highlight w:val="white"/>
        </w:rPr>
        <w:t xml:space="preserve"> (pp. 59-70). Brill </w:t>
      </w:r>
      <w:proofErr w:type="spellStart"/>
      <w:r w:rsidRPr="00AC7E24">
        <w:rPr>
          <w:rFonts w:ascii="Times New Roman" w:eastAsia="Times New Roman" w:hAnsi="Times New Roman" w:cs="Times New Roman"/>
          <w:color w:val="1F1F1F"/>
          <w:sz w:val="24"/>
          <w:szCs w:val="24"/>
          <w:highlight w:val="white"/>
        </w:rPr>
        <w:t>Nijhoff</w:t>
      </w:r>
      <w:proofErr w:type="spellEnd"/>
      <w:r w:rsidRPr="00AC7E24">
        <w:rPr>
          <w:rFonts w:ascii="Times New Roman" w:eastAsia="Times New Roman" w:hAnsi="Times New Roman" w:cs="Times New Roman"/>
          <w:color w:val="1F1F1F"/>
          <w:sz w:val="24"/>
          <w:szCs w:val="24"/>
          <w:highlight w:val="white"/>
        </w:rPr>
        <w:t>.</w:t>
      </w:r>
    </w:p>
    <w:p w14:paraId="41B3CE66" w14:textId="77777777"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 xml:space="preserve">Kyriakopoulos, G. L. (2021). Environmental legislation in </w:t>
      </w:r>
      <w:proofErr w:type="spellStart"/>
      <w:r w:rsidRPr="00AC7E24">
        <w:rPr>
          <w:rFonts w:ascii="Times New Roman" w:eastAsia="Times New Roman" w:hAnsi="Times New Roman" w:cs="Times New Roman"/>
          <w:color w:val="1F1F1F"/>
          <w:sz w:val="24"/>
          <w:szCs w:val="24"/>
          <w:highlight w:val="white"/>
        </w:rPr>
        <w:t>european</w:t>
      </w:r>
      <w:proofErr w:type="spellEnd"/>
      <w:r w:rsidRPr="00AC7E24">
        <w:rPr>
          <w:rFonts w:ascii="Times New Roman" w:eastAsia="Times New Roman" w:hAnsi="Times New Roman" w:cs="Times New Roman"/>
          <w:color w:val="1F1F1F"/>
          <w:sz w:val="24"/>
          <w:szCs w:val="24"/>
          <w:highlight w:val="white"/>
        </w:rPr>
        <w:t xml:space="preserve"> and international contexts: legal practices and social planning toward the circular economy. </w:t>
      </w:r>
      <w:r w:rsidRPr="00AC7E24">
        <w:rPr>
          <w:rFonts w:ascii="Times New Roman" w:eastAsia="Times New Roman" w:hAnsi="Times New Roman" w:cs="Times New Roman"/>
          <w:i/>
          <w:iCs/>
          <w:color w:val="1F1F1F"/>
          <w:sz w:val="24"/>
          <w:szCs w:val="24"/>
          <w:highlight w:val="white"/>
        </w:rPr>
        <w:t>Laws</w:t>
      </w:r>
      <w:r w:rsidRPr="00AC7E24">
        <w:rPr>
          <w:rFonts w:ascii="Times New Roman" w:eastAsia="Times New Roman" w:hAnsi="Times New Roman" w:cs="Times New Roman"/>
          <w:color w:val="1F1F1F"/>
          <w:sz w:val="24"/>
          <w:szCs w:val="24"/>
          <w:highlight w:val="white"/>
        </w:rPr>
        <w:t>, </w:t>
      </w:r>
      <w:r w:rsidRPr="00AC7E24">
        <w:rPr>
          <w:rFonts w:ascii="Times New Roman" w:eastAsia="Times New Roman" w:hAnsi="Times New Roman" w:cs="Times New Roman"/>
          <w:i/>
          <w:iCs/>
          <w:color w:val="1F1F1F"/>
          <w:sz w:val="24"/>
          <w:szCs w:val="24"/>
          <w:highlight w:val="white"/>
        </w:rPr>
        <w:t>10</w:t>
      </w:r>
      <w:r w:rsidRPr="00AC7E24">
        <w:rPr>
          <w:rFonts w:ascii="Times New Roman" w:eastAsia="Times New Roman" w:hAnsi="Times New Roman" w:cs="Times New Roman"/>
          <w:color w:val="1F1F1F"/>
          <w:sz w:val="24"/>
          <w:szCs w:val="24"/>
          <w:highlight w:val="white"/>
        </w:rPr>
        <w:t>(1), 3.</w:t>
      </w:r>
    </w:p>
    <w:p w14:paraId="2A01E603" w14:textId="77777777"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Potter, M. R. (2020). Key Issues for a Bill of Rights.</w:t>
      </w:r>
    </w:p>
    <w:p w14:paraId="25E1DB75" w14:textId="2ABF6939"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 xml:space="preserve">Helfer, L. R., </w:t>
      </w:r>
      <w:r>
        <w:rPr>
          <w:rFonts w:ascii="Times New Roman" w:eastAsia="Times New Roman" w:hAnsi="Times New Roman" w:cs="Times New Roman"/>
          <w:color w:val="1F1F1F"/>
          <w:sz w:val="24"/>
          <w:szCs w:val="24"/>
          <w:highlight w:val="white"/>
        </w:rPr>
        <w:t>and</w:t>
      </w:r>
      <w:r w:rsidRPr="00AC7E24">
        <w:rPr>
          <w:rFonts w:ascii="Times New Roman" w:eastAsia="Times New Roman" w:hAnsi="Times New Roman" w:cs="Times New Roman"/>
          <w:color w:val="1F1F1F"/>
          <w:sz w:val="24"/>
          <w:szCs w:val="24"/>
          <w:highlight w:val="white"/>
        </w:rPr>
        <w:t xml:space="preserve"> </w:t>
      </w:r>
      <w:proofErr w:type="spellStart"/>
      <w:r w:rsidRPr="00AC7E24">
        <w:rPr>
          <w:rFonts w:ascii="Times New Roman" w:eastAsia="Times New Roman" w:hAnsi="Times New Roman" w:cs="Times New Roman"/>
          <w:color w:val="1F1F1F"/>
          <w:sz w:val="24"/>
          <w:szCs w:val="24"/>
          <w:highlight w:val="white"/>
        </w:rPr>
        <w:t>Voeten</w:t>
      </w:r>
      <w:proofErr w:type="spellEnd"/>
      <w:r w:rsidRPr="00AC7E24">
        <w:rPr>
          <w:rFonts w:ascii="Times New Roman" w:eastAsia="Times New Roman" w:hAnsi="Times New Roman" w:cs="Times New Roman"/>
          <w:color w:val="1F1F1F"/>
          <w:sz w:val="24"/>
          <w:szCs w:val="24"/>
          <w:highlight w:val="white"/>
        </w:rPr>
        <w:t xml:space="preserve">, E. (2020). Walking Back Human Rights in </w:t>
      </w:r>
      <w:proofErr w:type="gramStart"/>
      <w:r w:rsidRPr="00AC7E24">
        <w:rPr>
          <w:rFonts w:ascii="Times New Roman" w:eastAsia="Times New Roman" w:hAnsi="Times New Roman" w:cs="Times New Roman"/>
          <w:color w:val="1F1F1F"/>
          <w:sz w:val="24"/>
          <w:szCs w:val="24"/>
          <w:highlight w:val="white"/>
        </w:rPr>
        <w:t>Europe?.</w:t>
      </w:r>
      <w:proofErr w:type="gramEnd"/>
      <w:r w:rsidRPr="00AC7E24">
        <w:rPr>
          <w:rFonts w:ascii="Times New Roman" w:eastAsia="Times New Roman" w:hAnsi="Times New Roman" w:cs="Times New Roman"/>
          <w:color w:val="1F1F1F"/>
          <w:sz w:val="24"/>
          <w:szCs w:val="24"/>
          <w:highlight w:val="white"/>
        </w:rPr>
        <w:t> </w:t>
      </w:r>
      <w:r w:rsidRPr="00AC7E24">
        <w:rPr>
          <w:rFonts w:ascii="Times New Roman" w:eastAsia="Times New Roman" w:hAnsi="Times New Roman" w:cs="Times New Roman"/>
          <w:i/>
          <w:iCs/>
          <w:color w:val="1F1F1F"/>
          <w:sz w:val="24"/>
          <w:szCs w:val="24"/>
          <w:highlight w:val="white"/>
        </w:rPr>
        <w:t>European Journal of International Law</w:t>
      </w:r>
      <w:r w:rsidRPr="00AC7E24">
        <w:rPr>
          <w:rFonts w:ascii="Times New Roman" w:eastAsia="Times New Roman" w:hAnsi="Times New Roman" w:cs="Times New Roman"/>
          <w:color w:val="1F1F1F"/>
          <w:sz w:val="24"/>
          <w:szCs w:val="24"/>
          <w:highlight w:val="white"/>
        </w:rPr>
        <w:t>, </w:t>
      </w:r>
      <w:r w:rsidRPr="00AC7E24">
        <w:rPr>
          <w:rFonts w:ascii="Times New Roman" w:eastAsia="Times New Roman" w:hAnsi="Times New Roman" w:cs="Times New Roman"/>
          <w:i/>
          <w:iCs/>
          <w:color w:val="1F1F1F"/>
          <w:sz w:val="24"/>
          <w:szCs w:val="24"/>
          <w:highlight w:val="white"/>
        </w:rPr>
        <w:t>31</w:t>
      </w:r>
      <w:r w:rsidRPr="00AC7E24">
        <w:rPr>
          <w:rFonts w:ascii="Times New Roman" w:eastAsia="Times New Roman" w:hAnsi="Times New Roman" w:cs="Times New Roman"/>
          <w:color w:val="1F1F1F"/>
          <w:sz w:val="24"/>
          <w:szCs w:val="24"/>
          <w:highlight w:val="white"/>
        </w:rPr>
        <w:t>(3), 797-827.</w:t>
      </w:r>
    </w:p>
    <w:p w14:paraId="64ACCD3A" w14:textId="77777777"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Mishra, A. (2019). State-centric approach to human rights: Exploring human obligations. </w:t>
      </w:r>
      <w:r w:rsidRPr="00AC7E24">
        <w:rPr>
          <w:rFonts w:ascii="Times New Roman" w:eastAsia="Times New Roman" w:hAnsi="Times New Roman" w:cs="Times New Roman"/>
          <w:i/>
          <w:iCs/>
          <w:color w:val="1F1F1F"/>
          <w:sz w:val="24"/>
          <w:szCs w:val="24"/>
          <w:highlight w:val="white"/>
        </w:rPr>
        <w:t xml:space="preserve">Revue </w:t>
      </w:r>
      <w:proofErr w:type="spellStart"/>
      <w:r w:rsidRPr="00AC7E24">
        <w:rPr>
          <w:rFonts w:ascii="Times New Roman" w:eastAsia="Times New Roman" w:hAnsi="Times New Roman" w:cs="Times New Roman"/>
          <w:i/>
          <w:iCs/>
          <w:color w:val="1F1F1F"/>
          <w:sz w:val="24"/>
          <w:szCs w:val="24"/>
          <w:highlight w:val="white"/>
        </w:rPr>
        <w:t>québécoise</w:t>
      </w:r>
      <w:proofErr w:type="spellEnd"/>
      <w:r w:rsidRPr="00AC7E24">
        <w:rPr>
          <w:rFonts w:ascii="Times New Roman" w:eastAsia="Times New Roman" w:hAnsi="Times New Roman" w:cs="Times New Roman"/>
          <w:i/>
          <w:iCs/>
          <w:color w:val="1F1F1F"/>
          <w:sz w:val="24"/>
          <w:szCs w:val="24"/>
          <w:highlight w:val="white"/>
        </w:rPr>
        <w:t xml:space="preserve"> de droit international</w:t>
      </w:r>
      <w:r w:rsidRPr="00AC7E24">
        <w:rPr>
          <w:rFonts w:ascii="Times New Roman" w:eastAsia="Times New Roman" w:hAnsi="Times New Roman" w:cs="Times New Roman"/>
          <w:color w:val="1F1F1F"/>
          <w:sz w:val="24"/>
          <w:szCs w:val="24"/>
          <w:highlight w:val="white"/>
        </w:rPr>
        <w:t>, 49-66.</w:t>
      </w:r>
    </w:p>
    <w:p w14:paraId="544A0CFA" w14:textId="5B4AD1B6"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proofErr w:type="spellStart"/>
      <w:r w:rsidRPr="006D2505">
        <w:rPr>
          <w:rFonts w:ascii="Times New Roman" w:eastAsia="Times New Roman" w:hAnsi="Times New Roman" w:cs="Times New Roman"/>
          <w:color w:val="1F1F1F"/>
          <w:sz w:val="24"/>
          <w:szCs w:val="24"/>
          <w:highlight w:val="white"/>
        </w:rPr>
        <w:t>Wettstein</w:t>
      </w:r>
      <w:proofErr w:type="spellEnd"/>
      <w:r w:rsidRPr="006D2505">
        <w:rPr>
          <w:rFonts w:ascii="Times New Roman" w:eastAsia="Times New Roman" w:hAnsi="Times New Roman" w:cs="Times New Roman"/>
          <w:color w:val="1F1F1F"/>
          <w:sz w:val="24"/>
          <w:szCs w:val="24"/>
          <w:highlight w:val="white"/>
        </w:rPr>
        <w:t xml:space="preserve">, F., Giuliani, E., Santangelo, G. D., </w:t>
      </w:r>
      <w:r>
        <w:rPr>
          <w:rFonts w:ascii="Times New Roman" w:eastAsia="Times New Roman" w:hAnsi="Times New Roman" w:cs="Times New Roman"/>
          <w:color w:val="1F1F1F"/>
          <w:sz w:val="24"/>
          <w:szCs w:val="24"/>
          <w:highlight w:val="white"/>
        </w:rPr>
        <w:t>and</w:t>
      </w:r>
      <w:r w:rsidRPr="006D2505">
        <w:rPr>
          <w:rFonts w:ascii="Times New Roman" w:eastAsia="Times New Roman" w:hAnsi="Times New Roman" w:cs="Times New Roman"/>
          <w:color w:val="1F1F1F"/>
          <w:sz w:val="24"/>
          <w:szCs w:val="24"/>
          <w:highlight w:val="white"/>
        </w:rPr>
        <w:t xml:space="preserve"> Stahl, G. K. (2019). International business and human rights: A research agenda. </w:t>
      </w:r>
      <w:r w:rsidRPr="006D2505">
        <w:rPr>
          <w:rFonts w:ascii="Times New Roman" w:eastAsia="Times New Roman" w:hAnsi="Times New Roman" w:cs="Times New Roman"/>
          <w:i/>
          <w:iCs/>
          <w:color w:val="1F1F1F"/>
          <w:sz w:val="24"/>
          <w:szCs w:val="24"/>
          <w:highlight w:val="white"/>
        </w:rPr>
        <w:t>Journal of World Business</w:t>
      </w:r>
      <w:r w:rsidRPr="006D2505">
        <w:rPr>
          <w:rFonts w:ascii="Times New Roman" w:eastAsia="Times New Roman" w:hAnsi="Times New Roman" w:cs="Times New Roman"/>
          <w:color w:val="1F1F1F"/>
          <w:sz w:val="24"/>
          <w:szCs w:val="24"/>
          <w:highlight w:val="white"/>
        </w:rPr>
        <w:t>, </w:t>
      </w:r>
      <w:r w:rsidRPr="006D2505">
        <w:rPr>
          <w:rFonts w:ascii="Times New Roman" w:eastAsia="Times New Roman" w:hAnsi="Times New Roman" w:cs="Times New Roman"/>
          <w:i/>
          <w:iCs/>
          <w:color w:val="1F1F1F"/>
          <w:sz w:val="24"/>
          <w:szCs w:val="24"/>
          <w:highlight w:val="white"/>
        </w:rPr>
        <w:t>54</w:t>
      </w:r>
      <w:r w:rsidRPr="006D2505">
        <w:rPr>
          <w:rFonts w:ascii="Times New Roman" w:eastAsia="Times New Roman" w:hAnsi="Times New Roman" w:cs="Times New Roman"/>
          <w:color w:val="1F1F1F"/>
          <w:sz w:val="24"/>
          <w:szCs w:val="24"/>
          <w:highlight w:val="white"/>
        </w:rPr>
        <w:t>(1), 54-65.</w:t>
      </w:r>
    </w:p>
    <w:p w14:paraId="37E0A3AB" w14:textId="29A119E1" w:rsidR="006D2505" w:rsidRDefault="006D2505" w:rsidP="00AC7E24">
      <w:pPr>
        <w:spacing w:after="240" w:line="480" w:lineRule="auto"/>
        <w:jc w:val="both"/>
        <w:rPr>
          <w:rFonts w:ascii="Times New Roman" w:eastAsia="Times New Roman" w:hAnsi="Times New Roman" w:cs="Times New Roman"/>
          <w:color w:val="1F1F1F"/>
          <w:sz w:val="24"/>
          <w:szCs w:val="24"/>
          <w:highlight w:val="white"/>
        </w:rPr>
      </w:pPr>
      <w:r w:rsidRPr="00AC7E24">
        <w:rPr>
          <w:rFonts w:ascii="Times New Roman" w:eastAsia="Times New Roman" w:hAnsi="Times New Roman" w:cs="Times New Roman"/>
          <w:color w:val="1F1F1F"/>
          <w:sz w:val="24"/>
          <w:szCs w:val="24"/>
          <w:highlight w:val="white"/>
        </w:rPr>
        <w:t>Sánchez-</w:t>
      </w:r>
      <w:proofErr w:type="spellStart"/>
      <w:r w:rsidRPr="00AC7E24">
        <w:rPr>
          <w:rFonts w:ascii="Times New Roman" w:eastAsia="Times New Roman" w:hAnsi="Times New Roman" w:cs="Times New Roman"/>
          <w:color w:val="1F1F1F"/>
          <w:sz w:val="24"/>
          <w:szCs w:val="24"/>
          <w:highlight w:val="white"/>
        </w:rPr>
        <w:t>Monedero</w:t>
      </w:r>
      <w:proofErr w:type="spellEnd"/>
      <w:r w:rsidRPr="00AC7E24">
        <w:rPr>
          <w:rFonts w:ascii="Times New Roman" w:eastAsia="Times New Roman" w:hAnsi="Times New Roman" w:cs="Times New Roman"/>
          <w:color w:val="1F1F1F"/>
          <w:sz w:val="24"/>
          <w:szCs w:val="24"/>
          <w:highlight w:val="white"/>
        </w:rPr>
        <w:t xml:space="preserve">, J., </w:t>
      </w:r>
      <w:proofErr w:type="spellStart"/>
      <w:r w:rsidRPr="00AC7E24">
        <w:rPr>
          <w:rFonts w:ascii="Times New Roman" w:eastAsia="Times New Roman" w:hAnsi="Times New Roman" w:cs="Times New Roman"/>
          <w:color w:val="1F1F1F"/>
          <w:sz w:val="24"/>
          <w:szCs w:val="24"/>
          <w:highlight w:val="white"/>
        </w:rPr>
        <w:t>Dencik</w:t>
      </w:r>
      <w:proofErr w:type="spellEnd"/>
      <w:r w:rsidRPr="00AC7E24">
        <w:rPr>
          <w:rFonts w:ascii="Times New Roman" w:eastAsia="Times New Roman" w:hAnsi="Times New Roman" w:cs="Times New Roman"/>
          <w:color w:val="1F1F1F"/>
          <w:sz w:val="24"/>
          <w:szCs w:val="24"/>
          <w:highlight w:val="white"/>
        </w:rPr>
        <w:t xml:space="preserve">, L., </w:t>
      </w:r>
      <w:r>
        <w:rPr>
          <w:rFonts w:ascii="Times New Roman" w:eastAsia="Times New Roman" w:hAnsi="Times New Roman" w:cs="Times New Roman"/>
          <w:color w:val="1F1F1F"/>
          <w:sz w:val="24"/>
          <w:szCs w:val="24"/>
          <w:highlight w:val="white"/>
        </w:rPr>
        <w:t>and</w:t>
      </w:r>
      <w:r w:rsidRPr="00AC7E24">
        <w:rPr>
          <w:rFonts w:ascii="Times New Roman" w:eastAsia="Times New Roman" w:hAnsi="Times New Roman" w:cs="Times New Roman"/>
          <w:color w:val="1F1F1F"/>
          <w:sz w:val="24"/>
          <w:szCs w:val="24"/>
          <w:highlight w:val="white"/>
        </w:rPr>
        <w:t xml:space="preserve"> Edwards, L. (2020, January). What does it mean </w:t>
      </w:r>
      <w:proofErr w:type="spellStart"/>
      <w:r w:rsidRPr="00AC7E24">
        <w:rPr>
          <w:rFonts w:ascii="Times New Roman" w:eastAsia="Times New Roman" w:hAnsi="Times New Roman" w:cs="Times New Roman"/>
          <w:color w:val="1F1F1F"/>
          <w:sz w:val="24"/>
          <w:szCs w:val="24"/>
          <w:highlight w:val="white"/>
        </w:rPr>
        <w:t>to'solve'the</w:t>
      </w:r>
      <w:proofErr w:type="spellEnd"/>
      <w:r w:rsidRPr="00AC7E24">
        <w:rPr>
          <w:rFonts w:ascii="Times New Roman" w:eastAsia="Times New Roman" w:hAnsi="Times New Roman" w:cs="Times New Roman"/>
          <w:color w:val="1F1F1F"/>
          <w:sz w:val="24"/>
          <w:szCs w:val="24"/>
          <w:highlight w:val="white"/>
        </w:rPr>
        <w:t xml:space="preserve"> problem of discrimination in hiring? Social, technical and legal perspectives from the UK on automated hiring systems. In </w:t>
      </w:r>
      <w:r w:rsidRPr="00AC7E24">
        <w:rPr>
          <w:rFonts w:ascii="Times New Roman" w:eastAsia="Times New Roman" w:hAnsi="Times New Roman" w:cs="Times New Roman"/>
          <w:i/>
          <w:iCs/>
          <w:color w:val="1F1F1F"/>
          <w:sz w:val="24"/>
          <w:szCs w:val="24"/>
          <w:highlight w:val="white"/>
        </w:rPr>
        <w:t>Proceedings of the 2020 conference on fairness, accountability, and transparency</w:t>
      </w:r>
      <w:r w:rsidRPr="00AC7E24">
        <w:rPr>
          <w:rFonts w:ascii="Times New Roman" w:eastAsia="Times New Roman" w:hAnsi="Times New Roman" w:cs="Times New Roman"/>
          <w:color w:val="1F1F1F"/>
          <w:sz w:val="24"/>
          <w:szCs w:val="24"/>
          <w:highlight w:val="white"/>
        </w:rPr>
        <w:t> (pp. 458-468).</w:t>
      </w:r>
    </w:p>
    <w:sectPr w:rsidR="006D2505">
      <w:headerReference w:type="default" r:id="rId8"/>
      <w:footerReference w:type="default" r:id="rId9"/>
      <w:foot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CD93E" w14:textId="77777777" w:rsidR="0033706C" w:rsidRDefault="0033706C">
      <w:pPr>
        <w:spacing w:line="240" w:lineRule="auto"/>
      </w:pPr>
      <w:r>
        <w:separator/>
      </w:r>
    </w:p>
  </w:endnote>
  <w:endnote w:type="continuationSeparator" w:id="0">
    <w:p w14:paraId="43F13EBC" w14:textId="77777777" w:rsidR="0033706C" w:rsidRDefault="003370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0955443"/>
      <w:docPartObj>
        <w:docPartGallery w:val="Page Numbers (Bottom of Page)"/>
        <w:docPartUnique/>
      </w:docPartObj>
    </w:sdtPr>
    <w:sdtContent>
      <w:sdt>
        <w:sdtPr>
          <w:id w:val="859250960"/>
          <w:docPartObj>
            <w:docPartGallery w:val="Page Numbers (Top of Page)"/>
            <w:docPartUnique/>
          </w:docPartObj>
        </w:sdtPr>
        <w:sdtContent>
          <w:p w14:paraId="6101831D" w14:textId="05D21557" w:rsidR="006823FD" w:rsidRDefault="006823F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6C7005E" w14:textId="77777777" w:rsidR="006823FD" w:rsidRDefault="00682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544190"/>
      <w:docPartObj>
        <w:docPartGallery w:val="Page Numbers (Bottom of Page)"/>
        <w:docPartUnique/>
      </w:docPartObj>
    </w:sdtPr>
    <w:sdtContent>
      <w:sdt>
        <w:sdtPr>
          <w:id w:val="-1769616900"/>
          <w:docPartObj>
            <w:docPartGallery w:val="Page Numbers (Top of Page)"/>
            <w:docPartUnique/>
          </w:docPartObj>
        </w:sdtPr>
        <w:sdtContent>
          <w:p w14:paraId="75E0C42B" w14:textId="0DEB6482" w:rsidR="005936D9" w:rsidRDefault="005936D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98A0EB" w14:textId="77777777" w:rsidR="005936D9" w:rsidRDefault="00593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6C84B" w14:textId="77777777" w:rsidR="0033706C" w:rsidRDefault="0033706C">
      <w:pPr>
        <w:spacing w:line="240" w:lineRule="auto"/>
      </w:pPr>
      <w:r>
        <w:separator/>
      </w:r>
    </w:p>
  </w:footnote>
  <w:footnote w:type="continuationSeparator" w:id="0">
    <w:p w14:paraId="0FD20976" w14:textId="77777777" w:rsidR="0033706C" w:rsidRDefault="003370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62DD7" w14:textId="0D553379" w:rsidR="0016423B" w:rsidRDefault="009A2861">
    <w:pPr>
      <w:spacing w:line="480" w:lineRule="auto"/>
      <w:jc w:val="right"/>
      <w:rPr>
        <w:rFonts w:ascii="Times New Roman" w:eastAsia="Times New Roman" w:hAnsi="Times New Roman" w:cs="Times New Roman"/>
        <w:color w:val="1F1F1F"/>
        <w:sz w:val="20"/>
        <w:szCs w:val="20"/>
        <w:highlight w:val="white"/>
      </w:rPr>
    </w:pPr>
    <w:r>
      <w:rPr>
        <w:rFonts w:ascii="Times New Roman" w:eastAsia="Times New Roman" w:hAnsi="Times New Roman" w:cs="Times New Roman"/>
        <w:color w:val="1F1F1F"/>
        <w:sz w:val="20"/>
        <w:szCs w:val="20"/>
      </w:rPr>
      <w:t xml:space="preserve">Law and legal practice </w:t>
    </w:r>
  </w:p>
  <w:p w14:paraId="79994314" w14:textId="77777777" w:rsidR="0016423B" w:rsidRDefault="0016423B">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6B2B"/>
    <w:multiLevelType w:val="hybridMultilevel"/>
    <w:tmpl w:val="5CEC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444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23B"/>
    <w:rsid w:val="0011146C"/>
    <w:rsid w:val="001416B0"/>
    <w:rsid w:val="0016423B"/>
    <w:rsid w:val="001F773F"/>
    <w:rsid w:val="00296294"/>
    <w:rsid w:val="0033706C"/>
    <w:rsid w:val="00420325"/>
    <w:rsid w:val="004755ED"/>
    <w:rsid w:val="00581A29"/>
    <w:rsid w:val="00584E77"/>
    <w:rsid w:val="005936D9"/>
    <w:rsid w:val="005D107F"/>
    <w:rsid w:val="00650CDE"/>
    <w:rsid w:val="006823FD"/>
    <w:rsid w:val="006B39EF"/>
    <w:rsid w:val="006D2505"/>
    <w:rsid w:val="00721640"/>
    <w:rsid w:val="007456E6"/>
    <w:rsid w:val="0075328D"/>
    <w:rsid w:val="00782859"/>
    <w:rsid w:val="007A2CC1"/>
    <w:rsid w:val="008524CD"/>
    <w:rsid w:val="008C26DC"/>
    <w:rsid w:val="008D4020"/>
    <w:rsid w:val="009610A6"/>
    <w:rsid w:val="009A2861"/>
    <w:rsid w:val="00AB7D21"/>
    <w:rsid w:val="00AC7E24"/>
    <w:rsid w:val="00AF3C8D"/>
    <w:rsid w:val="00BB1E0F"/>
    <w:rsid w:val="00BE077F"/>
    <w:rsid w:val="00C63AA9"/>
    <w:rsid w:val="00EB43A4"/>
    <w:rsid w:val="00FB02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293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A43C0"/>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7A43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43C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A43C0"/>
    <w:pPr>
      <w:tabs>
        <w:tab w:val="right" w:pos="9019"/>
      </w:tabs>
      <w:spacing w:after="100" w:line="480" w:lineRule="auto"/>
      <w:jc w:val="both"/>
    </w:pPr>
  </w:style>
  <w:style w:type="character" w:styleId="Hyperlink">
    <w:name w:val="Hyperlink"/>
    <w:basedOn w:val="DefaultParagraphFont"/>
    <w:uiPriority w:val="99"/>
    <w:unhideWhenUsed/>
    <w:rsid w:val="007A43C0"/>
    <w:rPr>
      <w:color w:val="0000FF" w:themeColor="hyperlink"/>
      <w:u w:val="single"/>
    </w:rPr>
  </w:style>
  <w:style w:type="paragraph" w:styleId="Header">
    <w:name w:val="header"/>
    <w:basedOn w:val="Normal"/>
    <w:link w:val="HeaderChar"/>
    <w:uiPriority w:val="99"/>
    <w:unhideWhenUsed/>
    <w:rsid w:val="007A43C0"/>
    <w:pPr>
      <w:tabs>
        <w:tab w:val="center" w:pos="4513"/>
        <w:tab w:val="right" w:pos="9026"/>
      </w:tabs>
      <w:spacing w:line="240" w:lineRule="auto"/>
    </w:pPr>
  </w:style>
  <w:style w:type="character" w:customStyle="1" w:styleId="HeaderChar">
    <w:name w:val="Header Char"/>
    <w:basedOn w:val="DefaultParagraphFont"/>
    <w:link w:val="Header"/>
    <w:uiPriority w:val="99"/>
    <w:rsid w:val="007A43C0"/>
  </w:style>
  <w:style w:type="paragraph" w:styleId="Footer">
    <w:name w:val="footer"/>
    <w:basedOn w:val="Normal"/>
    <w:link w:val="FooterChar"/>
    <w:uiPriority w:val="99"/>
    <w:unhideWhenUsed/>
    <w:rsid w:val="007A43C0"/>
    <w:pPr>
      <w:tabs>
        <w:tab w:val="center" w:pos="4513"/>
        <w:tab w:val="right" w:pos="9026"/>
      </w:tabs>
      <w:spacing w:line="240" w:lineRule="auto"/>
    </w:pPr>
  </w:style>
  <w:style w:type="character" w:customStyle="1" w:styleId="FooterChar">
    <w:name w:val="Footer Char"/>
    <w:basedOn w:val="DefaultParagraphFont"/>
    <w:link w:val="Footer"/>
    <w:uiPriority w:val="99"/>
    <w:rsid w:val="007A43C0"/>
  </w:style>
  <w:style w:type="paragraph" w:styleId="ListParagraph">
    <w:name w:val="List Paragraph"/>
    <w:basedOn w:val="Normal"/>
    <w:uiPriority w:val="34"/>
    <w:qFormat/>
    <w:rsid w:val="002E25BE"/>
    <w:pPr>
      <w:ind w:left="720"/>
      <w:contextualSpacing/>
    </w:p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WGA1uxkDHT7+uCalAbhe5xB5e+Q==">AMUW2mWpTxW27mfW9Usb80FL0SQcP8iAxkxUA6mrxuW6Hx6OELRa3fQHtwipL+ZvrorJpk8ZimE6a3Rd77FTafmKZTYQe3loE6NgLJPaazAX9Gjdb7evenMXubJ2yfLGf/VMrSDXo6CVzGtOSv1g7bRJxmPR6rUddS2kw4iXavCfEnAw3RyQ8q6ToORRcMRNatJGrBqhRXjGuwHDEtcmrPx9wAm/Mg9MLvOZGItTiGFIeOEv3TBBFu8=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1862</Words>
  <Characters>10616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2023-03-09T10:04:00Z</dcterms:created>
  <dcterms:modified xsi:type="dcterms:W3CDTF">2023-03-10T08:44:00Z</dcterms:modified>
</cp:coreProperties>
</file>