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4C3B5" w14:textId="77777777" w:rsidR="00134292" w:rsidRDefault="00134292" w:rsidP="00134292">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rPr>
        <w:t>Essential Academic and Employment Skills</w:t>
      </w:r>
      <w:r>
        <w:rPr>
          <w:rStyle w:val="eop"/>
          <w:rFonts w:ascii="Aptos" w:eastAsiaTheme="majorEastAsia" w:hAnsi="Aptos" w:cs="Segoe UI"/>
        </w:rPr>
        <w:t> </w:t>
      </w:r>
    </w:p>
    <w:p w14:paraId="3794C97A" w14:textId="77777777" w:rsidR="00134292" w:rsidRDefault="00134292" w:rsidP="00134292">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1841141" w14:textId="3296C700" w:rsidR="000522C4" w:rsidRDefault="00134292" w:rsidP="00134292">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This article highlights the essential academic and employment skills that are required to be successful in today’s job market. Academic skills enable individual to have the required learning by undertaking a course or studies in a particular domain, while employment skills ensure you have the required skill and knowledge to operate in a particular field. Together they form a powerful tool to help prepare one for today’s job market.</w:t>
      </w:r>
      <w:r>
        <w:rPr>
          <w:rStyle w:val="eop"/>
          <w:rFonts w:ascii="Aptos" w:eastAsiaTheme="majorEastAsia" w:hAnsi="Aptos" w:cs="Segoe UI"/>
        </w:rPr>
        <w:t> </w:t>
      </w:r>
    </w:p>
    <w:p w14:paraId="34EA31CB" w14:textId="77777777" w:rsidR="00134292" w:rsidRDefault="00134292" w:rsidP="00134292">
      <w:pPr>
        <w:pStyle w:val="paragraph"/>
        <w:spacing w:before="0" w:beforeAutospacing="0" w:after="0" w:afterAutospacing="0"/>
        <w:textAlignment w:val="baseline"/>
        <w:rPr>
          <w:rFonts w:ascii="Segoe UI" w:hAnsi="Segoe UI" w:cs="Segoe UI"/>
          <w:sz w:val="18"/>
          <w:szCs w:val="18"/>
        </w:rPr>
      </w:pPr>
    </w:p>
    <w:p w14:paraId="0DD269D7" w14:textId="261252DB" w:rsidR="00134292" w:rsidRDefault="00134292" w:rsidP="00134292">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Employable skills are normally the skills the basic skills that are needed to get, keep and perform the tasks associated with the job. These skills equip one with the tools that they need to get on with their colleagues, managers or supervisors to help them make informed sound and critical decisions. These skills are generic, unlike occupational or technical skills and cuts across all business </w:t>
      </w:r>
      <w:sdt>
        <w:sdtPr>
          <w:rPr>
            <w:rStyle w:val="eop"/>
            <w:rFonts w:ascii="Aptos" w:eastAsiaTheme="majorEastAsia" w:hAnsi="Aptos" w:cs="Segoe UI"/>
          </w:rPr>
          <w:id w:val="-887946694"/>
          <w:citation/>
        </w:sdtPr>
        <w:sdtContent>
          <w:r w:rsidR="002D4B60">
            <w:rPr>
              <w:rStyle w:val="eop"/>
              <w:rFonts w:ascii="Aptos" w:eastAsiaTheme="majorEastAsia" w:hAnsi="Aptos" w:cs="Segoe UI"/>
            </w:rPr>
            <w:fldChar w:fldCharType="begin"/>
          </w:r>
          <w:r w:rsidR="002D4B60">
            <w:rPr>
              <w:rStyle w:val="eop"/>
              <w:rFonts w:ascii="Aptos" w:eastAsiaTheme="majorEastAsia" w:hAnsi="Aptos" w:cs="Segoe UI"/>
            </w:rPr>
            <w:instrText xml:space="preserve"> CITATION DrJ24 \l 2057 </w:instrText>
          </w:r>
          <w:r w:rsidR="002D4B60">
            <w:rPr>
              <w:rStyle w:val="eop"/>
              <w:rFonts w:ascii="Aptos" w:eastAsiaTheme="majorEastAsia" w:hAnsi="Aptos" w:cs="Segoe UI"/>
            </w:rPr>
            <w:fldChar w:fldCharType="separate"/>
          </w:r>
          <w:r w:rsidR="002D4B60" w:rsidRPr="002D4B60">
            <w:rPr>
              <w:rFonts w:ascii="Aptos" w:eastAsiaTheme="majorEastAsia" w:hAnsi="Aptos" w:cs="Segoe UI"/>
              <w:noProof/>
            </w:rPr>
            <w:t>[1]</w:t>
          </w:r>
          <w:r w:rsidR="002D4B60">
            <w:rPr>
              <w:rStyle w:val="eop"/>
              <w:rFonts w:ascii="Aptos" w:eastAsiaTheme="majorEastAsia" w:hAnsi="Aptos" w:cs="Segoe UI"/>
            </w:rPr>
            <w:fldChar w:fldCharType="end"/>
          </w:r>
        </w:sdtContent>
      </w:sdt>
      <w:r w:rsidR="002D4B60">
        <w:rPr>
          <w:rStyle w:val="eop"/>
          <w:rFonts w:ascii="Aptos" w:eastAsiaTheme="majorEastAsia" w:hAnsi="Aptos" w:cs="Segoe UI"/>
        </w:rPr>
        <w:t>.</w:t>
      </w:r>
    </w:p>
    <w:p w14:paraId="3C88C2EC" w14:textId="77777777" w:rsidR="00966DA7" w:rsidRDefault="00966DA7" w:rsidP="00134292">
      <w:pPr>
        <w:pStyle w:val="paragraph"/>
        <w:spacing w:before="0" w:beforeAutospacing="0" w:after="0" w:afterAutospacing="0"/>
        <w:textAlignment w:val="baseline"/>
        <w:rPr>
          <w:rStyle w:val="eop"/>
          <w:rFonts w:ascii="Aptos" w:eastAsiaTheme="majorEastAsia" w:hAnsi="Aptos" w:cs="Segoe UI"/>
        </w:rPr>
      </w:pPr>
    </w:p>
    <w:p w14:paraId="71B31C7D" w14:textId="2689369C" w:rsidR="000B452F" w:rsidRDefault="00697103">
      <w:r>
        <w:t>There are essential academic skills that are required for me to be successful at my studies. Some of these are:</w:t>
      </w:r>
    </w:p>
    <w:p w14:paraId="5FA2AE31" w14:textId="43F20A68" w:rsidR="00697103" w:rsidRDefault="00697103" w:rsidP="00697103">
      <w:pPr>
        <w:pStyle w:val="ListParagraph"/>
        <w:numPr>
          <w:ilvl w:val="0"/>
          <w:numId w:val="5"/>
        </w:numPr>
      </w:pPr>
      <w:r w:rsidRPr="00697103">
        <w:rPr>
          <w:b/>
          <w:bCs/>
        </w:rPr>
        <w:t>Communication Skills</w:t>
      </w:r>
      <w:r>
        <w:t xml:space="preserve"> – Communication skills is very instrumental to my studies as I will be required to be able to communicate orally and in writing. This could take the form of a group discussion or assignment, participation in class, </w:t>
      </w:r>
      <w:r w:rsidR="00402890">
        <w:t>and being to share what I have learnt throughout the entire course clearly.</w:t>
      </w:r>
    </w:p>
    <w:p w14:paraId="0C45F4E3" w14:textId="637DE03A" w:rsidR="00697103" w:rsidRDefault="00697103" w:rsidP="00697103">
      <w:pPr>
        <w:pStyle w:val="ListParagraph"/>
        <w:numPr>
          <w:ilvl w:val="0"/>
          <w:numId w:val="5"/>
        </w:numPr>
      </w:pPr>
      <w:r w:rsidRPr="00697103">
        <w:rPr>
          <w:b/>
          <w:bCs/>
        </w:rPr>
        <w:t>Research Skills</w:t>
      </w:r>
      <w:r>
        <w:t xml:space="preserve"> </w:t>
      </w:r>
      <w:r w:rsidR="00402890">
        <w:t>–</w:t>
      </w:r>
      <w:r>
        <w:t xml:space="preserve"> </w:t>
      </w:r>
      <w:r w:rsidR="00402890">
        <w:t>This involves the ability to bale to to find materials and sources that are relevant to my course and analysing them to support whatever article or assignment I’m working on.</w:t>
      </w:r>
    </w:p>
    <w:p w14:paraId="5096FF9C" w14:textId="108B8C3C" w:rsidR="00402890" w:rsidRDefault="00402890" w:rsidP="00697103">
      <w:pPr>
        <w:pStyle w:val="ListParagraph"/>
        <w:numPr>
          <w:ilvl w:val="0"/>
          <w:numId w:val="5"/>
        </w:numPr>
      </w:pPr>
      <w:r>
        <w:rPr>
          <w:b/>
          <w:bCs/>
        </w:rPr>
        <w:t xml:space="preserve">Organisational Skills </w:t>
      </w:r>
      <w:r>
        <w:t>– Time management is an essential tool that I need to be successful in my studies. This will include, completing assignments and submitting them on time and studying at the same time.</w:t>
      </w:r>
    </w:p>
    <w:p w14:paraId="7849CB6E" w14:textId="6AD862C0" w:rsidR="00402890" w:rsidRDefault="0038507D" w:rsidP="00697103">
      <w:pPr>
        <w:pStyle w:val="ListParagraph"/>
        <w:numPr>
          <w:ilvl w:val="0"/>
          <w:numId w:val="5"/>
        </w:numPr>
      </w:pPr>
      <w:r>
        <w:rPr>
          <w:b/>
          <w:bCs/>
        </w:rPr>
        <w:t>Critical</w:t>
      </w:r>
      <w:r w:rsidR="00402890">
        <w:rPr>
          <w:b/>
          <w:bCs/>
        </w:rPr>
        <w:t xml:space="preserve"> Thinking Skills </w:t>
      </w:r>
      <w:r w:rsidR="00402890">
        <w:t>– The ability to able to analyse and critique to form an opinion if it’s logical, valid or reliable</w:t>
      </w:r>
      <w:r w:rsidR="002D4B60">
        <w:t xml:space="preserve"> </w:t>
      </w:r>
      <w:sdt>
        <w:sdtPr>
          <w:id w:val="-1269240954"/>
          <w:citation/>
        </w:sdtPr>
        <w:sdtContent>
          <w:r w:rsidR="002D4B60">
            <w:fldChar w:fldCharType="begin"/>
          </w:r>
          <w:r w:rsidR="002D4B60">
            <w:instrText xml:space="preserve"> CITATION Jul22 \l 2057 </w:instrText>
          </w:r>
          <w:r w:rsidR="002D4B60">
            <w:fldChar w:fldCharType="separate"/>
          </w:r>
          <w:r w:rsidR="002D4B60" w:rsidRPr="002D4B60">
            <w:rPr>
              <w:noProof/>
            </w:rPr>
            <w:t>[2]</w:t>
          </w:r>
          <w:r w:rsidR="002D4B60">
            <w:fldChar w:fldCharType="end"/>
          </w:r>
        </w:sdtContent>
      </w:sdt>
      <w:r w:rsidR="00402890">
        <w:t>.</w:t>
      </w:r>
    </w:p>
    <w:p w14:paraId="3F29D1F9" w14:textId="4153CAB6" w:rsidR="00135525" w:rsidRDefault="00135525" w:rsidP="0038507D">
      <w:r>
        <w:t>After my studies, the employable skills that I will need for my future</w:t>
      </w:r>
      <w:r w:rsidR="000522C4">
        <w:t xml:space="preserve"> is, technical skills in my field of work, Team working which enables me to integrate and work with other colleagues in order to complete a specific task, problem solving which involves the ability to brainstorm, thinking outside the box to find solutions and being able to communicate effectively</w:t>
      </w:r>
      <w:r w:rsidR="002D4B60">
        <w:t xml:space="preserve"> </w:t>
      </w:r>
      <w:sdt>
        <w:sdtPr>
          <w:id w:val="2087252003"/>
          <w:citation/>
        </w:sdtPr>
        <w:sdtContent>
          <w:r w:rsidR="002D4B60">
            <w:fldChar w:fldCharType="begin"/>
          </w:r>
          <w:r w:rsidR="002D4B60">
            <w:instrText xml:space="preserve"> CITATION Nur20 \l 2057 </w:instrText>
          </w:r>
          <w:r w:rsidR="002D4B60">
            <w:fldChar w:fldCharType="separate"/>
          </w:r>
          <w:r w:rsidR="002D4B60" w:rsidRPr="002D4B60">
            <w:rPr>
              <w:noProof/>
            </w:rPr>
            <w:t>[3]</w:t>
          </w:r>
          <w:r w:rsidR="002D4B60">
            <w:fldChar w:fldCharType="end"/>
          </w:r>
        </w:sdtContent>
      </w:sdt>
      <w:r w:rsidR="000522C4">
        <w:t>.</w:t>
      </w:r>
    </w:p>
    <w:p w14:paraId="28A37916" w14:textId="77777777" w:rsidR="002D4B60" w:rsidRDefault="002D4B60" w:rsidP="0038507D"/>
    <w:p w14:paraId="350C10FE" w14:textId="77777777" w:rsidR="002D4B60" w:rsidRDefault="002D4B60" w:rsidP="0038507D"/>
    <w:p w14:paraId="074776B9" w14:textId="77777777" w:rsidR="002D4B60" w:rsidRDefault="002D4B60" w:rsidP="0038507D"/>
    <w:p w14:paraId="7C264C99" w14:textId="77777777" w:rsidR="002D4B60" w:rsidRDefault="002D4B60" w:rsidP="0038507D"/>
    <w:p w14:paraId="3D6BFA2F" w14:textId="77777777" w:rsidR="002D4B60" w:rsidRDefault="002D4B60" w:rsidP="0038507D"/>
    <w:sdt>
      <w:sdtPr>
        <w:id w:val="-1812865306"/>
        <w:docPartObj>
          <w:docPartGallery w:val="Bibliographies"/>
          <w:docPartUnique/>
        </w:docPartObj>
      </w:sdtPr>
      <w:sdtEndPr>
        <w:rPr>
          <w:rFonts w:asciiTheme="minorHAnsi" w:eastAsiaTheme="minorHAnsi" w:hAnsiTheme="minorHAnsi" w:cstheme="minorBidi"/>
          <w:color w:val="auto"/>
          <w:sz w:val="24"/>
          <w:szCs w:val="24"/>
        </w:rPr>
      </w:sdtEndPr>
      <w:sdtContent>
        <w:p w14:paraId="4BDEE72C" w14:textId="4546D8D3" w:rsidR="002D4B60" w:rsidRDefault="002D4B60">
          <w:pPr>
            <w:pStyle w:val="Heading1"/>
          </w:pPr>
          <w:r>
            <w:t>References</w:t>
          </w:r>
        </w:p>
        <w:tbl>
          <w:tblPr>
            <w:tblpPr w:leftFromText="180" w:rightFromText="180" w:vertAnchor="text" w:horzAnchor="margin" w:tblpXSpec="center" w:tblpY="376"/>
            <w:tblW w:w="6177" w:type="pct"/>
            <w:tblCellSpacing w:w="15" w:type="dxa"/>
            <w:tblCellMar>
              <w:top w:w="15" w:type="dxa"/>
              <w:left w:w="15" w:type="dxa"/>
              <w:bottom w:w="15" w:type="dxa"/>
              <w:right w:w="15" w:type="dxa"/>
            </w:tblCellMar>
            <w:tblLook w:val="04A0" w:firstRow="1" w:lastRow="0" w:firstColumn="1" w:lastColumn="0" w:noHBand="0" w:noVBand="1"/>
          </w:tblPr>
          <w:tblGrid>
            <w:gridCol w:w="345"/>
            <w:gridCol w:w="10806"/>
          </w:tblGrid>
          <w:tr w:rsidR="00E731D1" w14:paraId="6EDDA5FC" w14:textId="77777777" w:rsidTr="00E731D1">
            <w:trPr>
              <w:trHeight w:val="1223"/>
              <w:tblCellSpacing w:w="15" w:type="dxa"/>
            </w:trPr>
            <w:tc>
              <w:tcPr>
                <w:tcW w:w="135" w:type="pct"/>
                <w:hideMark/>
              </w:tcPr>
              <w:p w14:paraId="75E6820F" w14:textId="77777777" w:rsidR="00E731D1" w:rsidRDefault="00E731D1" w:rsidP="00E731D1">
                <w:pPr>
                  <w:pStyle w:val="Bibliography"/>
                  <w:rPr>
                    <w:noProof/>
                    <w:kern w:val="0"/>
                    <w14:ligatures w14:val="none"/>
                  </w:rPr>
                </w:pPr>
                <w:r>
                  <w:rPr>
                    <w:noProof/>
                  </w:rPr>
                  <w:t xml:space="preserve">[1] </w:t>
                </w:r>
              </w:p>
            </w:tc>
            <w:tc>
              <w:tcPr>
                <w:tcW w:w="0" w:type="auto"/>
                <w:hideMark/>
              </w:tcPr>
              <w:p w14:paraId="27186B6B" w14:textId="77777777" w:rsidR="00E731D1" w:rsidRDefault="00E731D1" w:rsidP="00E731D1">
                <w:pPr>
                  <w:pStyle w:val="Bibliography"/>
                  <w:rPr>
                    <w:noProof/>
                  </w:rPr>
                </w:pPr>
                <w:r>
                  <w:rPr>
                    <w:noProof/>
                  </w:rPr>
                  <w:t>D. J. d. Henau, “University of Oxford,” October 2024. [Online]. Available: https://www.ctl.ox.ac.uk/sites/default/files/ctl/documents/media/academic_skills_literature_review.pdf. [Accessed 26 Feb 2026].</w:t>
                </w:r>
              </w:p>
            </w:tc>
          </w:tr>
          <w:tr w:rsidR="00E731D1" w14:paraId="2C8E4922" w14:textId="77777777" w:rsidTr="00E731D1">
            <w:trPr>
              <w:trHeight w:val="851"/>
              <w:tblCellSpacing w:w="15" w:type="dxa"/>
            </w:trPr>
            <w:tc>
              <w:tcPr>
                <w:tcW w:w="135" w:type="pct"/>
                <w:hideMark/>
              </w:tcPr>
              <w:p w14:paraId="4835A4A4" w14:textId="77777777" w:rsidR="00E731D1" w:rsidRDefault="00E731D1" w:rsidP="00E731D1">
                <w:pPr>
                  <w:pStyle w:val="Bibliography"/>
                  <w:rPr>
                    <w:noProof/>
                  </w:rPr>
                </w:pPr>
                <w:r>
                  <w:rPr>
                    <w:noProof/>
                  </w:rPr>
                  <w:t xml:space="preserve">[2] </w:t>
                </w:r>
              </w:p>
            </w:tc>
            <w:tc>
              <w:tcPr>
                <w:tcW w:w="0" w:type="auto"/>
                <w:hideMark/>
              </w:tcPr>
              <w:p w14:paraId="4CF9F73A" w14:textId="77777777" w:rsidR="00E731D1" w:rsidRDefault="00E731D1" w:rsidP="00E731D1">
                <w:pPr>
                  <w:pStyle w:val="Bibliography"/>
                  <w:rPr>
                    <w:noProof/>
                  </w:rPr>
                </w:pPr>
                <w:r>
                  <w:rPr>
                    <w:noProof/>
                  </w:rPr>
                  <w:t>Julie Nelson; Sharon O'Donnell; Elizabeth Davies; Jude Hillary, “Eric,” March 2022. [Online]. Available: https://eric.ed.gov/?id=ED619280. [Accessed 26 Feb 2026].</w:t>
                </w:r>
              </w:p>
            </w:tc>
          </w:tr>
          <w:tr w:rsidR="00E731D1" w14:paraId="746F19DE" w14:textId="77777777" w:rsidTr="00E731D1">
            <w:trPr>
              <w:trHeight w:val="1579"/>
              <w:tblCellSpacing w:w="15" w:type="dxa"/>
            </w:trPr>
            <w:tc>
              <w:tcPr>
                <w:tcW w:w="135" w:type="pct"/>
                <w:hideMark/>
              </w:tcPr>
              <w:p w14:paraId="699867C1" w14:textId="77777777" w:rsidR="00E731D1" w:rsidRDefault="00E731D1" w:rsidP="00E731D1">
                <w:pPr>
                  <w:pStyle w:val="Bibliography"/>
                  <w:rPr>
                    <w:noProof/>
                  </w:rPr>
                </w:pPr>
                <w:r>
                  <w:rPr>
                    <w:noProof/>
                  </w:rPr>
                  <w:t xml:space="preserve">[3] </w:t>
                </w:r>
              </w:p>
            </w:tc>
            <w:tc>
              <w:tcPr>
                <w:tcW w:w="0" w:type="auto"/>
                <w:hideMark/>
              </w:tcPr>
              <w:p w14:paraId="16D13F1E" w14:textId="77777777" w:rsidR="00E731D1" w:rsidRDefault="00E731D1" w:rsidP="00E731D1">
                <w:pPr>
                  <w:pStyle w:val="Bibliography"/>
                  <w:rPr>
                    <w:noProof/>
                  </w:rPr>
                </w:pPr>
                <w:r>
                  <w:rPr>
                    <w:noProof/>
                  </w:rPr>
                  <w:t>Nuryake Fajaryati, Budiyono , Muhammad Akhyar and Wiranto, “degruyter brill,” 02 July 2020. [Online]. Available: https://www.degruyterbrill.com/document/doi/10.1515/eng-2020-0072/html. [Accessed 26 Feb 2026].</w:t>
                </w:r>
              </w:p>
            </w:tc>
          </w:tr>
        </w:tbl>
        <w:sdt>
          <w:sdtPr>
            <w:id w:val="-573587230"/>
            <w:bibliography/>
          </w:sdtPr>
          <w:sdtContent>
            <w:p w14:paraId="0C5834D8" w14:textId="77777777" w:rsidR="002D4B60" w:rsidRDefault="002D4B60">
              <w:pPr>
                <w:rPr>
                  <w:noProof/>
                </w:rPr>
              </w:pPr>
              <w:r>
                <w:fldChar w:fldCharType="begin"/>
              </w:r>
              <w:r>
                <w:instrText xml:space="preserve"> BIBLIOGRAPHY </w:instrText>
              </w:r>
              <w:r>
                <w:fldChar w:fldCharType="separate"/>
              </w:r>
            </w:p>
            <w:p w14:paraId="33B57A13" w14:textId="77777777" w:rsidR="002D4B60" w:rsidRDefault="002D4B60">
              <w:pPr>
                <w:divId w:val="1062755053"/>
                <w:rPr>
                  <w:rFonts w:eastAsia="Times New Roman"/>
                  <w:noProof/>
                </w:rPr>
              </w:pPr>
            </w:p>
            <w:p w14:paraId="4157607F" w14:textId="487B8269" w:rsidR="002D4B60" w:rsidRDefault="002D4B60">
              <w:r>
                <w:rPr>
                  <w:b/>
                  <w:bCs/>
                  <w:noProof/>
                </w:rPr>
                <w:fldChar w:fldCharType="end"/>
              </w:r>
            </w:p>
          </w:sdtContent>
        </w:sdt>
      </w:sdtContent>
    </w:sdt>
    <w:p w14:paraId="59F1BF54" w14:textId="0920D6D9" w:rsidR="002D4B60" w:rsidRDefault="002D4B60" w:rsidP="0038507D"/>
    <w:p w14:paraId="51DBE6FD" w14:textId="77777777" w:rsidR="002D4B60" w:rsidRDefault="002D4B60" w:rsidP="0038507D"/>
    <w:p w14:paraId="620DCBD7" w14:textId="77777777" w:rsidR="0038507D" w:rsidRDefault="0038507D" w:rsidP="0038507D"/>
    <w:p w14:paraId="6537DF5A" w14:textId="4C9FF662" w:rsidR="00402890" w:rsidRDefault="00402890" w:rsidP="00402890">
      <w:pPr>
        <w:ind w:left="360"/>
      </w:pPr>
    </w:p>
    <w:sectPr w:rsidR="004028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B69CC"/>
    <w:multiLevelType w:val="multilevel"/>
    <w:tmpl w:val="27DA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BD744A"/>
    <w:multiLevelType w:val="multilevel"/>
    <w:tmpl w:val="283E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48495E"/>
    <w:multiLevelType w:val="multilevel"/>
    <w:tmpl w:val="DBC4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F961662"/>
    <w:multiLevelType w:val="hybridMultilevel"/>
    <w:tmpl w:val="CD782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02FB6"/>
    <w:multiLevelType w:val="hybridMultilevel"/>
    <w:tmpl w:val="3464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535211">
    <w:abstractNumId w:val="0"/>
  </w:num>
  <w:num w:numId="2" w16cid:durableId="352877806">
    <w:abstractNumId w:val="2"/>
  </w:num>
  <w:num w:numId="3" w16cid:durableId="618680644">
    <w:abstractNumId w:val="1"/>
  </w:num>
  <w:num w:numId="4" w16cid:durableId="2026134373">
    <w:abstractNumId w:val="4"/>
  </w:num>
  <w:num w:numId="5" w16cid:durableId="1973898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292"/>
    <w:rsid w:val="000522C4"/>
    <w:rsid w:val="000B452F"/>
    <w:rsid w:val="00105BCE"/>
    <w:rsid w:val="00134292"/>
    <w:rsid w:val="00135525"/>
    <w:rsid w:val="00173E1C"/>
    <w:rsid w:val="002D4B60"/>
    <w:rsid w:val="0038507D"/>
    <w:rsid w:val="00402890"/>
    <w:rsid w:val="00697103"/>
    <w:rsid w:val="00856B70"/>
    <w:rsid w:val="00966DA7"/>
    <w:rsid w:val="00E23458"/>
    <w:rsid w:val="00E73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9E2C"/>
  <w15:chartTrackingRefBased/>
  <w15:docId w15:val="{303836D6-382B-41E6-A88C-CC7BDB2D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4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4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4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292"/>
    <w:rPr>
      <w:rFonts w:eastAsiaTheme="majorEastAsia" w:cstheme="majorBidi"/>
      <w:color w:val="272727" w:themeColor="text1" w:themeTint="D8"/>
    </w:rPr>
  </w:style>
  <w:style w:type="paragraph" w:styleId="Title">
    <w:name w:val="Title"/>
    <w:basedOn w:val="Normal"/>
    <w:next w:val="Normal"/>
    <w:link w:val="TitleChar"/>
    <w:uiPriority w:val="10"/>
    <w:qFormat/>
    <w:rsid w:val="00134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292"/>
    <w:pPr>
      <w:spacing w:before="160"/>
      <w:jc w:val="center"/>
    </w:pPr>
    <w:rPr>
      <w:i/>
      <w:iCs/>
      <w:color w:val="404040" w:themeColor="text1" w:themeTint="BF"/>
    </w:rPr>
  </w:style>
  <w:style w:type="character" w:customStyle="1" w:styleId="QuoteChar">
    <w:name w:val="Quote Char"/>
    <w:basedOn w:val="DefaultParagraphFont"/>
    <w:link w:val="Quote"/>
    <w:uiPriority w:val="29"/>
    <w:rsid w:val="00134292"/>
    <w:rPr>
      <w:i/>
      <w:iCs/>
      <w:color w:val="404040" w:themeColor="text1" w:themeTint="BF"/>
    </w:rPr>
  </w:style>
  <w:style w:type="paragraph" w:styleId="ListParagraph">
    <w:name w:val="List Paragraph"/>
    <w:basedOn w:val="Normal"/>
    <w:uiPriority w:val="34"/>
    <w:qFormat/>
    <w:rsid w:val="00134292"/>
    <w:pPr>
      <w:ind w:left="720"/>
      <w:contextualSpacing/>
    </w:pPr>
  </w:style>
  <w:style w:type="character" w:styleId="IntenseEmphasis">
    <w:name w:val="Intense Emphasis"/>
    <w:basedOn w:val="DefaultParagraphFont"/>
    <w:uiPriority w:val="21"/>
    <w:qFormat/>
    <w:rsid w:val="00134292"/>
    <w:rPr>
      <w:i/>
      <w:iCs/>
      <w:color w:val="0F4761" w:themeColor="accent1" w:themeShade="BF"/>
    </w:rPr>
  </w:style>
  <w:style w:type="paragraph" w:styleId="IntenseQuote">
    <w:name w:val="Intense Quote"/>
    <w:basedOn w:val="Normal"/>
    <w:next w:val="Normal"/>
    <w:link w:val="IntenseQuoteChar"/>
    <w:uiPriority w:val="30"/>
    <w:qFormat/>
    <w:rsid w:val="00134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292"/>
    <w:rPr>
      <w:i/>
      <w:iCs/>
      <w:color w:val="0F4761" w:themeColor="accent1" w:themeShade="BF"/>
    </w:rPr>
  </w:style>
  <w:style w:type="character" w:styleId="IntenseReference">
    <w:name w:val="Intense Reference"/>
    <w:basedOn w:val="DefaultParagraphFont"/>
    <w:uiPriority w:val="32"/>
    <w:qFormat/>
    <w:rsid w:val="00134292"/>
    <w:rPr>
      <w:b/>
      <w:bCs/>
      <w:smallCaps/>
      <w:color w:val="0F4761" w:themeColor="accent1" w:themeShade="BF"/>
      <w:spacing w:val="5"/>
    </w:rPr>
  </w:style>
  <w:style w:type="paragraph" w:customStyle="1" w:styleId="paragraph">
    <w:name w:val="paragraph"/>
    <w:basedOn w:val="Normal"/>
    <w:rsid w:val="001342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34292"/>
  </w:style>
  <w:style w:type="character" w:customStyle="1" w:styleId="eop">
    <w:name w:val="eop"/>
    <w:basedOn w:val="DefaultParagraphFont"/>
    <w:rsid w:val="00134292"/>
  </w:style>
  <w:style w:type="paragraph" w:styleId="Bibliography">
    <w:name w:val="Bibliography"/>
    <w:basedOn w:val="Normal"/>
    <w:next w:val="Normal"/>
    <w:uiPriority w:val="37"/>
    <w:unhideWhenUsed/>
    <w:rsid w:val="002D4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2168">
      <w:bodyDiv w:val="1"/>
      <w:marLeft w:val="0"/>
      <w:marRight w:val="0"/>
      <w:marTop w:val="0"/>
      <w:marBottom w:val="0"/>
      <w:divBdr>
        <w:top w:val="none" w:sz="0" w:space="0" w:color="auto"/>
        <w:left w:val="none" w:sz="0" w:space="0" w:color="auto"/>
        <w:bottom w:val="none" w:sz="0" w:space="0" w:color="auto"/>
        <w:right w:val="none" w:sz="0" w:space="0" w:color="auto"/>
      </w:divBdr>
    </w:div>
    <w:div w:id="941492967">
      <w:bodyDiv w:val="1"/>
      <w:marLeft w:val="0"/>
      <w:marRight w:val="0"/>
      <w:marTop w:val="0"/>
      <w:marBottom w:val="0"/>
      <w:divBdr>
        <w:top w:val="none" w:sz="0" w:space="0" w:color="auto"/>
        <w:left w:val="none" w:sz="0" w:space="0" w:color="auto"/>
        <w:bottom w:val="none" w:sz="0" w:space="0" w:color="auto"/>
        <w:right w:val="none" w:sz="0" w:space="0" w:color="auto"/>
      </w:divBdr>
    </w:div>
    <w:div w:id="961688851">
      <w:bodyDiv w:val="1"/>
      <w:marLeft w:val="0"/>
      <w:marRight w:val="0"/>
      <w:marTop w:val="0"/>
      <w:marBottom w:val="0"/>
      <w:divBdr>
        <w:top w:val="none" w:sz="0" w:space="0" w:color="auto"/>
        <w:left w:val="none" w:sz="0" w:space="0" w:color="auto"/>
        <w:bottom w:val="none" w:sz="0" w:space="0" w:color="auto"/>
        <w:right w:val="none" w:sz="0" w:space="0" w:color="auto"/>
      </w:divBdr>
    </w:div>
    <w:div w:id="1062755053">
      <w:bodyDiv w:val="1"/>
      <w:marLeft w:val="0"/>
      <w:marRight w:val="0"/>
      <w:marTop w:val="0"/>
      <w:marBottom w:val="0"/>
      <w:divBdr>
        <w:top w:val="none" w:sz="0" w:space="0" w:color="auto"/>
        <w:left w:val="none" w:sz="0" w:space="0" w:color="auto"/>
        <w:bottom w:val="none" w:sz="0" w:space="0" w:color="auto"/>
        <w:right w:val="none" w:sz="0" w:space="0" w:color="auto"/>
      </w:divBdr>
    </w:div>
    <w:div w:id="1110512287">
      <w:bodyDiv w:val="1"/>
      <w:marLeft w:val="0"/>
      <w:marRight w:val="0"/>
      <w:marTop w:val="0"/>
      <w:marBottom w:val="0"/>
      <w:divBdr>
        <w:top w:val="none" w:sz="0" w:space="0" w:color="auto"/>
        <w:left w:val="none" w:sz="0" w:space="0" w:color="auto"/>
        <w:bottom w:val="none" w:sz="0" w:space="0" w:color="auto"/>
        <w:right w:val="none" w:sz="0" w:space="0" w:color="auto"/>
      </w:divBdr>
    </w:div>
    <w:div w:id="1204244285">
      <w:bodyDiv w:val="1"/>
      <w:marLeft w:val="0"/>
      <w:marRight w:val="0"/>
      <w:marTop w:val="0"/>
      <w:marBottom w:val="0"/>
      <w:divBdr>
        <w:top w:val="none" w:sz="0" w:space="0" w:color="auto"/>
        <w:left w:val="none" w:sz="0" w:space="0" w:color="auto"/>
        <w:bottom w:val="none" w:sz="0" w:space="0" w:color="auto"/>
        <w:right w:val="none" w:sz="0" w:space="0" w:color="auto"/>
      </w:divBdr>
    </w:div>
    <w:div w:id="1729692793">
      <w:bodyDiv w:val="1"/>
      <w:marLeft w:val="0"/>
      <w:marRight w:val="0"/>
      <w:marTop w:val="0"/>
      <w:marBottom w:val="0"/>
      <w:divBdr>
        <w:top w:val="none" w:sz="0" w:space="0" w:color="auto"/>
        <w:left w:val="none" w:sz="0" w:space="0" w:color="auto"/>
        <w:bottom w:val="none" w:sz="0" w:space="0" w:color="auto"/>
        <w:right w:val="none" w:sz="0" w:space="0" w:color="auto"/>
      </w:divBdr>
      <w:divsChild>
        <w:div w:id="776294281">
          <w:marLeft w:val="0"/>
          <w:marRight w:val="0"/>
          <w:marTop w:val="0"/>
          <w:marBottom w:val="0"/>
          <w:divBdr>
            <w:top w:val="none" w:sz="0" w:space="0" w:color="auto"/>
            <w:left w:val="none" w:sz="0" w:space="0" w:color="auto"/>
            <w:bottom w:val="none" w:sz="0" w:space="0" w:color="auto"/>
            <w:right w:val="none" w:sz="0" w:space="0" w:color="auto"/>
          </w:divBdr>
        </w:div>
        <w:div w:id="1211922604">
          <w:marLeft w:val="0"/>
          <w:marRight w:val="0"/>
          <w:marTop w:val="0"/>
          <w:marBottom w:val="0"/>
          <w:divBdr>
            <w:top w:val="none" w:sz="0" w:space="0" w:color="auto"/>
            <w:left w:val="none" w:sz="0" w:space="0" w:color="auto"/>
            <w:bottom w:val="none" w:sz="0" w:space="0" w:color="auto"/>
            <w:right w:val="none" w:sz="0" w:space="0" w:color="auto"/>
          </w:divBdr>
        </w:div>
        <w:div w:id="2031253919">
          <w:marLeft w:val="0"/>
          <w:marRight w:val="0"/>
          <w:marTop w:val="0"/>
          <w:marBottom w:val="0"/>
          <w:divBdr>
            <w:top w:val="none" w:sz="0" w:space="0" w:color="auto"/>
            <w:left w:val="none" w:sz="0" w:space="0" w:color="auto"/>
            <w:bottom w:val="none" w:sz="0" w:space="0" w:color="auto"/>
            <w:right w:val="none" w:sz="0" w:space="0" w:color="auto"/>
          </w:divBdr>
        </w:div>
        <w:div w:id="1774932736">
          <w:marLeft w:val="0"/>
          <w:marRight w:val="0"/>
          <w:marTop w:val="0"/>
          <w:marBottom w:val="0"/>
          <w:divBdr>
            <w:top w:val="none" w:sz="0" w:space="0" w:color="auto"/>
            <w:left w:val="none" w:sz="0" w:space="0" w:color="auto"/>
            <w:bottom w:val="none" w:sz="0" w:space="0" w:color="auto"/>
            <w:right w:val="none" w:sz="0" w:space="0" w:color="auto"/>
          </w:divBdr>
        </w:div>
        <w:div w:id="1333683778">
          <w:marLeft w:val="0"/>
          <w:marRight w:val="0"/>
          <w:marTop w:val="0"/>
          <w:marBottom w:val="0"/>
          <w:divBdr>
            <w:top w:val="none" w:sz="0" w:space="0" w:color="auto"/>
            <w:left w:val="none" w:sz="0" w:space="0" w:color="auto"/>
            <w:bottom w:val="none" w:sz="0" w:space="0" w:color="auto"/>
            <w:right w:val="none" w:sz="0" w:space="0" w:color="auto"/>
          </w:divBdr>
        </w:div>
        <w:div w:id="1144539844">
          <w:marLeft w:val="0"/>
          <w:marRight w:val="0"/>
          <w:marTop w:val="0"/>
          <w:marBottom w:val="0"/>
          <w:divBdr>
            <w:top w:val="none" w:sz="0" w:space="0" w:color="auto"/>
            <w:left w:val="none" w:sz="0" w:space="0" w:color="auto"/>
            <w:bottom w:val="none" w:sz="0" w:space="0" w:color="auto"/>
            <w:right w:val="none" w:sz="0" w:space="0" w:color="auto"/>
          </w:divBdr>
        </w:div>
        <w:div w:id="330761849">
          <w:marLeft w:val="0"/>
          <w:marRight w:val="0"/>
          <w:marTop w:val="0"/>
          <w:marBottom w:val="0"/>
          <w:divBdr>
            <w:top w:val="none" w:sz="0" w:space="0" w:color="auto"/>
            <w:left w:val="none" w:sz="0" w:space="0" w:color="auto"/>
            <w:bottom w:val="none" w:sz="0" w:space="0" w:color="auto"/>
            <w:right w:val="none" w:sz="0" w:space="0" w:color="auto"/>
          </w:divBdr>
        </w:div>
        <w:div w:id="1796172969">
          <w:marLeft w:val="0"/>
          <w:marRight w:val="0"/>
          <w:marTop w:val="0"/>
          <w:marBottom w:val="0"/>
          <w:divBdr>
            <w:top w:val="none" w:sz="0" w:space="0" w:color="auto"/>
            <w:left w:val="none" w:sz="0" w:space="0" w:color="auto"/>
            <w:bottom w:val="none" w:sz="0" w:space="0" w:color="auto"/>
            <w:right w:val="none" w:sz="0" w:space="0" w:color="auto"/>
          </w:divBdr>
        </w:div>
        <w:div w:id="916984891">
          <w:marLeft w:val="0"/>
          <w:marRight w:val="0"/>
          <w:marTop w:val="0"/>
          <w:marBottom w:val="0"/>
          <w:divBdr>
            <w:top w:val="none" w:sz="0" w:space="0" w:color="auto"/>
            <w:left w:val="none" w:sz="0" w:space="0" w:color="auto"/>
            <w:bottom w:val="none" w:sz="0" w:space="0" w:color="auto"/>
            <w:right w:val="none" w:sz="0" w:space="0" w:color="auto"/>
          </w:divBdr>
        </w:div>
        <w:div w:id="962658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Nur20</b:Tag>
    <b:SourceType>DocumentFromInternetSite</b:SourceType>
    <b:Guid>{0642ADA0-88F8-4906-AB71-7E2D7C197F72}</b:Guid>
    <b:Title>degruyter brill</b:Title>
    <b:Year>2020</b:Year>
    <b:Month>July</b:Month>
    <b:Day>02</b:Day>
    <b:YearAccessed>2026</b:YearAccessed>
    <b:MonthAccessed>Feb</b:MonthAccessed>
    <b:DayAccessed>26</b:DayAccessed>
    <b:URL>https://www.degruyterbrill.com/document/doi/10.1515/eng-2020-0072/html</b:URL>
    <b:Author>
      <b:Author>
        <b:Corporate>Nuryake Fajaryati, Budiyono , Muhammad Akhyar and Wiranto</b:Corporate>
      </b:Author>
    </b:Author>
    <b:RefOrder>3</b:RefOrder>
  </b:Source>
  <b:Source>
    <b:Tag>DrJ24</b:Tag>
    <b:SourceType>DocumentFromInternetSite</b:SourceType>
    <b:Guid>{FFC97B54-1B83-4948-ACC7-83787371738D}</b:Guid>
    <b:Author>
      <b:Author>
        <b:NameList>
          <b:Person>
            <b:Last>Henau</b:Last>
            <b:First>Dr</b:First>
            <b:Middle>Joris de</b:Middle>
          </b:Person>
        </b:NameList>
      </b:Author>
    </b:Author>
    <b:Title>University of Oxford</b:Title>
    <b:Year>2024</b:Year>
    <b:Month>October </b:Month>
    <b:YearAccessed>2026</b:YearAccessed>
    <b:MonthAccessed>Feb</b:MonthAccessed>
    <b:DayAccessed>26</b:DayAccessed>
    <b:URL>https://www.ctl.ox.ac.uk/sites/default/files/ctl/documents/media/academic_skills_literature_review.pdf</b:URL>
    <b:RefOrder>1</b:RefOrder>
  </b:Source>
  <b:Source>
    <b:Tag>Jul22</b:Tag>
    <b:SourceType>DocumentFromInternetSite</b:SourceType>
    <b:Guid>{E24F54F2-C345-4531-9BC0-23168EB0F5C6}</b:Guid>
    <b:Author>
      <b:Author>
        <b:Corporate>Julie Nelson; Sharon O'Donnell; Elizabeth Davies; Jude Hillary</b:Corporate>
      </b:Author>
    </b:Author>
    <b:Title>Eric</b:Title>
    <b:Year>2022</b:Year>
    <b:Month>March</b:Month>
    <b:YearAccessed>2026</b:YearAccessed>
    <b:MonthAccessed>Feb</b:MonthAccessed>
    <b:DayAccessed>26</b:DayAccessed>
    <b:URL>https://eric.ed.gov/?id=ED619280</b:URL>
    <b:RefOrder>2</b:RefOrder>
  </b:Source>
</b:Sources>
</file>

<file path=customXml/itemProps1.xml><?xml version="1.0" encoding="utf-8"?>
<ds:datastoreItem xmlns:ds="http://schemas.openxmlformats.org/officeDocument/2006/customXml" ds:itemID="{B158008A-DA93-435B-B122-42137BD8D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ANNANG</dc:creator>
  <cp:keywords/>
  <dc:description/>
  <cp:lastModifiedBy>DENNIS ANNANG</cp:lastModifiedBy>
  <cp:revision>1</cp:revision>
  <dcterms:created xsi:type="dcterms:W3CDTF">2026-02-26T19:21:00Z</dcterms:created>
  <dcterms:modified xsi:type="dcterms:W3CDTF">2026-03-05T00:31:00Z</dcterms:modified>
</cp:coreProperties>
</file>