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73690C0E" w:rsidR="009C337F" w:rsidRDefault="0083269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Lucy Claire Vicars</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3EADECDC" w:rsidR="00986B43" w:rsidRDefault="0083269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lucyvicars@hotmail.co.uk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114ADD8" w14:textId="77777777" w:rsidR="0083269C" w:rsidRPr="005D3F07" w:rsidRDefault="0083269C" w:rsidP="0083269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2236422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bookmarkStart w:id="0" w:name="_GoBack"/>
            <w:bookmarkEnd w:id="0"/>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20587EB5" w:rsidR="006108C9" w:rsidRDefault="006108C9" w:rsidP="00FF7EBB">
            <w:pPr>
              <w:jc w:val="both"/>
              <w:rPr>
                <w:sz w:val="24"/>
                <w:szCs w:val="24"/>
              </w:rPr>
            </w:pPr>
          </w:p>
          <w:p w14:paraId="4C5DC7D4" w14:textId="1E468950" w:rsidR="00B67C4E" w:rsidRDefault="00B67C4E" w:rsidP="00B67C4E">
            <w:pPr>
              <w:jc w:val="both"/>
              <w:rPr>
                <w:color w:val="1E1E1E"/>
                <w:sz w:val="24"/>
                <w:shd w:val="clear" w:color="auto" w:fill="FFFFFF"/>
              </w:rPr>
            </w:pPr>
            <w:r>
              <w:rPr>
                <w:sz w:val="24"/>
                <w:szCs w:val="24"/>
              </w:rPr>
              <w:t xml:space="preserve">Safeguarding of adults is underpinned by the Social Services and Well-being (Wales) Act 2014, and Part 7 highlights the legal framework to safeguard adults, children and carers and also Wales Safeguarding Procedures (WSP) </w:t>
            </w:r>
            <w:sdt>
              <w:sdtPr>
                <w:rPr>
                  <w:sz w:val="24"/>
                  <w:szCs w:val="24"/>
                </w:rPr>
                <w:id w:val="-1594463334"/>
                <w:citation/>
              </w:sdtPr>
              <w:sdtEndPr/>
              <w:sdtContent>
                <w:r>
                  <w:rPr>
                    <w:sz w:val="24"/>
                    <w:szCs w:val="24"/>
                  </w:rPr>
                  <w:fldChar w:fldCharType="begin"/>
                </w:r>
                <w:r>
                  <w:rPr>
                    <w:sz w:val="24"/>
                    <w:szCs w:val="24"/>
                  </w:rPr>
                  <w:instrText xml:space="preserve"> CITATION Soc24 \l 2057 </w:instrText>
                </w:r>
                <w:r>
                  <w:rPr>
                    <w:sz w:val="24"/>
                    <w:szCs w:val="24"/>
                  </w:rPr>
                  <w:fldChar w:fldCharType="separate"/>
                </w:r>
                <w:r w:rsidRPr="00887752">
                  <w:rPr>
                    <w:noProof/>
                    <w:sz w:val="24"/>
                    <w:szCs w:val="24"/>
                  </w:rPr>
                  <w:t>(Social Care Wales, 2024)</w:t>
                </w:r>
                <w:r>
                  <w:rPr>
                    <w:sz w:val="24"/>
                    <w:szCs w:val="24"/>
                  </w:rPr>
                  <w:fldChar w:fldCharType="end"/>
                </w:r>
              </w:sdtContent>
            </w:sdt>
            <w:r>
              <w:rPr>
                <w:sz w:val="24"/>
                <w:szCs w:val="24"/>
              </w:rPr>
              <w:t>. The term “adult at risk”</w:t>
            </w:r>
            <w:r w:rsidR="005C287C">
              <w:rPr>
                <w:sz w:val="24"/>
                <w:szCs w:val="24"/>
              </w:rPr>
              <w:t xml:space="preserve">, has replaced the term </w:t>
            </w:r>
            <w:r>
              <w:rPr>
                <w:sz w:val="24"/>
                <w:szCs w:val="24"/>
              </w:rPr>
              <w:t xml:space="preserve">“vulnerable adult” </w:t>
            </w:r>
            <w:r w:rsidR="005C287C">
              <w:rPr>
                <w:sz w:val="24"/>
                <w:szCs w:val="24"/>
              </w:rPr>
              <w:t xml:space="preserve">as it was regarded as </w:t>
            </w:r>
            <w:r>
              <w:rPr>
                <w:sz w:val="24"/>
                <w:szCs w:val="24"/>
              </w:rPr>
              <w:t xml:space="preserve">disempowering </w:t>
            </w:r>
            <w:sdt>
              <w:sdtPr>
                <w:rPr>
                  <w:sz w:val="24"/>
                  <w:szCs w:val="24"/>
                </w:rPr>
                <w:id w:val="1334495024"/>
                <w:citation/>
              </w:sdtPr>
              <w:sdtEndPr/>
              <w:sdtContent>
                <w:r>
                  <w:rPr>
                    <w:sz w:val="24"/>
                    <w:szCs w:val="24"/>
                  </w:rPr>
                  <w:fldChar w:fldCharType="begin"/>
                </w:r>
                <w:r>
                  <w:rPr>
                    <w:sz w:val="24"/>
                    <w:szCs w:val="24"/>
                  </w:rPr>
                  <w:instrText xml:space="preserve">CITATION Car19 \l 2057 </w:instrText>
                </w:r>
                <w:r>
                  <w:rPr>
                    <w:sz w:val="24"/>
                    <w:szCs w:val="24"/>
                  </w:rPr>
                  <w:fldChar w:fldCharType="separate"/>
                </w:r>
                <w:r w:rsidRPr="000C1C83">
                  <w:rPr>
                    <w:noProof/>
                    <w:sz w:val="24"/>
                    <w:szCs w:val="24"/>
                  </w:rPr>
                  <w:t>(XXX Regional Safeguarding Board, 2019)</w:t>
                </w:r>
                <w:r>
                  <w:rPr>
                    <w:sz w:val="24"/>
                    <w:szCs w:val="24"/>
                  </w:rPr>
                  <w:fldChar w:fldCharType="end"/>
                </w:r>
              </w:sdtContent>
            </w:sdt>
            <w:r w:rsidRPr="00D62E78">
              <w:rPr>
                <w:sz w:val="24"/>
                <w:szCs w:val="24"/>
              </w:rPr>
              <w:t>.</w:t>
            </w:r>
            <w:r>
              <w:rPr>
                <w:sz w:val="24"/>
                <w:szCs w:val="24"/>
              </w:rPr>
              <w:t xml:space="preserve"> England</w:t>
            </w:r>
            <w:r w:rsidR="005C287C">
              <w:rPr>
                <w:sz w:val="24"/>
                <w:szCs w:val="24"/>
              </w:rPr>
              <w:t xml:space="preserve"> similarly</w:t>
            </w:r>
            <w:r>
              <w:rPr>
                <w:sz w:val="24"/>
                <w:szCs w:val="24"/>
              </w:rPr>
              <w:t xml:space="preserve"> introduced the “Adult at risk” definition in the Care Act 2014, demonstrating the importance of having a shared language </w:t>
            </w:r>
            <w:sdt>
              <w:sdtPr>
                <w:rPr>
                  <w:sz w:val="24"/>
                  <w:szCs w:val="24"/>
                </w:rPr>
                <w:id w:val="-597408446"/>
                <w:citation/>
              </w:sdtPr>
              <w:sdtEndPr/>
              <w:sdtContent>
                <w:r>
                  <w:rPr>
                    <w:sz w:val="24"/>
                    <w:szCs w:val="24"/>
                  </w:rPr>
                  <w:fldChar w:fldCharType="begin"/>
                </w:r>
                <w:r>
                  <w:rPr>
                    <w:sz w:val="24"/>
                    <w:szCs w:val="24"/>
                  </w:rPr>
                  <w:instrText xml:space="preserve"> CITATION Ann24 \l 2057 </w:instrText>
                </w:r>
                <w:r>
                  <w:rPr>
                    <w:sz w:val="24"/>
                    <w:szCs w:val="24"/>
                  </w:rPr>
                  <w:fldChar w:fldCharType="separate"/>
                </w:r>
                <w:r w:rsidRPr="002E1828">
                  <w:rPr>
                    <w:noProof/>
                    <w:sz w:val="24"/>
                    <w:szCs w:val="24"/>
                  </w:rPr>
                  <w:t>(Ann Craft Trust, 2024)</w:t>
                </w:r>
                <w:r>
                  <w:rPr>
                    <w:sz w:val="24"/>
                    <w:szCs w:val="24"/>
                  </w:rPr>
                  <w:fldChar w:fldCharType="end"/>
                </w:r>
              </w:sdtContent>
            </w:sdt>
            <w:r>
              <w:rPr>
                <w:sz w:val="24"/>
                <w:szCs w:val="24"/>
              </w:rPr>
              <w:t xml:space="preserve">. </w:t>
            </w:r>
            <w:r w:rsidR="005C287C">
              <w:rPr>
                <w:sz w:val="24"/>
                <w:szCs w:val="24"/>
              </w:rPr>
              <w:t>S</w:t>
            </w:r>
            <w:r>
              <w:rPr>
                <w:sz w:val="24"/>
                <w:szCs w:val="24"/>
              </w:rPr>
              <w:t>ection 126(1) of the SSWBA</w:t>
            </w:r>
            <w:r w:rsidR="005C287C">
              <w:rPr>
                <w:sz w:val="24"/>
                <w:szCs w:val="24"/>
              </w:rPr>
              <w:t xml:space="preserve"> </w:t>
            </w:r>
            <w:r>
              <w:rPr>
                <w:sz w:val="24"/>
                <w:szCs w:val="24"/>
              </w:rPr>
              <w:t>defin</w:t>
            </w:r>
            <w:r w:rsidR="005C287C">
              <w:rPr>
                <w:sz w:val="24"/>
                <w:szCs w:val="24"/>
              </w:rPr>
              <w:t>es</w:t>
            </w:r>
            <w:r>
              <w:rPr>
                <w:sz w:val="24"/>
                <w:szCs w:val="24"/>
              </w:rPr>
              <w:t xml:space="preserve"> an adult</w:t>
            </w:r>
            <w:r w:rsidR="005C287C">
              <w:rPr>
                <w:sz w:val="24"/>
                <w:szCs w:val="24"/>
              </w:rPr>
              <w:t xml:space="preserve"> at risk</w:t>
            </w:r>
            <w:r>
              <w:rPr>
                <w:sz w:val="24"/>
                <w:szCs w:val="24"/>
              </w:rPr>
              <w:t xml:space="preserve"> who is experiencing, or is at risk, of abuse or neglect, has needs for care and support, and </w:t>
            </w:r>
            <w:r w:rsidR="005C287C">
              <w:rPr>
                <w:sz w:val="24"/>
                <w:szCs w:val="24"/>
              </w:rPr>
              <w:t xml:space="preserve">is unable to protect themselves </w:t>
            </w:r>
            <w:r>
              <w:rPr>
                <w:sz w:val="24"/>
                <w:szCs w:val="24"/>
              </w:rPr>
              <w:t>(SSWBA S126(1)(a)(b)(c)). Section 197 of the SSWBA defines abuse as “</w:t>
            </w:r>
            <w:r w:rsidRPr="00DC227B">
              <w:rPr>
                <w:i/>
                <w:color w:val="1E1E1E"/>
                <w:sz w:val="24"/>
                <w:shd w:val="clear" w:color="auto" w:fill="FFFFFF"/>
              </w:rPr>
              <w:t>physical, sexual, psychological</w:t>
            </w:r>
            <w:r>
              <w:rPr>
                <w:i/>
                <w:color w:val="1E1E1E"/>
                <w:sz w:val="24"/>
                <w:shd w:val="clear" w:color="auto" w:fill="FFFFFF"/>
              </w:rPr>
              <w:t>, emotional or financial abuse</w:t>
            </w:r>
            <w:r>
              <w:rPr>
                <w:color w:val="1E1E1E"/>
                <w:sz w:val="24"/>
                <w:shd w:val="clear" w:color="auto" w:fill="FFFFFF"/>
              </w:rPr>
              <w:t xml:space="preserve">” </w:t>
            </w:r>
            <w:sdt>
              <w:sdtPr>
                <w:rPr>
                  <w:color w:val="1E1E1E"/>
                  <w:sz w:val="24"/>
                  <w:shd w:val="clear" w:color="auto" w:fill="FFFFFF"/>
                </w:rPr>
                <w:id w:val="-116981402"/>
                <w:citation/>
              </w:sdtPr>
              <w:sdtEndPr/>
              <w:sdtContent>
                <w:r>
                  <w:rPr>
                    <w:color w:val="1E1E1E"/>
                    <w:sz w:val="24"/>
                    <w:shd w:val="clear" w:color="auto" w:fill="FFFFFF"/>
                  </w:rPr>
                  <w:fldChar w:fldCharType="begin"/>
                </w:r>
                <w:r>
                  <w:rPr>
                    <w:color w:val="1E1E1E"/>
                    <w:sz w:val="24"/>
                    <w:shd w:val="clear" w:color="auto" w:fill="FFFFFF"/>
                  </w:rPr>
                  <w:instrText xml:space="preserve"> CITATION Wel14 \l 2057 </w:instrText>
                </w:r>
                <w:r>
                  <w:rPr>
                    <w:color w:val="1E1E1E"/>
                    <w:sz w:val="24"/>
                    <w:shd w:val="clear" w:color="auto" w:fill="FFFFFF"/>
                  </w:rPr>
                  <w:fldChar w:fldCharType="separate"/>
                </w:r>
                <w:r w:rsidRPr="002B4BE3">
                  <w:rPr>
                    <w:noProof/>
                    <w:color w:val="1E1E1E"/>
                    <w:sz w:val="24"/>
                    <w:shd w:val="clear" w:color="auto" w:fill="FFFFFF"/>
                  </w:rPr>
                  <w:t>(Welsh Government, 2014)</w:t>
                </w:r>
                <w:r>
                  <w:rPr>
                    <w:color w:val="1E1E1E"/>
                    <w:sz w:val="24"/>
                    <w:shd w:val="clear" w:color="auto" w:fill="FFFFFF"/>
                  </w:rPr>
                  <w:fldChar w:fldCharType="end"/>
                </w:r>
              </w:sdtContent>
            </w:sdt>
            <w:r>
              <w:rPr>
                <w:color w:val="1E1E1E"/>
                <w:sz w:val="24"/>
                <w:shd w:val="clear" w:color="auto" w:fill="FFFFFF"/>
              </w:rPr>
              <w:t>.</w:t>
            </w:r>
          </w:p>
          <w:p w14:paraId="44C7F35F" w14:textId="20352844" w:rsidR="00B67C4E" w:rsidRDefault="00B67C4E" w:rsidP="00B67C4E">
            <w:pPr>
              <w:jc w:val="both"/>
              <w:rPr>
                <w:color w:val="1E1E1E"/>
                <w:sz w:val="24"/>
                <w:shd w:val="clear" w:color="auto" w:fill="FFFFFF"/>
              </w:rPr>
            </w:pPr>
            <w:r>
              <w:rPr>
                <w:color w:val="1E1E1E"/>
                <w:sz w:val="24"/>
                <w:shd w:val="clear" w:color="auto" w:fill="FFFFFF"/>
              </w:rPr>
              <w:tab/>
              <w:t xml:space="preserve">There is a duty on professionals to report where there is cause to suspect an adult is at risk of abuse or neglect, under section 128 of the SSWBA. Within a local health board, the “Adult at Risk Procedure” is a clear policy regarding safeguarding adults which has been created by Public Health Wales. The policy highlights the importance of the duty of practitioners to report to the Local Authority (LA) and to contact the Designated Safeguarding Person for guidance </w:t>
            </w:r>
            <w:sdt>
              <w:sdtPr>
                <w:rPr>
                  <w:color w:val="1E1E1E"/>
                  <w:sz w:val="24"/>
                  <w:shd w:val="clear" w:color="auto" w:fill="FFFFFF"/>
                </w:rPr>
                <w:id w:val="-460113933"/>
                <w:citation/>
              </w:sdtPr>
              <w:sdtEndPr/>
              <w:sdtContent>
                <w:r>
                  <w:rPr>
                    <w:color w:val="1E1E1E"/>
                    <w:sz w:val="24"/>
                    <w:shd w:val="clear" w:color="auto" w:fill="FFFFFF"/>
                  </w:rPr>
                  <w:fldChar w:fldCharType="begin"/>
                </w:r>
                <w:r>
                  <w:rPr>
                    <w:color w:val="1E1E1E"/>
                    <w:sz w:val="24"/>
                    <w:shd w:val="clear" w:color="auto" w:fill="FFFFFF"/>
                  </w:rPr>
                  <w:instrText xml:space="preserve">CITATION Pub13 \p 3 \l 2057 </w:instrText>
                </w:r>
                <w:r>
                  <w:rPr>
                    <w:color w:val="1E1E1E"/>
                    <w:sz w:val="24"/>
                    <w:shd w:val="clear" w:color="auto" w:fill="FFFFFF"/>
                  </w:rPr>
                  <w:fldChar w:fldCharType="separate"/>
                </w:r>
                <w:r w:rsidRPr="00E86C10">
                  <w:rPr>
                    <w:noProof/>
                    <w:color w:val="1E1E1E"/>
                    <w:sz w:val="24"/>
                    <w:shd w:val="clear" w:color="auto" w:fill="FFFFFF"/>
                  </w:rPr>
                  <w:t>(Public Health Wales, 2013, p. 3)</w:t>
                </w:r>
                <w:r>
                  <w:rPr>
                    <w:color w:val="1E1E1E"/>
                    <w:sz w:val="24"/>
                    <w:shd w:val="clear" w:color="auto" w:fill="FFFFFF"/>
                  </w:rPr>
                  <w:fldChar w:fldCharType="end"/>
                </w:r>
              </w:sdtContent>
            </w:sdt>
            <w:r>
              <w:rPr>
                <w:color w:val="1E1E1E"/>
                <w:sz w:val="24"/>
                <w:shd w:val="clear" w:color="auto" w:fill="FFFFFF"/>
              </w:rPr>
              <w:t xml:space="preserve">. The LA must make initial enquiries and gather information which will support their decision as to whether action should be taken. If the LA have reasonable cause to suspect an “Adult at Risk” then a S126 enquiry must take place, and a strategy meeting should be held within 7 days </w:t>
            </w:r>
            <w:sdt>
              <w:sdtPr>
                <w:rPr>
                  <w:color w:val="1E1E1E"/>
                  <w:sz w:val="24"/>
                  <w:shd w:val="clear" w:color="auto" w:fill="FFFFFF"/>
                </w:rPr>
                <w:id w:val="-1516771913"/>
                <w:citation/>
              </w:sdtPr>
              <w:sdtEndPr/>
              <w:sdtContent>
                <w:r>
                  <w:rPr>
                    <w:color w:val="1E1E1E"/>
                    <w:sz w:val="24"/>
                    <w:shd w:val="clear" w:color="auto" w:fill="FFFFFF"/>
                  </w:rPr>
                  <w:fldChar w:fldCharType="begin"/>
                </w:r>
                <w:r>
                  <w:rPr>
                    <w:color w:val="1E1E1E"/>
                    <w:sz w:val="24"/>
                    <w:shd w:val="clear" w:color="auto" w:fill="FFFFFF"/>
                  </w:rPr>
                  <w:instrText xml:space="preserve">CITATION Gov19 \p 32 \l 2057 </w:instrText>
                </w:r>
                <w:r>
                  <w:rPr>
                    <w:color w:val="1E1E1E"/>
                    <w:sz w:val="24"/>
                    <w:shd w:val="clear" w:color="auto" w:fill="FFFFFF"/>
                  </w:rPr>
                  <w:fldChar w:fldCharType="separate"/>
                </w:r>
                <w:r w:rsidRPr="00A1118C">
                  <w:rPr>
                    <w:noProof/>
                    <w:color w:val="1E1E1E"/>
                    <w:sz w:val="24"/>
                    <w:shd w:val="clear" w:color="auto" w:fill="FFFFFF"/>
                  </w:rPr>
                  <w:t>(Government, 2019, p. 32)</w:t>
                </w:r>
                <w:r>
                  <w:rPr>
                    <w:color w:val="1E1E1E"/>
                    <w:sz w:val="24"/>
                    <w:shd w:val="clear" w:color="auto" w:fill="FFFFFF"/>
                  </w:rPr>
                  <w:fldChar w:fldCharType="end"/>
                </w:r>
              </w:sdtContent>
            </w:sdt>
            <w:r>
              <w:rPr>
                <w:color w:val="1E1E1E"/>
                <w:sz w:val="24"/>
                <w:shd w:val="clear" w:color="auto" w:fill="FFFFFF"/>
              </w:rPr>
              <w:t xml:space="preserve">. There are 3 determinations possible from a strategy meeting: Immediate Protection to remove the adult from immediate risk, Adult not at risk but may have </w:t>
            </w:r>
            <w:r w:rsidRPr="00A1118C">
              <w:rPr>
                <w:color w:val="1E1E1E"/>
                <w:sz w:val="24"/>
                <w:shd w:val="clear" w:color="auto" w:fill="FFFFFF"/>
              </w:rPr>
              <w:t>other needs for care and support services</w:t>
            </w:r>
            <w:r>
              <w:rPr>
                <w:color w:val="1E1E1E"/>
                <w:sz w:val="24"/>
                <w:shd w:val="clear" w:color="auto" w:fill="FFFFFF"/>
              </w:rPr>
              <w:t xml:space="preserve">, and Adult at risk and action to </w:t>
            </w:r>
            <w:r w:rsidRPr="00A1118C">
              <w:rPr>
                <w:color w:val="1E1E1E"/>
                <w:sz w:val="24"/>
                <w:shd w:val="clear" w:color="auto" w:fill="FFFFFF"/>
              </w:rPr>
              <w:t>protect needed</w:t>
            </w:r>
            <w:r>
              <w:rPr>
                <w:color w:val="1E1E1E"/>
                <w:sz w:val="24"/>
                <w:shd w:val="clear" w:color="auto" w:fill="FFFFFF"/>
              </w:rPr>
              <w:t xml:space="preserve"> </w:t>
            </w:r>
            <w:sdt>
              <w:sdtPr>
                <w:rPr>
                  <w:color w:val="1E1E1E"/>
                  <w:sz w:val="24"/>
                  <w:shd w:val="clear" w:color="auto" w:fill="FFFFFF"/>
                </w:rPr>
                <w:id w:val="-555850272"/>
                <w:citation/>
              </w:sdtPr>
              <w:sdtEndPr/>
              <w:sdtContent>
                <w:r>
                  <w:rPr>
                    <w:color w:val="1E1E1E"/>
                    <w:sz w:val="24"/>
                    <w:shd w:val="clear" w:color="auto" w:fill="FFFFFF"/>
                  </w:rPr>
                  <w:fldChar w:fldCharType="begin"/>
                </w:r>
                <w:r>
                  <w:rPr>
                    <w:color w:val="1E1E1E"/>
                    <w:sz w:val="24"/>
                    <w:shd w:val="clear" w:color="auto" w:fill="FFFFFF"/>
                  </w:rPr>
                  <w:instrText xml:space="preserve">CITATION Gov19 \p 33 \l 2057 </w:instrText>
                </w:r>
                <w:r>
                  <w:rPr>
                    <w:color w:val="1E1E1E"/>
                    <w:sz w:val="24"/>
                    <w:shd w:val="clear" w:color="auto" w:fill="FFFFFF"/>
                  </w:rPr>
                  <w:fldChar w:fldCharType="separate"/>
                </w:r>
                <w:r w:rsidRPr="00A1118C">
                  <w:rPr>
                    <w:noProof/>
                    <w:color w:val="1E1E1E"/>
                    <w:sz w:val="24"/>
                    <w:shd w:val="clear" w:color="auto" w:fill="FFFFFF"/>
                  </w:rPr>
                  <w:t>(Government, 2019, p. 33)</w:t>
                </w:r>
                <w:r>
                  <w:rPr>
                    <w:color w:val="1E1E1E"/>
                    <w:sz w:val="24"/>
                    <w:shd w:val="clear" w:color="auto" w:fill="FFFFFF"/>
                  </w:rPr>
                  <w:fldChar w:fldCharType="end"/>
                </w:r>
              </w:sdtContent>
            </w:sdt>
            <w:r>
              <w:rPr>
                <w:color w:val="1E1E1E"/>
                <w:sz w:val="24"/>
                <w:shd w:val="clear" w:color="auto" w:fill="FFFFFF"/>
              </w:rPr>
              <w:t>. Following this, further strategy meeting and adult protection conference can be convened in a multi-disciplinary meeting. The SSWBA section 131, allows a LA to apply for an Adult Protection and Support Order which enables “authorised officers” to enter the home where there is reasonable cause to suspect the adult is at risk and if there are barriers encountered</w:t>
            </w:r>
            <w:r w:rsidRPr="00BB5587">
              <w:rPr>
                <w:color w:val="1E1E1E"/>
                <w:sz w:val="24"/>
                <w:shd w:val="clear" w:color="auto" w:fill="FFFFFF"/>
              </w:rPr>
              <w:t xml:space="preserve"> </w:t>
            </w:r>
            <w:sdt>
              <w:sdtPr>
                <w:rPr>
                  <w:color w:val="1E1E1E"/>
                  <w:sz w:val="24"/>
                  <w:shd w:val="clear" w:color="auto" w:fill="FFFFFF"/>
                </w:rPr>
                <w:id w:val="-589689336"/>
                <w:citation/>
              </w:sdtPr>
              <w:sdtEndPr/>
              <w:sdtContent>
                <w:r>
                  <w:rPr>
                    <w:color w:val="1E1E1E"/>
                    <w:sz w:val="24"/>
                    <w:shd w:val="clear" w:color="auto" w:fill="FFFFFF"/>
                  </w:rPr>
                  <w:fldChar w:fldCharType="begin"/>
                </w:r>
                <w:r>
                  <w:rPr>
                    <w:color w:val="1E1E1E"/>
                    <w:sz w:val="24"/>
                    <w:shd w:val="clear" w:color="auto" w:fill="FFFFFF"/>
                  </w:rPr>
                  <w:instrText xml:space="preserve">CITATION Gov19 \p 11 \l 2057 </w:instrText>
                </w:r>
                <w:r>
                  <w:rPr>
                    <w:color w:val="1E1E1E"/>
                    <w:sz w:val="24"/>
                    <w:shd w:val="clear" w:color="auto" w:fill="FFFFFF"/>
                  </w:rPr>
                  <w:fldChar w:fldCharType="separate"/>
                </w:r>
                <w:r w:rsidRPr="00BB5587">
                  <w:rPr>
                    <w:noProof/>
                    <w:color w:val="1E1E1E"/>
                    <w:sz w:val="24"/>
                    <w:shd w:val="clear" w:color="auto" w:fill="FFFFFF"/>
                  </w:rPr>
                  <w:t>(Government, 2019, p. 11)</w:t>
                </w:r>
                <w:r>
                  <w:rPr>
                    <w:color w:val="1E1E1E"/>
                    <w:sz w:val="24"/>
                    <w:shd w:val="clear" w:color="auto" w:fill="FFFFFF"/>
                  </w:rPr>
                  <w:fldChar w:fldCharType="end"/>
                </w:r>
              </w:sdtContent>
            </w:sdt>
            <w:r>
              <w:rPr>
                <w:color w:val="1E1E1E"/>
                <w:sz w:val="24"/>
                <w:shd w:val="clear" w:color="auto" w:fill="FFFFFF"/>
              </w:rPr>
              <w:t xml:space="preserve">. </w:t>
            </w:r>
          </w:p>
          <w:p w14:paraId="45D057CE" w14:textId="1D005BC9" w:rsidR="00B67C4E" w:rsidRDefault="00B67C4E" w:rsidP="00B67C4E">
            <w:pPr>
              <w:ind w:firstLine="720"/>
              <w:jc w:val="both"/>
              <w:rPr>
                <w:color w:val="1E1E1E"/>
                <w:sz w:val="24"/>
                <w:shd w:val="clear" w:color="auto" w:fill="FFFFFF"/>
              </w:rPr>
            </w:pPr>
            <w:r>
              <w:rPr>
                <w:color w:val="1E1E1E"/>
                <w:sz w:val="24"/>
                <w:shd w:val="clear" w:color="auto" w:fill="FFFFFF"/>
              </w:rPr>
              <w:t xml:space="preserve">Adopting a person-centred approach is essential in safeguarding adults; considerations and decisions, must have regards to the Mental Capacity Act 2005 respecting that all persons </w:t>
            </w:r>
            <w:r>
              <w:rPr>
                <w:color w:val="1E1E1E"/>
                <w:sz w:val="24"/>
                <w:shd w:val="clear" w:color="auto" w:fill="FFFFFF"/>
              </w:rPr>
              <w:lastRenderedPageBreak/>
              <w:t xml:space="preserve">should be deemed to have capacity unless it is proven otherwise (Mental Capacity Act 2005, Part 1 S1(1)). This ensures the principles of the SSWBA are promoted: respecting the voice, views and wishes of the adult, and this in turn encourages article two of the Human Rights Act 1998 – a right to life. </w:t>
            </w:r>
          </w:p>
          <w:p w14:paraId="64C560EF" w14:textId="016A984A" w:rsidR="00B67C4E" w:rsidRPr="00A1118C" w:rsidRDefault="00B67C4E" w:rsidP="00B67C4E">
            <w:pPr>
              <w:ind w:firstLine="720"/>
              <w:jc w:val="both"/>
              <w:rPr>
                <w:color w:val="1E1E1E"/>
                <w:sz w:val="24"/>
                <w:shd w:val="clear" w:color="auto" w:fill="FFFFFF"/>
              </w:rPr>
            </w:pPr>
            <w:r>
              <w:rPr>
                <w:color w:val="1E1E1E"/>
                <w:sz w:val="24"/>
                <w:shd w:val="clear" w:color="auto" w:fill="FFFFFF"/>
              </w:rPr>
              <w:t xml:space="preserve">The implementation of regional Safeguarding Adult Boards was a necessity following the introduction of the SSWBA, which includes six LA who work under the </w:t>
            </w:r>
            <w:r>
              <w:rPr>
                <w:sz w:val="24"/>
                <w:szCs w:val="24"/>
              </w:rPr>
              <w:t xml:space="preserve">Safeguarding Boards (Functions and Procedures) (Wales) Regulations (2015). The purpose of these boards are to protect adults and to prevent abuse, recognising the importance of early intervention and prevention </w:t>
            </w:r>
            <w:sdt>
              <w:sdtPr>
                <w:rPr>
                  <w:sz w:val="24"/>
                  <w:szCs w:val="24"/>
                </w:rPr>
                <w:id w:val="561459961"/>
                <w:citation/>
              </w:sdtPr>
              <w:sdtEndPr/>
              <w:sdtContent>
                <w:r>
                  <w:rPr>
                    <w:sz w:val="24"/>
                    <w:szCs w:val="24"/>
                  </w:rPr>
                  <w:fldChar w:fldCharType="begin"/>
                </w:r>
                <w:r>
                  <w:rPr>
                    <w:sz w:val="24"/>
                    <w:szCs w:val="24"/>
                  </w:rPr>
                  <w:instrText xml:space="preserve">CITATION Nor24 \l 2057 </w:instrText>
                </w:r>
                <w:r>
                  <w:rPr>
                    <w:sz w:val="24"/>
                    <w:szCs w:val="24"/>
                  </w:rPr>
                  <w:fldChar w:fldCharType="separate"/>
                </w:r>
                <w:r w:rsidRPr="005A6309">
                  <w:rPr>
                    <w:noProof/>
                    <w:sz w:val="24"/>
                    <w:szCs w:val="24"/>
                  </w:rPr>
                  <w:t>(XXX Safeguarding Board, 2024)</w:t>
                </w:r>
                <w:r>
                  <w:rPr>
                    <w:sz w:val="24"/>
                    <w:szCs w:val="24"/>
                  </w:rPr>
                  <w:fldChar w:fldCharType="end"/>
                </w:r>
              </w:sdtContent>
            </w:sdt>
            <w:r>
              <w:rPr>
                <w:sz w:val="24"/>
                <w:szCs w:val="24"/>
              </w:rPr>
              <w:t xml:space="preserve">. The XXX Safeguarding Adults Board complete serious case reviews and carry out training, audits and policies, regionally, such as XXX Self-Neglect Protocol </w:t>
            </w:r>
            <w:sdt>
              <w:sdtPr>
                <w:rPr>
                  <w:sz w:val="24"/>
                  <w:szCs w:val="24"/>
                </w:rPr>
                <w:id w:val="104932715"/>
                <w:citation/>
              </w:sdtPr>
              <w:sdtEndPr/>
              <w:sdtContent>
                <w:r>
                  <w:rPr>
                    <w:sz w:val="24"/>
                    <w:szCs w:val="24"/>
                  </w:rPr>
                  <w:fldChar w:fldCharType="begin"/>
                </w:r>
                <w:r>
                  <w:rPr>
                    <w:sz w:val="24"/>
                    <w:szCs w:val="24"/>
                  </w:rPr>
                  <w:instrText xml:space="preserve"> CITATION Nor24 \l 2057 </w:instrText>
                </w:r>
                <w:r>
                  <w:rPr>
                    <w:sz w:val="24"/>
                    <w:szCs w:val="24"/>
                  </w:rPr>
                  <w:fldChar w:fldCharType="separate"/>
                </w:r>
                <w:r w:rsidRPr="00DC227B">
                  <w:rPr>
                    <w:noProof/>
                    <w:sz w:val="24"/>
                    <w:szCs w:val="24"/>
                  </w:rPr>
                  <w:t>(XXX Safeguarding Board, 2024)</w:t>
                </w:r>
                <w:r>
                  <w:rPr>
                    <w:sz w:val="24"/>
                    <w:szCs w:val="24"/>
                  </w:rPr>
                  <w:fldChar w:fldCharType="end"/>
                </w:r>
              </w:sdtContent>
            </w:sdt>
            <w:r>
              <w:rPr>
                <w:sz w:val="24"/>
                <w:szCs w:val="24"/>
              </w:rPr>
              <w:t>.</w:t>
            </w:r>
            <w:r>
              <w:rPr>
                <w:color w:val="1E1E1E"/>
                <w:sz w:val="24"/>
                <w:shd w:val="clear" w:color="auto" w:fill="FFFFFF"/>
              </w:rPr>
              <w:t xml:space="preserve"> </w:t>
            </w:r>
          </w:p>
          <w:p w14:paraId="178D4572" w14:textId="77777777" w:rsidR="00384ABA" w:rsidRDefault="00384ABA" w:rsidP="00FF7EBB">
            <w:pPr>
              <w:jc w:val="both"/>
              <w:rPr>
                <w:sz w:val="24"/>
                <w:szCs w:val="24"/>
              </w:rPr>
            </w:pPr>
          </w:p>
          <w:p w14:paraId="774095BD" w14:textId="1353F93D" w:rsidR="00FC0334" w:rsidRPr="00384ABA" w:rsidRDefault="00384ABA" w:rsidP="00FF7EBB">
            <w:pPr>
              <w:jc w:val="both"/>
              <w:rPr>
                <w:b/>
                <w:sz w:val="24"/>
                <w:szCs w:val="24"/>
              </w:rPr>
            </w:pPr>
            <w:r w:rsidRPr="00384ABA">
              <w:rPr>
                <w:b/>
                <w:sz w:val="24"/>
                <w:szCs w:val="24"/>
              </w:rPr>
              <w:t>545 words</w:t>
            </w:r>
          </w:p>
          <w:p w14:paraId="3049A401" w14:textId="77777777" w:rsidR="00384ABA" w:rsidRPr="006108C9" w:rsidRDefault="00384ABA"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361BFD">
        <w:tc>
          <w:tcPr>
            <w:tcW w:w="10070"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98E79CE" w14:textId="154E445F" w:rsidR="004E6A71" w:rsidRDefault="00EA617B" w:rsidP="004E6A71">
            <w:pPr>
              <w:jc w:val="both"/>
              <w:rPr>
                <w:sz w:val="24"/>
                <w:szCs w:val="24"/>
              </w:rPr>
            </w:pPr>
            <w:r>
              <w:rPr>
                <w:sz w:val="24"/>
                <w:szCs w:val="24"/>
              </w:rPr>
              <w:t>Adults and c</w:t>
            </w:r>
            <w:r w:rsidR="004E6A71">
              <w:rPr>
                <w:sz w:val="24"/>
                <w:szCs w:val="24"/>
              </w:rPr>
              <w:t>hildren safeguarding is underpinned by predominately the same legislatio</w:t>
            </w:r>
            <w:r>
              <w:rPr>
                <w:sz w:val="24"/>
                <w:szCs w:val="24"/>
              </w:rPr>
              <w:t xml:space="preserve">n, the </w:t>
            </w:r>
            <w:proofErr w:type="gramStart"/>
            <w:r>
              <w:rPr>
                <w:sz w:val="24"/>
                <w:szCs w:val="24"/>
              </w:rPr>
              <w:t>SSWBA(</w:t>
            </w:r>
            <w:proofErr w:type="gramEnd"/>
            <w:r>
              <w:rPr>
                <w:sz w:val="24"/>
                <w:szCs w:val="24"/>
              </w:rPr>
              <w:t>2014) and the WSP</w:t>
            </w:r>
            <w:r w:rsidR="004E6A71">
              <w:rPr>
                <w:sz w:val="24"/>
                <w:szCs w:val="24"/>
              </w:rPr>
              <w:t xml:space="preserve">(2019). Since the implementation of the SSWBA, there has been a statutory duty placed on relevant agencies to report an “Adult at Risk” and also a “Child at Risk”. However, there are differences between the legislative </w:t>
            </w:r>
            <w:proofErr w:type="gramStart"/>
            <w:r w:rsidR="004E6A71">
              <w:rPr>
                <w:sz w:val="24"/>
                <w:szCs w:val="24"/>
              </w:rPr>
              <w:t>framework</w:t>
            </w:r>
            <w:proofErr w:type="gramEnd"/>
            <w:r w:rsidR="004E6A71">
              <w:rPr>
                <w:sz w:val="24"/>
                <w:szCs w:val="24"/>
              </w:rPr>
              <w:t xml:space="preserve"> for investigations, such as under section 126, a LA has a duty to investigate if a report is received regarding an adult. </w:t>
            </w:r>
            <w:r w:rsidR="00117A4D">
              <w:rPr>
                <w:sz w:val="24"/>
                <w:szCs w:val="24"/>
              </w:rPr>
              <w:t>A</w:t>
            </w:r>
            <w:r w:rsidR="004E6A71">
              <w:rPr>
                <w:sz w:val="24"/>
                <w:szCs w:val="24"/>
              </w:rPr>
              <w:t>lthough the duty remains the</w:t>
            </w:r>
            <w:r w:rsidR="00117A4D">
              <w:rPr>
                <w:sz w:val="24"/>
                <w:szCs w:val="24"/>
              </w:rPr>
              <w:t xml:space="preserve"> same, investigations are carried out</w:t>
            </w:r>
            <w:r w:rsidR="004E6A71">
              <w:rPr>
                <w:sz w:val="24"/>
                <w:szCs w:val="24"/>
              </w:rPr>
              <w:t xml:space="preserve"> under section 47 of the Children Act 1989. The WSP replaced the All </w:t>
            </w:r>
            <w:r w:rsidR="004E6A71" w:rsidRPr="00281D6A">
              <w:rPr>
                <w:sz w:val="24"/>
                <w:szCs w:val="24"/>
              </w:rPr>
              <w:t xml:space="preserve">Wales Child Protection Procedures and the Wales Interim Policy and Procedures for the Protection </w:t>
            </w:r>
            <w:r w:rsidR="004E6A71">
              <w:rPr>
                <w:sz w:val="24"/>
                <w:szCs w:val="24"/>
              </w:rPr>
              <w:t>of Vulnerable Adults from Abuse, ma</w:t>
            </w:r>
            <w:r w:rsidR="00810CA9">
              <w:rPr>
                <w:sz w:val="24"/>
                <w:szCs w:val="24"/>
              </w:rPr>
              <w:t>king the definitions clearer and</w:t>
            </w:r>
            <w:r w:rsidR="004E6A71">
              <w:rPr>
                <w:sz w:val="24"/>
                <w:szCs w:val="24"/>
              </w:rPr>
              <w:t xml:space="preserve"> allowing procedures to be more accessible in one area.</w:t>
            </w:r>
          </w:p>
          <w:p w14:paraId="39E39AB8" w14:textId="77777777" w:rsidR="004E6A71" w:rsidRDefault="004E6A71" w:rsidP="004E6A71">
            <w:pPr>
              <w:jc w:val="both"/>
              <w:rPr>
                <w:sz w:val="24"/>
                <w:szCs w:val="24"/>
              </w:rPr>
            </w:pPr>
          </w:p>
          <w:p w14:paraId="6BB3583D" w14:textId="01DAD42F" w:rsidR="004E6A71" w:rsidRDefault="004E6A71" w:rsidP="004E6A71">
            <w:pPr>
              <w:jc w:val="both"/>
              <w:rPr>
                <w:sz w:val="24"/>
                <w:szCs w:val="24"/>
              </w:rPr>
            </w:pPr>
            <w:r>
              <w:rPr>
                <w:sz w:val="24"/>
                <w:szCs w:val="24"/>
              </w:rPr>
              <w:t xml:space="preserve">When considering the definition of “At Risk”, there are notable differences between adults and children which is seen within the WSP, as children are not able to protect themselves and it is the child’s caregiver’s responsibility to meet their needs and ensure their safety </w:t>
            </w:r>
            <w:sdt>
              <w:sdtPr>
                <w:rPr>
                  <w:sz w:val="24"/>
                  <w:szCs w:val="24"/>
                </w:rPr>
                <w:id w:val="145332498"/>
                <w:citation/>
              </w:sdtPr>
              <w:sdtEndPr/>
              <w:sdtContent>
                <w:r>
                  <w:rPr>
                    <w:sz w:val="24"/>
                    <w:szCs w:val="24"/>
                  </w:rPr>
                  <w:fldChar w:fldCharType="begin"/>
                </w:r>
                <w:r>
                  <w:rPr>
                    <w:sz w:val="24"/>
                    <w:szCs w:val="24"/>
                  </w:rPr>
                  <w:instrText xml:space="preserve"> CITATION Soc24 \l 2057 </w:instrText>
                </w:r>
                <w:r>
                  <w:rPr>
                    <w:sz w:val="24"/>
                    <w:szCs w:val="24"/>
                  </w:rPr>
                  <w:fldChar w:fldCharType="separate"/>
                </w:r>
                <w:r w:rsidRPr="009D27FD">
                  <w:rPr>
                    <w:noProof/>
                    <w:sz w:val="24"/>
                    <w:szCs w:val="24"/>
                  </w:rPr>
                  <w:t>(Social Care Wales, 2024)</w:t>
                </w:r>
                <w:r>
                  <w:rPr>
                    <w:sz w:val="24"/>
                    <w:szCs w:val="24"/>
                  </w:rPr>
                  <w:fldChar w:fldCharType="end"/>
                </w:r>
              </w:sdtContent>
            </w:sdt>
            <w:r>
              <w:rPr>
                <w:sz w:val="24"/>
                <w:szCs w:val="24"/>
              </w:rPr>
              <w:t xml:space="preserve">. </w:t>
            </w:r>
            <w:r w:rsidR="00DE75C6">
              <w:rPr>
                <w:sz w:val="24"/>
                <w:szCs w:val="24"/>
              </w:rPr>
              <w:t>Adults</w:t>
            </w:r>
            <w:r>
              <w:rPr>
                <w:sz w:val="24"/>
                <w:szCs w:val="24"/>
              </w:rPr>
              <w:t xml:space="preserve"> are at risk, if they are unable to protect themselves. Adults, and Children, are both deemed to be “at risk” if they are experiencing, or at risk of experiencing, abuse and/or neglect, and has needs for care and support. When considering the importance of safety, we must consider the importance of well-being which is de</w:t>
            </w:r>
            <w:r w:rsidR="00DE75C6">
              <w:rPr>
                <w:sz w:val="24"/>
                <w:szCs w:val="24"/>
              </w:rPr>
              <w:t>fined similarly between adults and children, however</w:t>
            </w:r>
            <w:r>
              <w:rPr>
                <w:sz w:val="24"/>
                <w:szCs w:val="24"/>
              </w:rPr>
              <w:t xml:space="preserve"> differences include a child’s “</w:t>
            </w:r>
            <w:r w:rsidRPr="00235516">
              <w:rPr>
                <w:i/>
                <w:sz w:val="24"/>
                <w:szCs w:val="24"/>
              </w:rPr>
              <w:t>physical, intellectual, emotional, social and behavioural development</w:t>
            </w:r>
            <w:r>
              <w:rPr>
                <w:i/>
                <w:sz w:val="24"/>
                <w:szCs w:val="24"/>
              </w:rPr>
              <w:t>”</w:t>
            </w:r>
            <w:r>
              <w:rPr>
                <w:sz w:val="24"/>
                <w:szCs w:val="24"/>
              </w:rPr>
              <w:t>, and in adults, it includes the additional “</w:t>
            </w:r>
            <w:r w:rsidRPr="00235516">
              <w:rPr>
                <w:i/>
                <w:sz w:val="24"/>
                <w:szCs w:val="24"/>
              </w:rPr>
              <w:t>control over day to day life</w:t>
            </w:r>
            <w:r>
              <w:rPr>
                <w:sz w:val="24"/>
                <w:szCs w:val="24"/>
              </w:rPr>
              <w:t>” and “</w:t>
            </w:r>
            <w:r w:rsidRPr="00235516">
              <w:rPr>
                <w:i/>
                <w:sz w:val="24"/>
                <w:szCs w:val="24"/>
              </w:rPr>
              <w:t>participation in work</w:t>
            </w:r>
            <w:r>
              <w:rPr>
                <w:sz w:val="24"/>
                <w:szCs w:val="24"/>
              </w:rPr>
              <w:t xml:space="preserve">” (SSWBA 2014 </w:t>
            </w:r>
            <w:proofErr w:type="gramStart"/>
            <w:r>
              <w:rPr>
                <w:sz w:val="24"/>
                <w:szCs w:val="24"/>
              </w:rPr>
              <w:t>P1(</w:t>
            </w:r>
            <w:proofErr w:type="gramEnd"/>
            <w:r>
              <w:rPr>
                <w:sz w:val="24"/>
                <w:szCs w:val="24"/>
              </w:rPr>
              <w:t xml:space="preserve">S2)). </w:t>
            </w:r>
          </w:p>
          <w:p w14:paraId="5A4CFC5E" w14:textId="77777777" w:rsidR="004E6A71" w:rsidRDefault="004E6A71" w:rsidP="004E6A71">
            <w:pPr>
              <w:jc w:val="both"/>
              <w:rPr>
                <w:sz w:val="24"/>
                <w:szCs w:val="24"/>
              </w:rPr>
            </w:pPr>
          </w:p>
          <w:p w14:paraId="567A84AE" w14:textId="428FB805" w:rsidR="004E6A71" w:rsidRDefault="005C246E" w:rsidP="004E6A71">
            <w:pPr>
              <w:jc w:val="both"/>
              <w:rPr>
                <w:sz w:val="24"/>
                <w:szCs w:val="24"/>
              </w:rPr>
            </w:pPr>
            <w:r>
              <w:rPr>
                <w:sz w:val="24"/>
                <w:szCs w:val="24"/>
              </w:rPr>
              <w:t>When s</w:t>
            </w:r>
            <w:r w:rsidR="006F7521">
              <w:rPr>
                <w:sz w:val="24"/>
                <w:szCs w:val="24"/>
              </w:rPr>
              <w:t xml:space="preserve">afeguarding </w:t>
            </w:r>
            <w:r>
              <w:rPr>
                <w:sz w:val="24"/>
                <w:szCs w:val="24"/>
              </w:rPr>
              <w:t>adults</w:t>
            </w:r>
            <w:r w:rsidR="006F7521">
              <w:rPr>
                <w:sz w:val="24"/>
                <w:szCs w:val="24"/>
              </w:rPr>
              <w:t xml:space="preserve"> </w:t>
            </w:r>
            <w:r w:rsidR="004E6A71">
              <w:rPr>
                <w:sz w:val="24"/>
                <w:szCs w:val="24"/>
              </w:rPr>
              <w:t xml:space="preserve">the Mental Capacity Act 2005 is an important piece of legislation. If, following a mental capacity assessment, it is deemed they lack capacity then decision made should be made in their best interest. The Children Act 1989 highlights that once a child </w:t>
            </w:r>
            <w:r w:rsidR="004E6A71">
              <w:rPr>
                <w:sz w:val="24"/>
                <w:szCs w:val="24"/>
              </w:rPr>
              <w:lastRenderedPageBreak/>
              <w:t>reaches their 18</w:t>
            </w:r>
            <w:r w:rsidR="004E6A71" w:rsidRPr="005C65E9">
              <w:rPr>
                <w:sz w:val="24"/>
                <w:szCs w:val="24"/>
                <w:vertAlign w:val="superscript"/>
              </w:rPr>
              <w:t>th</w:t>
            </w:r>
            <w:r w:rsidR="004E6A71">
              <w:rPr>
                <w:sz w:val="24"/>
                <w:szCs w:val="24"/>
              </w:rPr>
              <w:t xml:space="preserve"> birthday, they are considered an adult. At the age of 16, children can make informed decisions and are deemed to h</w:t>
            </w:r>
            <w:r>
              <w:rPr>
                <w:sz w:val="24"/>
                <w:szCs w:val="24"/>
              </w:rPr>
              <w:t xml:space="preserve">ave capacity, </w:t>
            </w:r>
            <w:r w:rsidR="004E6A71">
              <w:rPr>
                <w:sz w:val="24"/>
                <w:szCs w:val="24"/>
              </w:rPr>
              <w:t xml:space="preserve">however are bound by legislation and </w:t>
            </w:r>
            <w:r w:rsidR="00EA617B">
              <w:rPr>
                <w:sz w:val="24"/>
                <w:szCs w:val="24"/>
              </w:rPr>
              <w:t>protocols relating to children.</w:t>
            </w:r>
          </w:p>
          <w:p w14:paraId="3540DB95" w14:textId="77777777" w:rsidR="004E6A71" w:rsidRDefault="004E6A71" w:rsidP="004E6A71">
            <w:pPr>
              <w:jc w:val="both"/>
              <w:rPr>
                <w:sz w:val="24"/>
                <w:szCs w:val="24"/>
              </w:rPr>
            </w:pPr>
          </w:p>
          <w:p w14:paraId="1434AAD7" w14:textId="777B9FD2" w:rsidR="004E6A71" w:rsidRDefault="004E6A71" w:rsidP="004E6A71">
            <w:pPr>
              <w:jc w:val="both"/>
              <w:rPr>
                <w:sz w:val="24"/>
                <w:szCs w:val="24"/>
              </w:rPr>
            </w:pPr>
            <w:r>
              <w:rPr>
                <w:sz w:val="24"/>
                <w:szCs w:val="24"/>
              </w:rPr>
              <w:t>The WSP encourages practitioners to gain consent from adults and childr</w:t>
            </w:r>
            <w:r w:rsidR="00EA617B">
              <w:rPr>
                <w:sz w:val="24"/>
                <w:szCs w:val="24"/>
              </w:rPr>
              <w:t>en, as this leads to better engagement by being</w:t>
            </w:r>
            <w:r>
              <w:rPr>
                <w:sz w:val="24"/>
                <w:szCs w:val="24"/>
              </w:rPr>
              <w:t xml:space="preserve"> person</w:t>
            </w:r>
            <w:r w:rsidR="00EA617B">
              <w:rPr>
                <w:sz w:val="24"/>
                <w:szCs w:val="24"/>
              </w:rPr>
              <w:t xml:space="preserve">/child-centred leading </w:t>
            </w:r>
            <w:r>
              <w:rPr>
                <w:sz w:val="24"/>
                <w:szCs w:val="24"/>
              </w:rPr>
              <w:t xml:space="preserve">to better outcomes </w:t>
            </w:r>
            <w:sdt>
              <w:sdtPr>
                <w:rPr>
                  <w:sz w:val="24"/>
                  <w:szCs w:val="24"/>
                </w:rPr>
                <w:id w:val="-4054171"/>
                <w:citation/>
              </w:sdtPr>
              <w:sdtEndPr/>
              <w:sdtContent>
                <w:r>
                  <w:rPr>
                    <w:sz w:val="24"/>
                    <w:szCs w:val="24"/>
                  </w:rPr>
                  <w:fldChar w:fldCharType="begin"/>
                </w:r>
                <w:r>
                  <w:rPr>
                    <w:sz w:val="24"/>
                    <w:szCs w:val="24"/>
                  </w:rPr>
                  <w:instrText xml:space="preserve"> CITATION Soc24 \l 2057 </w:instrText>
                </w:r>
                <w:r>
                  <w:rPr>
                    <w:sz w:val="24"/>
                    <w:szCs w:val="24"/>
                  </w:rPr>
                  <w:fldChar w:fldCharType="separate"/>
                </w:r>
                <w:r w:rsidRPr="00066E1F">
                  <w:rPr>
                    <w:noProof/>
                    <w:sz w:val="24"/>
                    <w:szCs w:val="24"/>
                  </w:rPr>
                  <w:t>(Social Care Wales, 2024)</w:t>
                </w:r>
                <w:r>
                  <w:rPr>
                    <w:sz w:val="24"/>
                    <w:szCs w:val="24"/>
                  </w:rPr>
                  <w:fldChar w:fldCharType="end"/>
                </w:r>
              </w:sdtContent>
            </w:sdt>
            <w:r>
              <w:rPr>
                <w:sz w:val="24"/>
                <w:szCs w:val="24"/>
              </w:rPr>
              <w:t>. Consent should be obtained by the adult unl</w:t>
            </w:r>
            <w:r w:rsidR="00EA617B">
              <w:rPr>
                <w:sz w:val="24"/>
                <w:szCs w:val="24"/>
              </w:rPr>
              <w:t xml:space="preserve">ess there is reasonable cause for not doing so. Consent </w:t>
            </w:r>
            <w:r>
              <w:rPr>
                <w:sz w:val="24"/>
                <w:szCs w:val="24"/>
              </w:rPr>
              <w:t>should always be tried</w:t>
            </w:r>
            <w:r w:rsidR="00EA617B">
              <w:rPr>
                <w:sz w:val="24"/>
                <w:szCs w:val="24"/>
              </w:rPr>
              <w:t xml:space="preserve"> from the child,</w:t>
            </w:r>
            <w:r>
              <w:rPr>
                <w:sz w:val="24"/>
                <w:szCs w:val="24"/>
              </w:rPr>
              <w:t xml:space="preserve"> however in some circumstances conversations may need to happen without parent/carer’s knowledge if they are the suspected perpetrator. </w:t>
            </w:r>
            <w:r w:rsidR="005C246E">
              <w:rPr>
                <w:sz w:val="24"/>
                <w:szCs w:val="24"/>
              </w:rPr>
              <w:t xml:space="preserve">A </w:t>
            </w:r>
            <w:r>
              <w:rPr>
                <w:sz w:val="24"/>
                <w:szCs w:val="24"/>
              </w:rPr>
              <w:t>child or parents decision to refuse a report can be overridden if there are continuous safeguarding concerns.</w:t>
            </w:r>
          </w:p>
          <w:p w14:paraId="438AA710" w14:textId="0FAD0582" w:rsidR="004E6A71" w:rsidRDefault="004E6A71" w:rsidP="004E6A71">
            <w:pPr>
              <w:jc w:val="both"/>
              <w:rPr>
                <w:sz w:val="24"/>
                <w:szCs w:val="24"/>
              </w:rPr>
            </w:pPr>
          </w:p>
          <w:p w14:paraId="7BB8F73B" w14:textId="4B523CD0" w:rsidR="005C246E" w:rsidRPr="005C246E" w:rsidRDefault="00EA617B" w:rsidP="004E6A71">
            <w:pPr>
              <w:jc w:val="both"/>
              <w:rPr>
                <w:b/>
                <w:sz w:val="24"/>
                <w:szCs w:val="24"/>
              </w:rPr>
            </w:pPr>
            <w:r>
              <w:rPr>
                <w:b/>
                <w:sz w:val="24"/>
                <w:szCs w:val="24"/>
              </w:rPr>
              <w:t>439 words</w:t>
            </w:r>
          </w:p>
          <w:p w14:paraId="39E95472" w14:textId="77777777" w:rsidR="005C246E" w:rsidRDefault="005C246E" w:rsidP="00FC0334">
            <w:pPr>
              <w:jc w:val="both"/>
              <w:rPr>
                <w:i/>
                <w:sz w:val="24"/>
                <w:szCs w:val="24"/>
              </w:rPr>
            </w:pPr>
          </w:p>
          <w:p w14:paraId="6BA3DD84" w14:textId="2850AC28"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01F428C9" w:rsidR="00FC0334" w:rsidRDefault="00FC0334" w:rsidP="00FC0334">
      <w:pPr>
        <w:rPr>
          <w:sz w:val="24"/>
          <w:szCs w:val="24"/>
        </w:rPr>
      </w:pPr>
    </w:p>
    <w:p w14:paraId="5D3ED0DE" w14:textId="22BB0492" w:rsidR="00361BFD" w:rsidRPr="00EB547D" w:rsidRDefault="00361BFD" w:rsidP="00EB547D">
      <w:pPr>
        <w:pStyle w:val="Heading1"/>
      </w:pPr>
    </w:p>
    <w:sectPr w:rsidR="00361BFD" w:rsidRPr="00EB547D"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30D60" w14:textId="77777777" w:rsidR="003665F2" w:rsidRDefault="003665F2">
      <w:r>
        <w:separator/>
      </w:r>
    </w:p>
  </w:endnote>
  <w:endnote w:type="continuationSeparator" w:id="0">
    <w:p w14:paraId="45BF19E8" w14:textId="77777777" w:rsidR="003665F2" w:rsidRDefault="00366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3256D32" w:rsidR="00A5656A" w:rsidRDefault="00A5656A">
    <w:pPr>
      <w:pStyle w:val="Footer"/>
      <w:jc w:val="right"/>
    </w:pPr>
    <w:r>
      <w:fldChar w:fldCharType="begin"/>
    </w:r>
    <w:r>
      <w:instrText xml:space="preserve"> PAGE   \* MERGEFORMAT </w:instrText>
    </w:r>
    <w:r>
      <w:fldChar w:fldCharType="separate"/>
    </w:r>
    <w:r w:rsidR="0083269C">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CC94D" w14:textId="77777777" w:rsidR="003665F2" w:rsidRDefault="003665F2">
      <w:r>
        <w:separator/>
      </w:r>
    </w:p>
  </w:footnote>
  <w:footnote w:type="continuationSeparator" w:id="0">
    <w:p w14:paraId="477F6D2E" w14:textId="77777777" w:rsidR="003665F2" w:rsidRDefault="003665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A4D"/>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BFD"/>
    <w:rsid w:val="00365DF9"/>
    <w:rsid w:val="003665F2"/>
    <w:rsid w:val="0037066E"/>
    <w:rsid w:val="00372DB4"/>
    <w:rsid w:val="00373A36"/>
    <w:rsid w:val="0037419E"/>
    <w:rsid w:val="00375AF5"/>
    <w:rsid w:val="003761BD"/>
    <w:rsid w:val="00377448"/>
    <w:rsid w:val="00377884"/>
    <w:rsid w:val="003826BD"/>
    <w:rsid w:val="00384ABA"/>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A71"/>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46E"/>
    <w:rsid w:val="005C287C"/>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0E23"/>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6F7521"/>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0CA9"/>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69C"/>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7C4E"/>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53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EAC"/>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75C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17B"/>
    <w:rsid w:val="00EA7ADF"/>
    <w:rsid w:val="00EB2173"/>
    <w:rsid w:val="00EB547D"/>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7274"/>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1Char">
    <w:name w:val="Heading 1 Char"/>
    <w:basedOn w:val="DefaultParagraphFont"/>
    <w:link w:val="Heading1"/>
    <w:uiPriority w:val="9"/>
    <w:rsid w:val="00361BFD"/>
    <w:rPr>
      <w:rFonts w:ascii="Arial" w:hAnsi="Arial" w:cs="Arial"/>
      <w:b/>
      <w:color w:val="000000"/>
      <w:kern w:val="28"/>
      <w:sz w:val="28"/>
    </w:rPr>
  </w:style>
  <w:style w:type="paragraph" w:styleId="Bibliography">
    <w:name w:val="Bibliography"/>
    <w:basedOn w:val="Normal"/>
    <w:next w:val="Normal"/>
    <w:uiPriority w:val="37"/>
    <w:unhideWhenUsed/>
    <w:rsid w:val="00361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Soc231</b:Tag>
    <b:SourceType>InternetSite</b:SourceType>
    <b:Guid>{43E36B0F-452E-4C78-BE6F-AEB41F96E663}</b:Guid>
    <b:Author>
      <b:Author>
        <b:Corporate>Social Care Wales</b:Corporate>
      </b:Author>
    </b:Author>
    <b:Title>Social Services and Well-being (Wales) Act 2014</b:Title>
    <b:Year>2023</b:Year>
    <b:Month>07</b:Month>
    <b:Day>27</b:Day>
    <b:URL>https://socialcare.wales/resources-guidance/information-and-learning-hub/sswbact/overview</b:URL>
    <b:RefOrder>8</b:RefOrder>
  </b:Source>
  <b:Source>
    <b:Tag>Ann24</b:Tag>
    <b:SourceType>InternetSite</b:SourceType>
    <b:Guid>{BB1DB1D5-8478-42FA-9DA9-7992A6E3143E}</b:Guid>
    <b:Author>
      <b:Author>
        <b:Corporate>Ann Craft Trust</b:Corporate>
      </b:Author>
    </b:Author>
    <b:Title>Safeguarding Adults and Risk Definitions</b:Title>
    <b:Year>2024</b:Year>
    <b:URL>https://www.anncrafttrust.org/resources/safeguarding-adults-at-risk-definitions/</b:URL>
    <b:RefOrder>3</b:RefOrder>
  </b:Source>
  <b:Source>
    <b:Tag>Wel14</b:Tag>
    <b:SourceType>InternetSite</b:SourceType>
    <b:Guid>{798433FE-0613-4534-A4E6-1D1A0C760D0F}</b:Guid>
    <b:Author>
      <b:Author>
        <b:Corporate>Welsh Government</b:Corporate>
      </b:Author>
    </b:Author>
    <b:Title>Social Services and Well-being (Wales) Act 2014</b:Title>
    <b:Year>2014</b:Year>
    <b:URL>https://www.legislation.gov.uk/anaw/2014/4/part/11/crossheading/general</b:URL>
    <b:RefOrder>4</b:RefOrder>
  </b:Source>
  <b:Source>
    <b:Tag>Wel171</b:Tag>
    <b:SourceType>InternetSite</b:SourceType>
    <b:Guid>{29748B27-18F8-4FCA-B712-8EE24B46622E}</b:Guid>
    <b:Author>
      <b:Author>
        <b:Corporate>Welsh Government</b:Corporate>
      </b:Author>
    </b:Author>
    <b:Title>Safeguarding is everyone's responsibility</b:Title>
    <b:Year>2017</b:Year>
    <b:Month>11</b:Month>
    <b:Day>13</b:Day>
    <b:URL>https://www.gov.wales/safeguarding-everyones-responsibility-huw-irranca-davies</b:URL>
    <b:RefOrder>9</b:RefOrder>
  </b:Source>
  <b:Source>
    <b:Tag>Gov19</b:Tag>
    <b:SourceType>DocumentFromInternetSite</b:SourceType>
    <b:Guid>{CC736FA3-759D-4C2F-918E-8A81E33D5B35}</b:Guid>
    <b:Author>
      <b:Author>
        <b:NameList>
          <b:Person>
            <b:Last>Government</b:Last>
            <b:First>Welsh</b:First>
          </b:Person>
        </b:NameList>
      </b:Author>
    </b:Author>
    <b:Title>Social Services and Well-being (Wales) Act 2014: Working Together to Safeguard People:</b:Title>
    <b:Year>2019</b:Year>
    <b:URL>https://www.gov.wales/sites/default/files/publications/2019-06/volume-6-handling-individual-cases-to-protect-adults-at-risk.pdf</b:URL>
    <b:RefOrder>6</b:RefOrder>
  </b:Source>
  <b:Source>
    <b:Tag>Pub13</b:Tag>
    <b:SourceType>DocumentFromInternetSite</b:SourceType>
    <b:Guid>{0346C775-4F20-4B0D-AF55-81D2C5CA33CB}</b:Guid>
    <b:Author>
      <b:Author>
        <b:Corporate>Public Health Wales</b:Corporate>
      </b:Author>
    </b:Author>
    <b:Title>ADULT AT RISK PROCEDURE</b:Title>
    <b:Year>2013</b:Year>
    <b:Month>10</b:Month>
    <b:Day>19</b:Day>
    <b:URL>https://phw.nhs.wales/about-us/policies-and-procedures/policies-and-procedures-documents/safeguarding-children-and-vulnerable-adults-supporting-documents/adults-at-risk-procedure/</b:URL>
    <b:RefOrder>5</b:RefOrder>
  </b:Source>
  <b:Source>
    <b:Tag>Nor24</b:Tag>
    <b:SourceType>DocumentFromInternetSite</b:SourceType>
    <b:Guid>{D12A683A-CD92-4A0A-9397-700931061544}</b:Guid>
    <b:Author>
      <b:Author>
        <b:Corporate>XXX Safeguarding Board</b:Corporate>
      </b:Author>
    </b:Author>
    <b:Title>INTRODUCTION TO THE XXX SAFEGUARDING ADULTS BOARD</b:Title>
    <b:Year>2024</b:Year>
    <b:RefOrder>7</b:RefOrder>
  </b:Source>
  <b:Source>
    <b:Tag>Car19</b:Tag>
    <b:SourceType>InternetSite</b:SourceType>
    <b:Guid>{48D4BAD0-9620-4E11-A3A3-A513864798EE}</b:Guid>
    <b:Author>
      <b:Author>
        <b:Corporate>XXX Regional Safeguarding Board</b:Corporate>
      </b:Author>
    </b:Author>
    <b:Title>Wales Safeguarding Procedures</b:Title>
    <b:Year>2019</b:Year>
    <b:URL>XXX Regional Safeguarding Board</b:URL>
    <b:RefOrder>2</b:RefOrder>
  </b:Source>
  <b:Source>
    <b:Tag>Soc24</b:Tag>
    <b:SourceType>InternetSite</b:SourceType>
    <b:Guid>{4023555B-FE66-46E4-8D48-D3105155353B}</b:Guid>
    <b:Title>Wales Safeguarding Procedures</b:Title>
    <b:Year>2024</b:Year>
    <b:URL>https://safeguarding.wales/en/</b:URL>
    <b:Author>
      <b:Author>
        <b:Corporate>Social Care Wales</b:Corporate>
      </b:Author>
    </b:Author>
    <b:RefOrder>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9B7C54-322E-4255-A28E-79B3CBDC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Vicars (BCUHB - Child &amp; Adolescent Health)</cp:lastModifiedBy>
  <cp:revision>16</cp:revision>
  <cp:lastPrinted>2020-02-11T19:20:00Z</cp:lastPrinted>
  <dcterms:created xsi:type="dcterms:W3CDTF">2024-01-31T11:26:00Z</dcterms:created>
  <dcterms:modified xsi:type="dcterms:W3CDTF">2024-02-04T13:07:00Z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