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9378C" w14:textId="34F7B6FB" w:rsidR="006A5DB2" w:rsidRPr="00075AF1" w:rsidRDefault="00075AF1" w:rsidP="00075AF1">
      <w:pPr>
        <w:spacing w:line="360" w:lineRule="auto"/>
        <w:rPr>
          <w:b/>
          <w:sz w:val="28"/>
          <w:szCs w:val="28"/>
          <w:lang w:val="en-GB"/>
        </w:rPr>
      </w:pPr>
      <w:r w:rsidRPr="00075AF1">
        <w:rPr>
          <w:noProof/>
          <w:sz w:val="28"/>
          <w:szCs w:val="28"/>
          <w14:ligatures w14:val="standardContextual"/>
        </w:rPr>
        <w:drawing>
          <wp:inline distT="0" distB="0" distL="0" distR="0" wp14:anchorId="1E3392DA" wp14:editId="4AD7F29D">
            <wp:extent cx="3638550" cy="1819275"/>
            <wp:effectExtent l="0" t="0" r="0" b="9525"/>
            <wp:docPr id="52761489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1"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1634CD01" w14:textId="77777777" w:rsidR="006A5DB2" w:rsidRPr="009E3E62" w:rsidRDefault="006A5DB2" w:rsidP="004E2264">
      <w:pPr>
        <w:spacing w:line="360" w:lineRule="auto"/>
        <w:jc w:val="center"/>
        <w:rPr>
          <w:b/>
          <w:sz w:val="32"/>
          <w:lang w:val="en-GB"/>
        </w:rPr>
      </w:pPr>
    </w:p>
    <w:p w14:paraId="20008B73" w14:textId="2BE35199" w:rsidR="00113EEB" w:rsidRDefault="00075AF1" w:rsidP="00075AF1">
      <w:pPr>
        <w:spacing w:line="360" w:lineRule="auto"/>
        <w:rPr>
          <w:b/>
          <w:sz w:val="40"/>
          <w:szCs w:val="40"/>
          <w:lang w:val="en-GB"/>
        </w:rPr>
      </w:pPr>
      <w:r>
        <w:rPr>
          <w:b/>
          <w:sz w:val="32"/>
          <w:lang w:val="en-GB"/>
        </w:rPr>
        <w:t xml:space="preserve">                               </w:t>
      </w:r>
      <w:r w:rsidR="006A5DB2" w:rsidRPr="00075AF1">
        <w:rPr>
          <w:b/>
          <w:sz w:val="40"/>
          <w:szCs w:val="40"/>
          <w:lang w:val="en-GB"/>
        </w:rPr>
        <w:t>PROJECT MANAGEMENT</w:t>
      </w:r>
    </w:p>
    <w:p w14:paraId="325978BE" w14:textId="70D5A180" w:rsidR="00347D42" w:rsidRPr="00075AF1" w:rsidRDefault="00347D42" w:rsidP="00075AF1">
      <w:pPr>
        <w:spacing w:line="360" w:lineRule="auto"/>
        <w:rPr>
          <w:b/>
          <w:sz w:val="40"/>
          <w:szCs w:val="40"/>
          <w:lang w:val="en-GB"/>
        </w:rPr>
      </w:pPr>
      <w:r>
        <w:rPr>
          <w:b/>
          <w:sz w:val="40"/>
          <w:szCs w:val="40"/>
          <w:lang w:val="en-GB"/>
        </w:rPr>
        <w:t xml:space="preserve">                           </w:t>
      </w:r>
      <w:r w:rsidR="00F02627">
        <w:rPr>
          <w:b/>
          <w:sz w:val="40"/>
          <w:szCs w:val="40"/>
          <w:lang w:val="en-GB"/>
        </w:rPr>
        <w:t xml:space="preserve">    </w:t>
      </w:r>
      <w:r>
        <w:rPr>
          <w:b/>
          <w:sz w:val="40"/>
          <w:szCs w:val="40"/>
          <w:lang w:val="en-GB"/>
        </w:rPr>
        <w:t>Component 1</w:t>
      </w:r>
      <w:r w:rsidR="00F02627">
        <w:rPr>
          <w:b/>
          <w:sz w:val="40"/>
          <w:szCs w:val="40"/>
          <w:lang w:val="en-GB"/>
        </w:rPr>
        <w:t>:Essay</w:t>
      </w:r>
    </w:p>
    <w:p w14:paraId="2882C163" w14:textId="77777777" w:rsidR="006A5DB2" w:rsidRPr="009E3E62" w:rsidRDefault="006A5DB2" w:rsidP="004E2264">
      <w:pPr>
        <w:spacing w:line="360" w:lineRule="auto"/>
        <w:jc w:val="center"/>
        <w:rPr>
          <w:b/>
          <w:sz w:val="32"/>
          <w:lang w:val="en-GB"/>
        </w:rPr>
      </w:pPr>
    </w:p>
    <w:p w14:paraId="3B41B79A" w14:textId="59A1B83A" w:rsidR="006A5DB2" w:rsidRPr="00F96708" w:rsidRDefault="006A5DB2" w:rsidP="004E2264">
      <w:pPr>
        <w:spacing w:line="360" w:lineRule="auto"/>
        <w:jc w:val="center"/>
        <w:rPr>
          <w:b/>
          <w:i/>
          <w:sz w:val="36"/>
          <w:szCs w:val="36"/>
          <w:lang w:val="en-GB"/>
        </w:rPr>
      </w:pPr>
      <w:r w:rsidRPr="00F96708">
        <w:rPr>
          <w:b/>
          <w:i/>
          <w:sz w:val="36"/>
          <w:szCs w:val="36"/>
          <w:lang w:val="en-GB"/>
        </w:rPr>
        <w:t xml:space="preserve">Student name: </w:t>
      </w:r>
      <w:r w:rsidR="00F96708" w:rsidRPr="00F96708">
        <w:rPr>
          <w:b/>
          <w:i/>
          <w:sz w:val="36"/>
          <w:szCs w:val="36"/>
          <w:lang w:val="en-GB"/>
        </w:rPr>
        <w:t>Ovidiu Calin Muresan</w:t>
      </w:r>
    </w:p>
    <w:p w14:paraId="68E9734D" w14:textId="77777777" w:rsidR="00A56A23" w:rsidRDefault="006A5DB2" w:rsidP="004E2264">
      <w:pPr>
        <w:spacing w:line="360" w:lineRule="auto"/>
        <w:jc w:val="center"/>
        <w:rPr>
          <w:b/>
          <w:i/>
          <w:sz w:val="36"/>
          <w:szCs w:val="36"/>
          <w:lang w:val="en-GB"/>
        </w:rPr>
      </w:pPr>
      <w:r w:rsidRPr="00F96708">
        <w:rPr>
          <w:b/>
          <w:i/>
          <w:sz w:val="36"/>
          <w:szCs w:val="36"/>
          <w:lang w:val="en-GB"/>
        </w:rPr>
        <w:t>Student ID:</w:t>
      </w:r>
      <w:r w:rsidR="00654DEA">
        <w:rPr>
          <w:b/>
          <w:i/>
          <w:sz w:val="36"/>
          <w:szCs w:val="36"/>
          <w:lang w:val="en-GB"/>
        </w:rPr>
        <w:t>2131059</w:t>
      </w:r>
    </w:p>
    <w:p w14:paraId="71CC7B7E" w14:textId="77777777" w:rsidR="00997B50" w:rsidRDefault="00A56A23" w:rsidP="004E2264">
      <w:pPr>
        <w:spacing w:line="360" w:lineRule="auto"/>
        <w:jc w:val="center"/>
        <w:rPr>
          <w:b/>
          <w:i/>
          <w:sz w:val="36"/>
          <w:szCs w:val="36"/>
          <w:lang w:val="en-GB"/>
        </w:rPr>
      </w:pPr>
      <w:r>
        <w:rPr>
          <w:b/>
          <w:i/>
          <w:sz w:val="36"/>
          <w:szCs w:val="36"/>
          <w:lang w:val="en-GB"/>
        </w:rPr>
        <w:t>Modul code</w:t>
      </w:r>
      <w:r w:rsidR="001673AD">
        <w:rPr>
          <w:b/>
          <w:i/>
          <w:sz w:val="36"/>
          <w:szCs w:val="36"/>
          <w:lang w:val="en-GB"/>
        </w:rPr>
        <w:t>:</w:t>
      </w:r>
      <w:r w:rsidR="00F517BD">
        <w:rPr>
          <w:b/>
          <w:i/>
          <w:sz w:val="36"/>
          <w:szCs w:val="36"/>
          <w:lang w:val="en-GB"/>
        </w:rPr>
        <w:t>LCBB5005</w:t>
      </w:r>
    </w:p>
    <w:p w14:paraId="44BAE494" w14:textId="77777777" w:rsidR="00B5481D" w:rsidRDefault="00997B50" w:rsidP="004E2264">
      <w:pPr>
        <w:spacing w:line="360" w:lineRule="auto"/>
        <w:jc w:val="center"/>
        <w:rPr>
          <w:b/>
          <w:i/>
          <w:sz w:val="36"/>
          <w:szCs w:val="36"/>
          <w:lang w:val="en-GB"/>
        </w:rPr>
      </w:pPr>
      <w:proofErr w:type="spellStart"/>
      <w:r>
        <w:rPr>
          <w:b/>
          <w:i/>
          <w:sz w:val="36"/>
          <w:szCs w:val="36"/>
          <w:lang w:val="en-GB"/>
        </w:rPr>
        <w:t>Lecturer:Dr.</w:t>
      </w:r>
      <w:r w:rsidR="00A421C1">
        <w:rPr>
          <w:b/>
          <w:i/>
          <w:sz w:val="36"/>
          <w:szCs w:val="36"/>
          <w:lang w:val="en-GB"/>
        </w:rPr>
        <w:t>Xavier</w:t>
      </w:r>
      <w:proofErr w:type="spellEnd"/>
      <w:r w:rsidR="00A421C1">
        <w:rPr>
          <w:b/>
          <w:i/>
          <w:sz w:val="36"/>
          <w:szCs w:val="36"/>
          <w:lang w:val="en-GB"/>
        </w:rPr>
        <w:t xml:space="preserve"> </w:t>
      </w:r>
      <w:proofErr w:type="spellStart"/>
      <w:r w:rsidR="00A421C1">
        <w:rPr>
          <w:b/>
          <w:i/>
          <w:sz w:val="36"/>
          <w:szCs w:val="36"/>
          <w:lang w:val="en-GB"/>
        </w:rPr>
        <w:t>Matieni</w:t>
      </w:r>
      <w:proofErr w:type="spellEnd"/>
    </w:p>
    <w:p w14:paraId="34B3BA5F" w14:textId="4661ADC3" w:rsidR="006A5DB2" w:rsidRPr="00F96708" w:rsidRDefault="00472EB3" w:rsidP="004E2264">
      <w:pPr>
        <w:spacing w:line="360" w:lineRule="auto"/>
        <w:jc w:val="center"/>
        <w:rPr>
          <w:b/>
          <w:i/>
          <w:sz w:val="36"/>
          <w:szCs w:val="36"/>
          <w:lang w:val="en-GB"/>
        </w:rPr>
      </w:pPr>
      <w:r>
        <w:rPr>
          <w:b/>
          <w:i/>
          <w:sz w:val="36"/>
          <w:szCs w:val="36"/>
          <w:lang w:val="en-GB"/>
        </w:rPr>
        <w:t>Submision</w:t>
      </w:r>
      <w:r w:rsidR="00DF3C06">
        <w:rPr>
          <w:b/>
          <w:i/>
          <w:sz w:val="36"/>
          <w:szCs w:val="36"/>
          <w:lang w:val="en-GB"/>
        </w:rPr>
        <w:t>:06/04/2024</w:t>
      </w:r>
      <w:r w:rsidR="006A5DB2" w:rsidRPr="00F96708">
        <w:rPr>
          <w:b/>
          <w:i/>
          <w:sz w:val="36"/>
          <w:szCs w:val="36"/>
          <w:lang w:val="en-GB"/>
        </w:rPr>
        <w:t xml:space="preserve"> </w:t>
      </w:r>
    </w:p>
    <w:p w14:paraId="5062CDAC" w14:textId="797923F6" w:rsidR="00113EEB" w:rsidRPr="009E3E62" w:rsidRDefault="00113EEB" w:rsidP="004E2264">
      <w:pPr>
        <w:spacing w:line="360" w:lineRule="auto"/>
        <w:rPr>
          <w:lang w:val="en-GB"/>
        </w:rPr>
      </w:pPr>
      <w:r w:rsidRPr="009E3E62">
        <w:rPr>
          <w:lang w:val="en-GB"/>
        </w:rPr>
        <w:br w:type="page"/>
      </w:r>
    </w:p>
    <w:p w14:paraId="55FF2916" w14:textId="5780AAB2" w:rsidR="006A5DB2" w:rsidRPr="009E3E62" w:rsidRDefault="006A5DB2" w:rsidP="00BE661A">
      <w:pPr>
        <w:jc w:val="center"/>
        <w:rPr>
          <w:b/>
          <w:sz w:val="28"/>
          <w:lang w:val="en-GB"/>
        </w:rPr>
      </w:pPr>
      <w:r w:rsidRPr="009E3E62">
        <w:rPr>
          <w:b/>
          <w:sz w:val="28"/>
          <w:lang w:val="en-GB"/>
        </w:rPr>
        <w:lastRenderedPageBreak/>
        <w:t>Table of Content</w:t>
      </w:r>
    </w:p>
    <w:sdt>
      <w:sdtPr>
        <w:rPr>
          <w:rFonts w:ascii="Times New Roman" w:eastAsiaTheme="minorHAnsi" w:hAnsi="Times New Roman" w:cstheme="minorBidi"/>
          <w:color w:val="auto"/>
          <w:sz w:val="24"/>
          <w:szCs w:val="22"/>
          <w:lang w:val="en-GB"/>
        </w:rPr>
        <w:id w:val="326562866"/>
        <w:docPartObj>
          <w:docPartGallery w:val="Table of Contents"/>
          <w:docPartUnique/>
        </w:docPartObj>
      </w:sdtPr>
      <w:sdtEndPr>
        <w:rPr>
          <w:b/>
          <w:bCs/>
          <w:noProof/>
        </w:rPr>
      </w:sdtEndPr>
      <w:sdtContent>
        <w:p w14:paraId="720FFA16" w14:textId="479A5A25" w:rsidR="00BE661A" w:rsidRPr="009E3E62" w:rsidRDefault="00BE661A">
          <w:pPr>
            <w:pStyle w:val="TOCHeading"/>
            <w:rPr>
              <w:lang w:val="en-GB"/>
            </w:rPr>
          </w:pPr>
        </w:p>
        <w:p w14:paraId="21940146" w14:textId="77777777" w:rsidR="00A712A2" w:rsidRPr="009E3E62" w:rsidRDefault="00BE661A" w:rsidP="00A712A2">
          <w:pPr>
            <w:pStyle w:val="TOC1"/>
            <w:tabs>
              <w:tab w:val="right" w:leader="dot" w:pos="9016"/>
            </w:tabs>
            <w:spacing w:line="360" w:lineRule="auto"/>
            <w:jc w:val="both"/>
            <w:rPr>
              <w:rFonts w:asciiTheme="minorHAnsi" w:eastAsiaTheme="minorEastAsia" w:hAnsiTheme="minorHAnsi"/>
              <w:noProof/>
              <w:sz w:val="22"/>
              <w:lang w:val="en-GB" w:eastAsia="en-IN"/>
            </w:rPr>
          </w:pPr>
          <w:r w:rsidRPr="009E3E62">
            <w:rPr>
              <w:lang w:val="en-GB"/>
            </w:rPr>
            <w:fldChar w:fldCharType="begin"/>
          </w:r>
          <w:r w:rsidRPr="009E3E62">
            <w:rPr>
              <w:lang w:val="en-GB"/>
            </w:rPr>
            <w:instrText xml:space="preserve"> TOC \o "1-3" \h \z \u </w:instrText>
          </w:r>
          <w:r w:rsidRPr="009E3E62">
            <w:rPr>
              <w:lang w:val="en-GB"/>
            </w:rPr>
            <w:fldChar w:fldCharType="separate"/>
          </w:r>
          <w:hyperlink w:anchor="_Toc162623713" w:history="1">
            <w:r w:rsidR="00A712A2" w:rsidRPr="009E3E62">
              <w:rPr>
                <w:rStyle w:val="Hyperlink"/>
                <w:noProof/>
                <w:lang w:val="en-GB"/>
              </w:rPr>
              <w:t>Introduction</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_Toc162623713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3</w:t>
            </w:r>
            <w:r w:rsidR="00A712A2" w:rsidRPr="009E3E62">
              <w:rPr>
                <w:noProof/>
                <w:webHidden/>
                <w:lang w:val="en-GB"/>
              </w:rPr>
              <w:fldChar w:fldCharType="end"/>
            </w:r>
          </w:hyperlink>
        </w:p>
        <w:p w14:paraId="46019E3D" w14:textId="77777777" w:rsidR="00A712A2" w:rsidRPr="009E3E62" w:rsidRDefault="00000000" w:rsidP="00A712A2">
          <w:pPr>
            <w:pStyle w:val="TOC1"/>
            <w:tabs>
              <w:tab w:val="right" w:leader="dot" w:pos="9016"/>
            </w:tabs>
            <w:spacing w:line="360" w:lineRule="auto"/>
            <w:jc w:val="both"/>
            <w:rPr>
              <w:rFonts w:asciiTheme="minorHAnsi" w:eastAsiaTheme="minorEastAsia" w:hAnsiTheme="minorHAnsi"/>
              <w:noProof/>
              <w:sz w:val="22"/>
              <w:lang w:val="en-GB" w:eastAsia="en-IN"/>
            </w:rPr>
          </w:pPr>
          <w:hyperlink w:anchor="_Toc162623714" w:history="1">
            <w:r w:rsidR="00A712A2" w:rsidRPr="009E3E62">
              <w:rPr>
                <w:rStyle w:val="Hyperlink"/>
                <w:noProof/>
                <w:lang w:val="en-GB"/>
              </w:rPr>
              <w:t>Evaluation of core elements</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_Toc162623714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3</w:t>
            </w:r>
            <w:r w:rsidR="00A712A2" w:rsidRPr="009E3E62">
              <w:rPr>
                <w:noProof/>
                <w:webHidden/>
                <w:lang w:val="en-GB"/>
              </w:rPr>
              <w:fldChar w:fldCharType="end"/>
            </w:r>
          </w:hyperlink>
        </w:p>
        <w:p w14:paraId="472072C3" w14:textId="77777777" w:rsidR="00A712A2" w:rsidRPr="009E3E62" w:rsidRDefault="00000000" w:rsidP="00A712A2">
          <w:pPr>
            <w:pStyle w:val="TOC2"/>
            <w:tabs>
              <w:tab w:val="right" w:leader="dot" w:pos="9016"/>
            </w:tabs>
            <w:spacing w:line="360" w:lineRule="auto"/>
            <w:jc w:val="both"/>
            <w:rPr>
              <w:rFonts w:asciiTheme="minorHAnsi" w:eastAsiaTheme="minorEastAsia" w:hAnsiTheme="minorHAnsi"/>
              <w:noProof/>
              <w:sz w:val="22"/>
              <w:lang w:val="en-GB" w:eastAsia="en-IN"/>
            </w:rPr>
          </w:pPr>
          <w:hyperlink w:anchor="_Toc162623715" w:history="1">
            <w:r w:rsidR="00A712A2" w:rsidRPr="009E3E62">
              <w:rPr>
                <w:rStyle w:val="Hyperlink"/>
                <w:noProof/>
                <w:lang w:val="en-GB"/>
              </w:rPr>
              <w:t>Budget</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_Toc162623715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3</w:t>
            </w:r>
            <w:r w:rsidR="00A712A2" w:rsidRPr="009E3E62">
              <w:rPr>
                <w:noProof/>
                <w:webHidden/>
                <w:lang w:val="en-GB"/>
              </w:rPr>
              <w:fldChar w:fldCharType="end"/>
            </w:r>
          </w:hyperlink>
        </w:p>
        <w:p w14:paraId="42DF6C32" w14:textId="77777777" w:rsidR="00A712A2" w:rsidRPr="009E3E62" w:rsidRDefault="00000000" w:rsidP="00A712A2">
          <w:pPr>
            <w:pStyle w:val="TOC2"/>
            <w:tabs>
              <w:tab w:val="right" w:leader="dot" w:pos="9016"/>
            </w:tabs>
            <w:spacing w:line="360" w:lineRule="auto"/>
            <w:jc w:val="both"/>
            <w:rPr>
              <w:rFonts w:asciiTheme="minorHAnsi" w:eastAsiaTheme="minorEastAsia" w:hAnsiTheme="minorHAnsi"/>
              <w:noProof/>
              <w:sz w:val="22"/>
              <w:lang w:val="en-GB" w:eastAsia="en-IN"/>
            </w:rPr>
          </w:pPr>
          <w:hyperlink w:anchor="_Toc162623716" w:history="1">
            <w:r w:rsidR="00A712A2" w:rsidRPr="009E3E62">
              <w:rPr>
                <w:rStyle w:val="Hyperlink"/>
                <w:noProof/>
                <w:lang w:val="en-GB"/>
              </w:rPr>
              <w:t>Time</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_Toc162623716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4</w:t>
            </w:r>
            <w:r w:rsidR="00A712A2" w:rsidRPr="009E3E62">
              <w:rPr>
                <w:noProof/>
                <w:webHidden/>
                <w:lang w:val="en-GB"/>
              </w:rPr>
              <w:fldChar w:fldCharType="end"/>
            </w:r>
          </w:hyperlink>
        </w:p>
        <w:p w14:paraId="10468D56" w14:textId="77777777" w:rsidR="00A712A2" w:rsidRPr="009E3E62" w:rsidRDefault="00000000" w:rsidP="00A712A2">
          <w:pPr>
            <w:pStyle w:val="TOC2"/>
            <w:tabs>
              <w:tab w:val="right" w:leader="dot" w:pos="9016"/>
            </w:tabs>
            <w:spacing w:line="360" w:lineRule="auto"/>
            <w:jc w:val="both"/>
            <w:rPr>
              <w:rFonts w:asciiTheme="minorHAnsi" w:eastAsiaTheme="minorEastAsia" w:hAnsiTheme="minorHAnsi"/>
              <w:noProof/>
              <w:sz w:val="22"/>
              <w:lang w:val="en-GB" w:eastAsia="en-IN"/>
            </w:rPr>
          </w:pPr>
          <w:hyperlink w:anchor="_Toc162623717" w:history="1">
            <w:r w:rsidR="00A712A2" w:rsidRPr="009E3E62">
              <w:rPr>
                <w:rStyle w:val="Hyperlink"/>
                <w:noProof/>
                <w:lang w:val="en-GB"/>
              </w:rPr>
              <w:t>Quality</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_Toc162623717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5</w:t>
            </w:r>
            <w:r w:rsidR="00A712A2" w:rsidRPr="009E3E62">
              <w:rPr>
                <w:noProof/>
                <w:webHidden/>
                <w:lang w:val="en-GB"/>
              </w:rPr>
              <w:fldChar w:fldCharType="end"/>
            </w:r>
          </w:hyperlink>
        </w:p>
        <w:p w14:paraId="7DA8E78B" w14:textId="77777777" w:rsidR="00A712A2" w:rsidRPr="009E3E62" w:rsidRDefault="00000000" w:rsidP="00A712A2">
          <w:pPr>
            <w:pStyle w:val="TOC2"/>
            <w:tabs>
              <w:tab w:val="right" w:leader="dot" w:pos="9016"/>
            </w:tabs>
            <w:spacing w:line="360" w:lineRule="auto"/>
            <w:jc w:val="both"/>
            <w:rPr>
              <w:rFonts w:asciiTheme="minorHAnsi" w:eastAsiaTheme="minorEastAsia" w:hAnsiTheme="minorHAnsi"/>
              <w:noProof/>
              <w:sz w:val="22"/>
              <w:lang w:val="en-GB" w:eastAsia="en-IN"/>
            </w:rPr>
          </w:pPr>
          <w:hyperlink w:anchor="_Toc162623718" w:history="1">
            <w:r w:rsidR="00A712A2" w:rsidRPr="009E3E62">
              <w:rPr>
                <w:rStyle w:val="Hyperlink"/>
                <w:noProof/>
                <w:lang w:val="en-GB"/>
              </w:rPr>
              <w:t>Stakeholders</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_Toc162623718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6</w:t>
            </w:r>
            <w:r w:rsidR="00A712A2" w:rsidRPr="009E3E62">
              <w:rPr>
                <w:noProof/>
                <w:webHidden/>
                <w:lang w:val="en-GB"/>
              </w:rPr>
              <w:fldChar w:fldCharType="end"/>
            </w:r>
          </w:hyperlink>
        </w:p>
        <w:p w14:paraId="53C7AE64" w14:textId="77777777" w:rsidR="00A712A2" w:rsidRPr="009E3E62" w:rsidRDefault="00000000" w:rsidP="00A712A2">
          <w:pPr>
            <w:pStyle w:val="TOC2"/>
            <w:tabs>
              <w:tab w:val="right" w:leader="dot" w:pos="9016"/>
            </w:tabs>
            <w:spacing w:line="360" w:lineRule="auto"/>
            <w:jc w:val="both"/>
            <w:rPr>
              <w:rFonts w:asciiTheme="minorHAnsi" w:eastAsiaTheme="minorEastAsia" w:hAnsiTheme="minorHAnsi"/>
              <w:noProof/>
              <w:sz w:val="22"/>
              <w:lang w:val="en-GB" w:eastAsia="en-IN"/>
            </w:rPr>
          </w:pPr>
          <w:hyperlink w:anchor="_Toc162623719" w:history="1">
            <w:r w:rsidR="00A712A2" w:rsidRPr="009E3E62">
              <w:rPr>
                <w:rStyle w:val="Hyperlink"/>
                <w:noProof/>
                <w:lang w:val="en-GB"/>
              </w:rPr>
              <w:t>Risk factors</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_Toc162623719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7</w:t>
            </w:r>
            <w:r w:rsidR="00A712A2" w:rsidRPr="009E3E62">
              <w:rPr>
                <w:noProof/>
                <w:webHidden/>
                <w:lang w:val="en-GB"/>
              </w:rPr>
              <w:fldChar w:fldCharType="end"/>
            </w:r>
          </w:hyperlink>
        </w:p>
        <w:p w14:paraId="2E7A0593" w14:textId="77777777" w:rsidR="00A712A2" w:rsidRPr="009E3E62" w:rsidRDefault="00000000" w:rsidP="00A712A2">
          <w:pPr>
            <w:pStyle w:val="TOC1"/>
            <w:tabs>
              <w:tab w:val="right" w:leader="dot" w:pos="9016"/>
            </w:tabs>
            <w:spacing w:line="360" w:lineRule="auto"/>
            <w:jc w:val="both"/>
            <w:rPr>
              <w:rFonts w:asciiTheme="minorHAnsi" w:eastAsiaTheme="minorEastAsia" w:hAnsiTheme="minorHAnsi"/>
              <w:noProof/>
              <w:sz w:val="22"/>
              <w:lang w:val="en-GB" w:eastAsia="en-IN"/>
            </w:rPr>
          </w:pPr>
          <w:hyperlink w:anchor="_Toc162623720" w:history="1">
            <w:r w:rsidR="00A712A2" w:rsidRPr="009E3E62">
              <w:rPr>
                <w:rStyle w:val="Hyperlink"/>
                <w:noProof/>
                <w:lang w:val="en-GB"/>
              </w:rPr>
              <w:t>Conclusion</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_Toc162623720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8</w:t>
            </w:r>
            <w:r w:rsidR="00A712A2" w:rsidRPr="009E3E62">
              <w:rPr>
                <w:noProof/>
                <w:webHidden/>
                <w:lang w:val="en-GB"/>
              </w:rPr>
              <w:fldChar w:fldCharType="end"/>
            </w:r>
          </w:hyperlink>
        </w:p>
        <w:p w14:paraId="1A34AAAD" w14:textId="77777777" w:rsidR="00A712A2" w:rsidRPr="009E3E62" w:rsidRDefault="00000000" w:rsidP="00A712A2">
          <w:pPr>
            <w:pStyle w:val="TOC1"/>
            <w:tabs>
              <w:tab w:val="right" w:leader="dot" w:pos="9016"/>
            </w:tabs>
            <w:spacing w:line="360" w:lineRule="auto"/>
            <w:jc w:val="both"/>
            <w:rPr>
              <w:rFonts w:asciiTheme="minorHAnsi" w:eastAsiaTheme="minorEastAsia" w:hAnsiTheme="minorHAnsi"/>
              <w:noProof/>
              <w:sz w:val="22"/>
              <w:lang w:val="en-GB" w:eastAsia="en-IN"/>
            </w:rPr>
          </w:pPr>
          <w:hyperlink w:anchor="_Toc162623721" w:history="1">
            <w:r w:rsidR="00A712A2" w:rsidRPr="009E3E62">
              <w:rPr>
                <w:rStyle w:val="Hyperlink"/>
                <w:noProof/>
                <w:lang w:val="en-GB"/>
              </w:rPr>
              <w:t>Reference List</w:t>
            </w:r>
            <w:r w:rsidR="00A712A2" w:rsidRPr="009E3E62">
              <w:rPr>
                <w:noProof/>
                <w:webHidden/>
                <w:lang w:val="en-GB"/>
              </w:rPr>
              <w:tab/>
            </w:r>
            <w:r w:rsidR="00A712A2" w:rsidRPr="009E3E62">
              <w:rPr>
                <w:noProof/>
                <w:webHidden/>
                <w:lang w:val="en-GB"/>
              </w:rPr>
              <w:fldChar w:fldCharType="begin"/>
            </w:r>
            <w:r w:rsidR="00A712A2" w:rsidRPr="009E3E62">
              <w:rPr>
                <w:noProof/>
                <w:webHidden/>
                <w:lang w:val="en-GB"/>
              </w:rPr>
              <w:instrText xml:space="preserve"> PAGEREF _Toc162623721 \h </w:instrText>
            </w:r>
            <w:r w:rsidR="00A712A2" w:rsidRPr="009E3E62">
              <w:rPr>
                <w:noProof/>
                <w:webHidden/>
                <w:lang w:val="en-GB"/>
              </w:rPr>
            </w:r>
            <w:r w:rsidR="00A712A2" w:rsidRPr="009E3E62">
              <w:rPr>
                <w:noProof/>
                <w:webHidden/>
                <w:lang w:val="en-GB"/>
              </w:rPr>
              <w:fldChar w:fldCharType="separate"/>
            </w:r>
            <w:r w:rsidR="00A712A2" w:rsidRPr="009E3E62">
              <w:rPr>
                <w:noProof/>
                <w:webHidden/>
                <w:lang w:val="en-GB"/>
              </w:rPr>
              <w:t>10</w:t>
            </w:r>
            <w:r w:rsidR="00A712A2" w:rsidRPr="009E3E62">
              <w:rPr>
                <w:noProof/>
                <w:webHidden/>
                <w:lang w:val="en-GB"/>
              </w:rPr>
              <w:fldChar w:fldCharType="end"/>
            </w:r>
          </w:hyperlink>
        </w:p>
        <w:p w14:paraId="69FA0385" w14:textId="321DF081" w:rsidR="00BE661A" w:rsidRPr="009E3E62" w:rsidRDefault="00BE661A">
          <w:pPr>
            <w:rPr>
              <w:lang w:val="en-GB"/>
            </w:rPr>
          </w:pPr>
          <w:r w:rsidRPr="009E3E62">
            <w:rPr>
              <w:b/>
              <w:bCs/>
              <w:noProof/>
              <w:lang w:val="en-GB"/>
            </w:rPr>
            <w:fldChar w:fldCharType="end"/>
          </w:r>
        </w:p>
      </w:sdtContent>
    </w:sdt>
    <w:p w14:paraId="7E2151DE" w14:textId="77777777" w:rsidR="00BE661A" w:rsidRPr="009E3E62" w:rsidRDefault="00BE661A" w:rsidP="00BE661A">
      <w:pPr>
        <w:rPr>
          <w:lang w:val="en-GB"/>
        </w:rPr>
      </w:pPr>
    </w:p>
    <w:p w14:paraId="7652C124" w14:textId="77777777" w:rsidR="006A5DB2" w:rsidRPr="009E3E62" w:rsidRDefault="006A5DB2" w:rsidP="004E2264">
      <w:pPr>
        <w:spacing w:line="360" w:lineRule="auto"/>
        <w:rPr>
          <w:rFonts w:eastAsiaTheme="majorEastAsia" w:cstheme="majorBidi"/>
          <w:b/>
          <w:kern w:val="2"/>
          <w:sz w:val="28"/>
          <w:szCs w:val="32"/>
          <w:lang w:val="en-GB"/>
          <w14:ligatures w14:val="standardContextual"/>
        </w:rPr>
      </w:pPr>
      <w:r w:rsidRPr="009E3E62">
        <w:rPr>
          <w:lang w:val="en-GB"/>
        </w:rPr>
        <w:br w:type="page"/>
      </w:r>
    </w:p>
    <w:p w14:paraId="37658476" w14:textId="53581CB9" w:rsidR="00032D9E" w:rsidRPr="009E3E62" w:rsidRDefault="00113EEB" w:rsidP="00BE661A">
      <w:pPr>
        <w:pStyle w:val="Heading1"/>
        <w:rPr>
          <w:lang w:val="en-GB"/>
        </w:rPr>
      </w:pPr>
      <w:bookmarkStart w:id="0" w:name="_Toc162623713"/>
      <w:r w:rsidRPr="009E3E62">
        <w:rPr>
          <w:lang w:val="en-GB"/>
        </w:rPr>
        <w:lastRenderedPageBreak/>
        <w:t>Introduction</w:t>
      </w:r>
      <w:bookmarkEnd w:id="0"/>
    </w:p>
    <w:p w14:paraId="56104A3B" w14:textId="199BFB31" w:rsidR="00C5357A" w:rsidRPr="009E3E62" w:rsidRDefault="00C5357A" w:rsidP="004E2264">
      <w:pPr>
        <w:spacing w:line="360" w:lineRule="auto"/>
        <w:jc w:val="both"/>
        <w:rPr>
          <w:lang w:val="en-GB"/>
        </w:rPr>
      </w:pPr>
      <w:r w:rsidRPr="009E3E62">
        <w:rPr>
          <w:lang w:val="en-GB"/>
        </w:rPr>
        <w:t>The Google Headquarters Initiative in London is an extremely significant venture that will impact the city's appearance and prosperity. With a huge commitment of one billion pounds, Google plans to build a cutting-edge technology focused next to King's Cross Station that will include more than 60,400 square metres of excellent workspace. This project not only demonstrates that Google is dedicated to developing fresh ideas, but it also marks the beginning of a big contribution to London's growing knowledge-driven business. The venture hopes to construct an 11-story building with room for up to 4,500 workers and further services like restaurants, gyms, and children's playgrounds.</w:t>
      </w:r>
    </w:p>
    <w:p w14:paraId="307CB0CE" w14:textId="74977E27" w:rsidR="00113EEB" w:rsidRPr="009E3E62" w:rsidRDefault="00C5357A" w:rsidP="004E2264">
      <w:pPr>
        <w:spacing w:line="360" w:lineRule="auto"/>
        <w:jc w:val="both"/>
        <w:rPr>
          <w:lang w:val="en-GB"/>
        </w:rPr>
      </w:pPr>
      <w:r w:rsidRPr="009E3E62">
        <w:rPr>
          <w:lang w:val="en-GB"/>
        </w:rPr>
        <w:t>Even though the undertaking is very fascinating its leadership method requires to be thoroughly examined around. The primary elements of the undertaking's plan that this essay is going to break downward are the price, a period of time excellence, customers, and risk variables. By carefully inspecting these elements, one's objective is to determine out how prepared to succeed the endeavour is at accomplishing the objectives it has set. The framework of the essay will start alongside an enquiry at how the financial resources was divided and controlled, then carry on to a glance at the project's plan and major achievements. After that, an assessment of the quality criteria and techniques for involving partners will be shared. The final section of the writing will talk about what to do to find and manage the hazards associated with an enormous endeavour.</w:t>
      </w:r>
    </w:p>
    <w:p w14:paraId="1DB165AA" w14:textId="559FA9CD" w:rsidR="00C5357A" w:rsidRPr="009E3E62" w:rsidRDefault="007D64C5" w:rsidP="00BE661A">
      <w:pPr>
        <w:pStyle w:val="Heading1"/>
        <w:rPr>
          <w:lang w:val="en-GB"/>
        </w:rPr>
      </w:pPr>
      <w:bookmarkStart w:id="1" w:name="_Toc162623714"/>
      <w:r w:rsidRPr="009E3E62">
        <w:rPr>
          <w:lang w:val="en-GB"/>
        </w:rPr>
        <w:t>Evaluation of core elements</w:t>
      </w:r>
      <w:bookmarkEnd w:id="1"/>
    </w:p>
    <w:p w14:paraId="16FBC8E7" w14:textId="4160C87B" w:rsidR="007D64C5" w:rsidRPr="009E3E62" w:rsidRDefault="007D64C5" w:rsidP="004E2264">
      <w:pPr>
        <w:pStyle w:val="Heading2"/>
        <w:rPr>
          <w:lang w:val="en-GB"/>
        </w:rPr>
      </w:pPr>
      <w:bookmarkStart w:id="2" w:name="_Toc162623715"/>
      <w:r w:rsidRPr="009E3E62">
        <w:rPr>
          <w:lang w:val="en-GB"/>
        </w:rPr>
        <w:t>Budget</w:t>
      </w:r>
      <w:bookmarkEnd w:id="2"/>
    </w:p>
    <w:p w14:paraId="5AFF0640" w14:textId="02FF2F4B" w:rsidR="007D64C5" w:rsidRPr="009E3E62" w:rsidRDefault="007D64C5" w:rsidP="004E2264">
      <w:pPr>
        <w:spacing w:line="360" w:lineRule="auto"/>
        <w:jc w:val="both"/>
        <w:rPr>
          <w:lang w:val="en-GB"/>
        </w:rPr>
      </w:pPr>
      <w:r w:rsidRPr="009E3E62">
        <w:rPr>
          <w:lang w:val="en-GB"/>
        </w:rPr>
        <w:t>One billion pounds has been set apart as the total cost for the Google Headquarters Project in London. This demonstrates how much revenue will be required for such a big initiative. This budget includes numerous elements of the undertaking, such as buying property, construction, enhancing infrastructures and providing additional accommodations. It's probably that a lot of meticulous investigation and guessing went into building the financial plan to make confident it was both precise and practicable</w:t>
      </w:r>
      <w:r w:rsidR="00B10463" w:rsidRPr="009E3E62">
        <w:rPr>
          <w:lang w:val="en-GB"/>
        </w:rPr>
        <w:t xml:space="preserve"> (</w:t>
      </w:r>
      <w:r w:rsidR="00B10463" w:rsidRPr="009E3E62">
        <w:rPr>
          <w:rFonts w:cs="Times New Roman"/>
          <w:color w:val="222222"/>
          <w:szCs w:val="20"/>
          <w:shd w:val="clear" w:color="auto" w:fill="FFFFFF"/>
          <w:lang w:val="en-GB"/>
        </w:rPr>
        <w:t>Arnold and Artz, 2019</w:t>
      </w:r>
      <w:r w:rsidR="00B10463" w:rsidRPr="009E3E62">
        <w:rPr>
          <w:lang w:val="en-GB"/>
        </w:rPr>
        <w:t>)</w:t>
      </w:r>
      <w:r w:rsidRPr="009E3E62">
        <w:rPr>
          <w:lang w:val="en-GB"/>
        </w:rPr>
        <w:t>.</w:t>
      </w:r>
    </w:p>
    <w:p w14:paraId="7DDD2209" w14:textId="5C0C6CA2" w:rsidR="007D64C5" w:rsidRPr="009E3E62" w:rsidRDefault="007D64C5" w:rsidP="004E2264">
      <w:pPr>
        <w:spacing w:line="360" w:lineRule="auto"/>
        <w:jc w:val="both"/>
        <w:rPr>
          <w:lang w:val="en-GB"/>
        </w:rPr>
      </w:pPr>
      <w:r w:rsidRPr="009E3E62">
        <w:rPr>
          <w:lang w:val="en-GB"/>
        </w:rPr>
        <w:t xml:space="preserve">When making an expenditure plan, various expenditure estimating techniques are frequently utilised to get an accurate assessment of how much an assignment costs. One of these approaches is bottom-up estimations, which includes determining how much each component </w:t>
      </w:r>
      <w:r w:rsidRPr="009E3E62">
        <w:rPr>
          <w:lang w:val="en-GB"/>
        </w:rPr>
        <w:lastRenderedPageBreak/>
        <w:t>of the venture will cost separate and then putting them all up to get the total expense of the whole thing. Similarly estimate, that employs data from previous initiatives that are similar, may have been utilised as well in figuring out how much a concept would cost considering what has occurred in previous years</w:t>
      </w:r>
      <w:r w:rsidR="00B10463" w:rsidRPr="009E3E62">
        <w:rPr>
          <w:lang w:val="en-GB"/>
        </w:rPr>
        <w:t xml:space="preserve"> (</w:t>
      </w:r>
      <w:proofErr w:type="spellStart"/>
      <w:r w:rsidR="00B10463" w:rsidRPr="009E3E62">
        <w:rPr>
          <w:rFonts w:cs="Times New Roman"/>
          <w:color w:val="222222"/>
          <w:szCs w:val="20"/>
          <w:shd w:val="clear" w:color="auto" w:fill="FFFFFF"/>
          <w:lang w:val="en-GB"/>
        </w:rPr>
        <w:t>Mouter</w:t>
      </w:r>
      <w:proofErr w:type="spellEnd"/>
      <w:r w:rsidR="00B10463" w:rsidRPr="009E3E62">
        <w:rPr>
          <w:rFonts w:cs="Times New Roman"/>
          <w:color w:val="222222"/>
          <w:szCs w:val="20"/>
          <w:shd w:val="clear" w:color="auto" w:fill="FFFFFF"/>
          <w:lang w:val="en-GB"/>
        </w:rPr>
        <w:t>, 2021</w:t>
      </w:r>
      <w:r w:rsidR="00B10463" w:rsidRPr="009E3E62">
        <w:rPr>
          <w:lang w:val="en-GB"/>
        </w:rPr>
        <w:t>)</w:t>
      </w:r>
      <w:r w:rsidRPr="009E3E62">
        <w:rPr>
          <w:lang w:val="en-GB"/>
        </w:rPr>
        <w:t>. For greater complexity in cost estimates, parametric estimating, which uses mathematical equations and statistical connections to guess charges using the specifications of the project, may possibly have been employed.</w:t>
      </w:r>
    </w:p>
    <w:p w14:paraId="04CBE91F" w14:textId="43AE9A0E" w:rsidR="007D64C5" w:rsidRPr="009E3E62" w:rsidRDefault="007D64C5" w:rsidP="004E2264">
      <w:pPr>
        <w:spacing w:line="360" w:lineRule="auto"/>
        <w:jc w:val="both"/>
        <w:rPr>
          <w:lang w:val="en-GB"/>
        </w:rPr>
      </w:pPr>
      <w:r w:rsidRPr="009E3E62">
        <w:rPr>
          <w:lang w:val="en-GB"/>
        </w:rPr>
        <w:t>Techniques for managing expenditures are crucial for making certain the resources are used successfully across every phase of a project. It involves setting into effect strong financial control systems, maintaining an eye on how much money is being spent compared to the budgetary constraints, and recognising and correcting any inconsistencies rapidly</w:t>
      </w:r>
      <w:r w:rsidR="00BE661A" w:rsidRPr="009E3E62">
        <w:rPr>
          <w:lang w:val="en-GB"/>
        </w:rPr>
        <w:t xml:space="preserve"> (</w:t>
      </w:r>
      <w:r w:rsidR="00BE661A" w:rsidRPr="009E3E62">
        <w:rPr>
          <w:rFonts w:cs="Times New Roman"/>
          <w:color w:val="222222"/>
          <w:szCs w:val="20"/>
          <w:shd w:val="clear" w:color="auto" w:fill="FFFFFF"/>
          <w:lang w:val="en-GB"/>
        </w:rPr>
        <w:t>Bahamonde-Birke et al., 2024</w:t>
      </w:r>
      <w:r w:rsidR="00BE661A" w:rsidRPr="009E3E62">
        <w:rPr>
          <w:lang w:val="en-GB"/>
        </w:rPr>
        <w:t>)</w:t>
      </w:r>
      <w:r w:rsidRPr="009E3E62">
        <w:rPr>
          <w:lang w:val="en-GB"/>
        </w:rPr>
        <w:t>. Regular budgeting conversations and reporting on finances help keep matters honest and open so all parties associated with the undertaking can keep precise records of its funding.</w:t>
      </w:r>
    </w:p>
    <w:p w14:paraId="271E4A6F" w14:textId="2C6C68CA" w:rsidR="007D64C5" w:rsidRPr="009E3E62" w:rsidRDefault="007D64C5" w:rsidP="004E2264">
      <w:pPr>
        <w:spacing w:line="360" w:lineRule="auto"/>
        <w:jc w:val="both"/>
        <w:rPr>
          <w:lang w:val="en-GB"/>
        </w:rPr>
      </w:pPr>
      <w:r w:rsidRPr="009E3E62">
        <w:rPr>
          <w:lang w:val="en-GB"/>
        </w:rPr>
        <w:t>In order to figure out if the amount allocated is sufficiently, they have to look at how well it fits with what the project requires and how possible it is that expenses will go over budgeting. Although the initial expenditure seems significant, it's critical to think about chances and unanticipated occurrences that may alter the undertaking's charges. If they fail to be taken into consideration appropriately, things like price increases, alterations to the marketplace, and alterations in the scope of the project could cause charges to go over budgeting</w:t>
      </w:r>
      <w:r w:rsidR="00BE661A" w:rsidRPr="009E3E62">
        <w:rPr>
          <w:lang w:val="en-GB"/>
        </w:rPr>
        <w:t xml:space="preserve"> (</w:t>
      </w:r>
      <w:r w:rsidR="00BE661A" w:rsidRPr="009E3E62">
        <w:rPr>
          <w:rFonts w:cs="Times New Roman"/>
          <w:color w:val="222222"/>
          <w:szCs w:val="20"/>
          <w:shd w:val="clear" w:color="auto" w:fill="FFFFFF"/>
          <w:lang w:val="en-GB"/>
        </w:rPr>
        <w:t>Kwon, Chauhan, and Mascolo, 2021</w:t>
      </w:r>
      <w:r w:rsidR="00BE661A" w:rsidRPr="009E3E62">
        <w:rPr>
          <w:lang w:val="en-GB"/>
        </w:rPr>
        <w:t>)</w:t>
      </w:r>
      <w:r w:rsidRPr="009E3E62">
        <w:rPr>
          <w:lang w:val="en-GB"/>
        </w:rPr>
        <w:t>. To reduce the chance of budgetary errors and make sure the work remains capable of being funded, cautious risk control and contingency strategies are required.</w:t>
      </w:r>
    </w:p>
    <w:p w14:paraId="19C45AAC" w14:textId="3B6F577C" w:rsidR="007D64C5" w:rsidRPr="009E3E62" w:rsidRDefault="004E2264" w:rsidP="004E2264">
      <w:pPr>
        <w:pStyle w:val="Heading2"/>
        <w:rPr>
          <w:lang w:val="en-GB"/>
        </w:rPr>
      </w:pPr>
      <w:bookmarkStart w:id="3" w:name="_Toc162623716"/>
      <w:r w:rsidRPr="009E3E62">
        <w:rPr>
          <w:lang w:val="en-GB"/>
        </w:rPr>
        <w:t>Time</w:t>
      </w:r>
      <w:bookmarkEnd w:id="3"/>
    </w:p>
    <w:p w14:paraId="0764DB08" w14:textId="64F97CD2" w:rsidR="007D64C5" w:rsidRPr="009E3E62" w:rsidRDefault="007D64C5" w:rsidP="004E2264">
      <w:pPr>
        <w:spacing w:line="360" w:lineRule="auto"/>
        <w:jc w:val="both"/>
        <w:rPr>
          <w:lang w:val="en-GB"/>
        </w:rPr>
      </w:pPr>
      <w:r w:rsidRPr="009E3E62">
        <w:rPr>
          <w:lang w:val="en-GB"/>
        </w:rPr>
        <w:t>Project timetables and deadlines serve as crucial methods to keep on top of progression and make certain the work has been completed on schedule. By studying the timetable for the project, the researchers are able to observe how the activities are planned out, how finances have been distributed, and the best way to use a critical path evaluation to find relationships and set duties in an appropriate hierarchy of significance</w:t>
      </w:r>
      <w:r w:rsidR="00BE661A" w:rsidRPr="009E3E62">
        <w:rPr>
          <w:lang w:val="en-GB"/>
        </w:rPr>
        <w:t xml:space="preserve"> (Hu et al., 2022)</w:t>
      </w:r>
      <w:r w:rsidRPr="009E3E62">
        <w:rPr>
          <w:lang w:val="en-GB"/>
        </w:rPr>
        <w:t>. Planning instruments like Gantt charts, diagrams of networks and critical chain forecasting may currently be employed to observe and keep account of project timescales with greater efficiency.</w:t>
      </w:r>
    </w:p>
    <w:p w14:paraId="294D5537" w14:textId="3E13818E" w:rsidR="007D64C5" w:rsidRPr="009E3E62" w:rsidRDefault="007D64C5" w:rsidP="004E2264">
      <w:pPr>
        <w:spacing w:line="360" w:lineRule="auto"/>
        <w:jc w:val="both"/>
        <w:rPr>
          <w:lang w:val="en-GB"/>
        </w:rPr>
      </w:pPr>
      <w:r w:rsidRPr="009E3E62">
        <w:rPr>
          <w:lang w:val="en-GB"/>
        </w:rPr>
        <w:lastRenderedPageBreak/>
        <w:t>Adhering to timetables is vital over having the project advancing ahead and accomplishing crucial deadlines on time. Any complications or modifications to the time line can affect the operations that follow after them, which might lead the project to take longer than planned and cost more than planned</w:t>
      </w:r>
      <w:r w:rsidR="00BE661A" w:rsidRPr="009E3E62">
        <w:rPr>
          <w:lang w:val="en-GB"/>
        </w:rPr>
        <w:t xml:space="preserve"> (</w:t>
      </w:r>
      <w:r w:rsidR="00BE661A" w:rsidRPr="009E3E62">
        <w:rPr>
          <w:rFonts w:cs="Times New Roman"/>
          <w:color w:val="222222"/>
          <w:szCs w:val="20"/>
          <w:shd w:val="clear" w:color="auto" w:fill="FFFFFF"/>
          <w:lang w:val="en-GB"/>
        </w:rPr>
        <w:t>Song et al., 2021</w:t>
      </w:r>
      <w:r w:rsidR="00BE661A" w:rsidRPr="009E3E62">
        <w:rPr>
          <w:lang w:val="en-GB"/>
        </w:rPr>
        <w:t>)</w:t>
      </w:r>
      <w:r w:rsidRPr="009E3E62">
        <w:rPr>
          <w:lang w:val="en-GB"/>
        </w:rPr>
        <w:t>. So, checking the project group's capacity to achieve its objectives and swiftly fix any issues that occur is essential for having things operating effectively while also making sure the initiative is an accomplishment.</w:t>
      </w:r>
    </w:p>
    <w:p w14:paraId="6A28EA58" w14:textId="1EE8F204" w:rsidR="007D64C5" w:rsidRPr="009E3E62" w:rsidRDefault="007D64C5" w:rsidP="004E2264">
      <w:pPr>
        <w:spacing w:line="360" w:lineRule="auto"/>
        <w:jc w:val="both"/>
        <w:rPr>
          <w:lang w:val="en-GB"/>
        </w:rPr>
      </w:pPr>
      <w:r w:rsidRPr="009E3E62">
        <w:rPr>
          <w:lang w:val="en-GB"/>
        </w:rPr>
        <w:t>It is crucial to take a close glance at how disruptions or modification of the schedule might affect the task's accomplishments for the purpose to gain an understanding of what these changes indicate. Slowdowns in critical duties may result in difficulties with the venture, a lack of assets, and extra hours of work, which might influence the final achievement of the task at hand and the contentment of every stakeholder</w:t>
      </w:r>
      <w:r w:rsidR="00BE661A" w:rsidRPr="009E3E62">
        <w:rPr>
          <w:lang w:val="en-GB"/>
        </w:rPr>
        <w:t xml:space="preserve"> (</w:t>
      </w:r>
      <w:r w:rsidR="00BE661A" w:rsidRPr="009E3E62">
        <w:rPr>
          <w:rFonts w:cs="Times New Roman"/>
          <w:color w:val="222222"/>
          <w:szCs w:val="20"/>
          <w:shd w:val="clear" w:color="auto" w:fill="FFFFFF"/>
          <w:lang w:val="en-GB"/>
        </w:rPr>
        <w:t>Song et al., 2021</w:t>
      </w:r>
      <w:r w:rsidR="00BE661A" w:rsidRPr="009E3E62">
        <w:rPr>
          <w:lang w:val="en-GB"/>
        </w:rPr>
        <w:t>)</w:t>
      </w:r>
      <w:r w:rsidRPr="009E3E62">
        <w:rPr>
          <w:lang w:val="en-GB"/>
        </w:rPr>
        <w:t>. Due to this, planning measures like transferring materials, minimising timelines, and developing ways to mitigate risks could prove necessary to reduce the effects of interruptions and make clear that project outcomes can be achieved underneath the allocated time limitation.</w:t>
      </w:r>
    </w:p>
    <w:p w14:paraId="26F962D5" w14:textId="4DEFC721" w:rsidR="007D64C5" w:rsidRPr="009E3E62" w:rsidRDefault="00CA6575" w:rsidP="004E2264">
      <w:pPr>
        <w:pStyle w:val="Heading2"/>
        <w:rPr>
          <w:lang w:val="en-GB"/>
        </w:rPr>
      </w:pPr>
      <w:bookmarkStart w:id="4" w:name="_Toc162623717"/>
      <w:r w:rsidRPr="009E3E62">
        <w:rPr>
          <w:lang w:val="en-GB"/>
        </w:rPr>
        <w:t>Quality</w:t>
      </w:r>
      <w:bookmarkEnd w:id="4"/>
    </w:p>
    <w:p w14:paraId="34B1F869" w14:textId="6926F178" w:rsidR="00CA6575" w:rsidRPr="009E3E62" w:rsidRDefault="00CA6575" w:rsidP="004E2264">
      <w:pPr>
        <w:spacing w:line="360" w:lineRule="auto"/>
        <w:jc w:val="both"/>
        <w:rPr>
          <w:lang w:val="en-GB"/>
        </w:rPr>
      </w:pPr>
      <w:r w:rsidRPr="009E3E62">
        <w:rPr>
          <w:lang w:val="en-GB"/>
        </w:rPr>
        <w:t>Excellent standards of quality are used for the Google Headquarters Project in London to make certain that the end outputs match the requirements of everyone involved and follow the latest developments in the marketplace. For them to do this, strict quality requirements and specifications were established up at the beginning of the construction work. A thorough examination of the manufacturing guidelines demonstrates that they have been carefully laid out in regard to which levels of efficiency are acceptable and what parameters have to be made</w:t>
      </w:r>
      <w:r w:rsidR="00BE661A" w:rsidRPr="009E3E62">
        <w:rPr>
          <w:lang w:val="en-GB"/>
        </w:rPr>
        <w:t xml:space="preserve"> (</w:t>
      </w:r>
      <w:r w:rsidR="00BE661A" w:rsidRPr="009E3E62">
        <w:rPr>
          <w:rFonts w:cs="Times New Roman"/>
          <w:color w:val="222222"/>
          <w:szCs w:val="20"/>
          <w:shd w:val="clear" w:color="auto" w:fill="FFFFFF"/>
          <w:lang w:val="en-GB"/>
        </w:rPr>
        <w:t>Downs et al., 2022</w:t>
      </w:r>
      <w:r w:rsidR="00BE661A" w:rsidRPr="009E3E62">
        <w:rPr>
          <w:lang w:val="en-GB"/>
        </w:rPr>
        <w:t>)</w:t>
      </w:r>
      <w:r w:rsidRPr="009E3E62">
        <w:rPr>
          <w:lang w:val="en-GB"/>
        </w:rPr>
        <w:t>. These requirements address a great deal of various components of the build, like the building design, building supplies, the landscape, and how technological advances is employed. By getting quality requirements obvious, the project squad can work collectively to make certain that high standards remain consistent across the duration of the project.</w:t>
      </w:r>
    </w:p>
    <w:p w14:paraId="2A939110" w14:textId="77777777" w:rsidR="00CA6575" w:rsidRPr="009E3E62" w:rsidRDefault="00CA6575" w:rsidP="004E2264">
      <w:pPr>
        <w:spacing w:line="360" w:lineRule="auto"/>
        <w:jc w:val="both"/>
        <w:rPr>
          <w:lang w:val="en-GB"/>
        </w:rPr>
      </w:pPr>
    </w:p>
    <w:p w14:paraId="2CE3E0DF" w14:textId="148BF491" w:rsidR="00CA6575" w:rsidRPr="009E3E62" w:rsidRDefault="00CA6575" w:rsidP="004E2264">
      <w:pPr>
        <w:spacing w:line="360" w:lineRule="auto"/>
        <w:jc w:val="both"/>
        <w:rPr>
          <w:lang w:val="en-GB"/>
        </w:rPr>
      </w:pPr>
      <w:r w:rsidRPr="009E3E62">
        <w:rPr>
          <w:lang w:val="en-GB"/>
        </w:rPr>
        <w:t xml:space="preserve">Throughout the entire lifespan of a project, control and quality guarantee methods are essential for maintaining those requirements high. Assurance of quality means taking strides upfront of time to prevent difficulties and make sure that established benchmarks are fulfilled. This might involve carrying out inspections of quality, examinations, and assessments at key moments in </w:t>
      </w:r>
      <w:r w:rsidRPr="009E3E62">
        <w:rPr>
          <w:lang w:val="en-GB"/>
        </w:rPr>
        <w:lastRenderedPageBreak/>
        <w:t>the execution of the task in order to identify and fix any flaws promptly on. Inspection procedures have been placed in place in order to keep an eye on while making sure that the standards of the job and products. This includes examination, approving, and verifying outcomes of projects on an ongoing schedule to make ensuring they reach particular requirements. There are a variety of ways for assessing how well the quality system satisfies the needs of everyone involved in the project</w:t>
      </w:r>
      <w:r w:rsidR="00BE661A" w:rsidRPr="009E3E62">
        <w:rPr>
          <w:lang w:val="en-GB"/>
        </w:rPr>
        <w:t xml:space="preserve"> (</w:t>
      </w:r>
      <w:proofErr w:type="spellStart"/>
      <w:r w:rsidR="00BE661A" w:rsidRPr="009E3E62">
        <w:rPr>
          <w:rFonts w:cs="Times New Roman"/>
          <w:color w:val="222222"/>
          <w:szCs w:val="20"/>
          <w:shd w:val="clear" w:color="auto" w:fill="FFFFFF"/>
          <w:lang w:val="en-GB"/>
        </w:rPr>
        <w:t>Siivola</w:t>
      </w:r>
      <w:proofErr w:type="spellEnd"/>
      <w:r w:rsidR="00BE661A" w:rsidRPr="009E3E62">
        <w:rPr>
          <w:rFonts w:cs="Times New Roman"/>
          <w:color w:val="222222"/>
          <w:szCs w:val="20"/>
          <w:shd w:val="clear" w:color="auto" w:fill="FFFFFF"/>
          <w:lang w:val="en-GB"/>
        </w:rPr>
        <w:t xml:space="preserve"> et al., 2022</w:t>
      </w:r>
      <w:r w:rsidR="00BE661A" w:rsidRPr="009E3E62">
        <w:rPr>
          <w:lang w:val="en-GB"/>
        </w:rPr>
        <w:t>)</w:t>
      </w:r>
      <w:r w:rsidRPr="009E3E62">
        <w:rPr>
          <w:lang w:val="en-GB"/>
        </w:rPr>
        <w:t>. These involve measuring client fulfilment, percentages of defects, and obedience to requirements. The group working on the project is able to figure out how well its quality objectives have been achieved and make any adjustments that must be made to improve efficiency by maintaining an eye on the numbers and asking clients for comments.</w:t>
      </w:r>
    </w:p>
    <w:p w14:paraId="738A5A6F" w14:textId="596E285D" w:rsidR="00CA6575" w:rsidRPr="009E3E62" w:rsidRDefault="00CA6575" w:rsidP="004E2264">
      <w:pPr>
        <w:pStyle w:val="Heading2"/>
        <w:rPr>
          <w:lang w:val="en-GB"/>
        </w:rPr>
      </w:pPr>
      <w:bookmarkStart w:id="5" w:name="_Toc162623718"/>
      <w:r w:rsidRPr="009E3E62">
        <w:rPr>
          <w:lang w:val="en-GB"/>
        </w:rPr>
        <w:t>Stakeholders</w:t>
      </w:r>
      <w:bookmarkEnd w:id="5"/>
    </w:p>
    <w:p w14:paraId="10E5BDA4" w14:textId="45A8787D" w:rsidR="00CA6575" w:rsidRPr="009E3E62" w:rsidRDefault="00CA6575" w:rsidP="004E2264">
      <w:pPr>
        <w:spacing w:line="360" w:lineRule="auto"/>
        <w:jc w:val="both"/>
        <w:rPr>
          <w:lang w:val="en-GB"/>
        </w:rPr>
      </w:pPr>
      <w:r w:rsidRPr="009E3E62">
        <w:rPr>
          <w:lang w:val="en-GB"/>
        </w:rPr>
        <w:t>The major companies in the Google Headquarters Project in London include Google as the project financier, government officials, the local community, buyers, employees, and the individuals who will be staying and working in the office complex in years to come. Every stakeholder team offers numerous objectives, points of perspective, and requirements to the initiative, which indicates the process has to be carefully executed and incorporate numerous individuals. An analysis of avenues of communication and approaches for integrating stakeholders indicates a variety of strategies meant for promoting collaborative behaviour, vulnerability, and aligning of values</w:t>
      </w:r>
      <w:r w:rsidR="00BE661A" w:rsidRPr="009E3E62">
        <w:rPr>
          <w:lang w:val="en-GB"/>
        </w:rPr>
        <w:t xml:space="preserve"> (</w:t>
      </w:r>
      <w:proofErr w:type="spellStart"/>
      <w:r w:rsidR="00BE661A" w:rsidRPr="009E3E62">
        <w:rPr>
          <w:rFonts w:cs="Times New Roman"/>
          <w:color w:val="222222"/>
          <w:szCs w:val="20"/>
          <w:shd w:val="clear" w:color="auto" w:fill="FFFFFF"/>
          <w:lang w:val="en-GB"/>
        </w:rPr>
        <w:t>Bahadorestani</w:t>
      </w:r>
      <w:proofErr w:type="spellEnd"/>
      <w:r w:rsidR="00BE661A" w:rsidRPr="009E3E62">
        <w:rPr>
          <w:rFonts w:cs="Times New Roman"/>
          <w:color w:val="222222"/>
          <w:szCs w:val="20"/>
          <w:shd w:val="clear" w:color="auto" w:fill="FFFFFF"/>
          <w:lang w:val="en-GB"/>
        </w:rPr>
        <w:t xml:space="preserve">, </w:t>
      </w:r>
      <w:proofErr w:type="spellStart"/>
      <w:r w:rsidR="00BE661A" w:rsidRPr="009E3E62">
        <w:rPr>
          <w:rFonts w:cs="Times New Roman"/>
          <w:color w:val="222222"/>
          <w:szCs w:val="20"/>
          <w:shd w:val="clear" w:color="auto" w:fill="FFFFFF"/>
          <w:lang w:val="en-GB"/>
        </w:rPr>
        <w:t>Naderpajouh</w:t>
      </w:r>
      <w:proofErr w:type="spellEnd"/>
      <w:r w:rsidR="00BE661A" w:rsidRPr="009E3E62">
        <w:rPr>
          <w:rFonts w:cs="Times New Roman"/>
          <w:color w:val="222222"/>
          <w:szCs w:val="20"/>
          <w:shd w:val="clear" w:color="auto" w:fill="FFFFFF"/>
          <w:lang w:val="en-GB"/>
        </w:rPr>
        <w:t>, and Sadiq, 2020</w:t>
      </w:r>
      <w:r w:rsidR="00BE661A" w:rsidRPr="009E3E62">
        <w:rPr>
          <w:lang w:val="en-GB"/>
        </w:rPr>
        <w:t>)</w:t>
      </w:r>
      <w:r w:rsidRPr="009E3E62">
        <w:rPr>
          <w:lang w:val="en-GB"/>
        </w:rPr>
        <w:t>. It entails periodic conversations with participants, reports on execution, and interactive sessions where individuals can give opinions and talk about their issues and anxiety. Online interaction tools, including project web pages, social networking outlets, and email periodicals, likewise serve to share data as well as keep partners participating from afar.</w:t>
      </w:r>
    </w:p>
    <w:p w14:paraId="288534E9" w14:textId="4A7AE064" w:rsidR="00CA6575" w:rsidRPr="009E3E62" w:rsidRDefault="00CA6575" w:rsidP="004E2264">
      <w:pPr>
        <w:spacing w:line="360" w:lineRule="auto"/>
        <w:jc w:val="both"/>
        <w:rPr>
          <w:lang w:val="en-GB"/>
        </w:rPr>
      </w:pPr>
      <w:r w:rsidRPr="009E3E62">
        <w:rPr>
          <w:lang w:val="en-GB"/>
        </w:rPr>
        <w:t>Defining and dealing with stakeholder dynamics well is made apparent by taking a look at how players impact each other and how expectations are fulfilled. This means discovering the most important people and leaders in every group of stakeholders, working out how engaged and valuable they are, and then creating connections and collaboration programmes that have been particular to them. The project management may foster confidence, decrease dispute resolution, and create a collaborative space that is helpful to the project's achievement by actively overseeing client standards and responding to worries in a prompt and forthcoming way</w:t>
      </w:r>
      <w:r w:rsidR="00BE661A" w:rsidRPr="009E3E62">
        <w:rPr>
          <w:lang w:val="en-GB"/>
        </w:rPr>
        <w:t xml:space="preserve"> (</w:t>
      </w:r>
      <w:r w:rsidR="00BE661A" w:rsidRPr="009E3E62">
        <w:rPr>
          <w:rFonts w:cs="Times New Roman"/>
          <w:color w:val="222222"/>
          <w:szCs w:val="20"/>
          <w:shd w:val="clear" w:color="auto" w:fill="FFFFFF"/>
          <w:lang w:val="en-GB"/>
        </w:rPr>
        <w:t>Ika and Pinto, 2022</w:t>
      </w:r>
      <w:r w:rsidR="00BE661A" w:rsidRPr="009E3E62">
        <w:rPr>
          <w:lang w:val="en-GB"/>
        </w:rPr>
        <w:t>)</w:t>
      </w:r>
      <w:r w:rsidRPr="009E3E62">
        <w:rPr>
          <w:lang w:val="en-GB"/>
        </w:rPr>
        <w:t xml:space="preserve">. The google headquarters Project in London demonstrates the ability to control standards and incorporate every party involved in an integrated manner. The project group can </w:t>
      </w:r>
      <w:r w:rsidRPr="009E3E62">
        <w:rPr>
          <w:lang w:val="en-GB"/>
        </w:rPr>
        <w:lastRenderedPageBreak/>
        <w:t>make sure that the outcomes come together with the highest levels of quality and that client requirements are satisfied across the project lifespan via establishing high quality requirements, developing strong controls and assurance operations, and continuously involving interested parties.</w:t>
      </w:r>
    </w:p>
    <w:p w14:paraId="3C5026BE" w14:textId="3F41D782" w:rsidR="00CA6575" w:rsidRPr="009E3E62" w:rsidRDefault="005F608C" w:rsidP="004E2264">
      <w:pPr>
        <w:pStyle w:val="Heading2"/>
        <w:rPr>
          <w:lang w:val="en-GB"/>
        </w:rPr>
      </w:pPr>
      <w:bookmarkStart w:id="6" w:name="_Toc162623719"/>
      <w:r w:rsidRPr="009E3E62">
        <w:rPr>
          <w:lang w:val="en-GB"/>
        </w:rPr>
        <w:t>Risk factors</w:t>
      </w:r>
      <w:bookmarkEnd w:id="6"/>
    </w:p>
    <w:p w14:paraId="111B2AC1" w14:textId="17749B4C" w:rsidR="005F608C" w:rsidRPr="009E3E62" w:rsidRDefault="005F608C" w:rsidP="004E2264">
      <w:pPr>
        <w:spacing w:line="360" w:lineRule="auto"/>
        <w:jc w:val="both"/>
        <w:rPr>
          <w:lang w:val="en-GB"/>
        </w:rPr>
      </w:pPr>
      <w:r w:rsidRPr="009E3E62">
        <w:rPr>
          <w:lang w:val="en-GB"/>
        </w:rPr>
        <w:t>While the Google Headquarters Project in London appears that it will provide a lot of benefits while it's accomplished, it also comes with an assortment of dangers and unexplored territory. To make sure the endeavour works out, it is essential to find these risks and use effective risk administration methods. One major danger of the project is that it could run into difficulties with legislation and policies. Because of the magnitude and breadth of the work, it could require longer and expense greater than originally anticipated to adhere to all the intricate regulations about zoning, the natural world, and building standards</w:t>
      </w:r>
      <w:r w:rsidR="00BE661A" w:rsidRPr="009E3E62">
        <w:rPr>
          <w:lang w:val="en-GB"/>
        </w:rPr>
        <w:t xml:space="preserve"> (</w:t>
      </w:r>
      <w:r w:rsidR="00BE661A" w:rsidRPr="009E3E62">
        <w:rPr>
          <w:rFonts w:cs="Times New Roman"/>
          <w:color w:val="222222"/>
          <w:szCs w:val="20"/>
          <w:shd w:val="clear" w:color="auto" w:fill="FFFFFF"/>
          <w:lang w:val="en-GB"/>
        </w:rPr>
        <w:t>Rozenfeld et al., 2020</w:t>
      </w:r>
      <w:r w:rsidR="00BE661A" w:rsidRPr="009E3E62">
        <w:rPr>
          <w:lang w:val="en-GB"/>
        </w:rPr>
        <w:t>)</w:t>
      </w:r>
      <w:r w:rsidRPr="009E3E62">
        <w:rPr>
          <w:lang w:val="en-GB"/>
        </w:rPr>
        <w:t>. Those issues could be made more severe by litigation with municipal governments, surrounding landowners, or environmentalist organisations.</w:t>
      </w:r>
    </w:p>
    <w:p w14:paraId="2BA1035E" w14:textId="207D362B" w:rsidR="005F608C" w:rsidRPr="009E3E62" w:rsidRDefault="005F608C" w:rsidP="004E2264">
      <w:pPr>
        <w:spacing w:line="360" w:lineRule="auto"/>
        <w:jc w:val="both"/>
        <w:rPr>
          <w:lang w:val="en-GB"/>
        </w:rPr>
      </w:pPr>
      <w:r w:rsidRPr="009E3E62">
        <w:rPr>
          <w:lang w:val="en-GB"/>
        </w:rPr>
        <w:t>The unstable constructing environment and issues throughout the distribution chain are two further significant dangers. Adjustments in the cost of materials, a lack of staff members, and governmental problems can all have significant impacts on project expenses and timetables. Using distinctive technologies and supplies may make items even more prone to difficulties throughout the manufacturing chain, which may render purchasing items as well as constructing things hard. Geologic and environmental variables that cannot be forecasted add to the risks of construction efforts</w:t>
      </w:r>
      <w:r w:rsidR="00BE661A" w:rsidRPr="009E3E62">
        <w:rPr>
          <w:lang w:val="en-GB"/>
        </w:rPr>
        <w:t xml:space="preserve"> (</w:t>
      </w:r>
      <w:r w:rsidR="00BE661A" w:rsidRPr="009E3E62">
        <w:rPr>
          <w:rFonts w:cs="Times New Roman"/>
          <w:color w:val="222222"/>
          <w:szCs w:val="20"/>
          <w:shd w:val="clear" w:color="auto" w:fill="FFFFFF"/>
          <w:lang w:val="en-GB"/>
        </w:rPr>
        <w:t>Whelton et al., 2021</w:t>
      </w:r>
      <w:r w:rsidR="00BE661A" w:rsidRPr="009E3E62">
        <w:rPr>
          <w:lang w:val="en-GB"/>
        </w:rPr>
        <w:t>)</w:t>
      </w:r>
      <w:r w:rsidRPr="009E3E62">
        <w:rPr>
          <w:lang w:val="en-GB"/>
        </w:rPr>
        <w:t>. Irregular soil, high or low amounts of groundwater, or historical artefacts might indicate the construction planning requires to be adjusted in a manner which charges a lot and takes lengthier than anticipated. To identify and minimise the hazards before they take place, it is essential to do extensive site inspections and geological investigation.</w:t>
      </w:r>
    </w:p>
    <w:p w14:paraId="6BB18085" w14:textId="1607EB33" w:rsidR="005F608C" w:rsidRPr="009E3E62" w:rsidRDefault="005F608C" w:rsidP="004E2264">
      <w:pPr>
        <w:spacing w:line="360" w:lineRule="auto"/>
        <w:jc w:val="both"/>
        <w:rPr>
          <w:lang w:val="en-GB"/>
        </w:rPr>
      </w:pPr>
      <w:r w:rsidRPr="009E3E62">
        <w:rPr>
          <w:lang w:val="en-GB"/>
        </w:rPr>
        <w:t xml:space="preserve">By studying the risk administration schedule, the research will discover that there is an organised method to find, investigation, and deal with prospective hazards across the lifespan of the project. To make an extensive list of possible hazards, risk recognition includes brainstorm meetings, talking with scientists, as well as looking at historical information. Then, these dangers are evaluated at with regard to of the likelihood they will arise, how severe they could be, and how they can mitigate the consequences. Risk prevention techniques are assessed by the degree to which they keep bad things from </w:t>
      </w:r>
      <w:r w:rsidR="004E2264" w:rsidRPr="009E3E62">
        <w:rPr>
          <w:lang w:val="en-GB"/>
        </w:rPr>
        <w:t>occurring</w:t>
      </w:r>
      <w:r w:rsidRPr="009E3E62">
        <w:rPr>
          <w:lang w:val="en-GB"/>
        </w:rPr>
        <w:t xml:space="preserve"> and how little difficulty they </w:t>
      </w:r>
      <w:r w:rsidRPr="009E3E62">
        <w:rPr>
          <w:lang w:val="en-GB"/>
        </w:rPr>
        <w:lastRenderedPageBreak/>
        <w:t>produce for undertakings. To deal with identified hazards, preventative measures are taken, like preventing them, passing them through assurance, and decreasing the effects through alternative strategies</w:t>
      </w:r>
      <w:r w:rsidR="00BE661A" w:rsidRPr="009E3E62">
        <w:rPr>
          <w:lang w:val="en-GB"/>
        </w:rPr>
        <w:t xml:space="preserve"> (</w:t>
      </w:r>
      <w:r w:rsidR="00BE661A" w:rsidRPr="009E3E62">
        <w:rPr>
          <w:rFonts w:cs="Times New Roman"/>
          <w:color w:val="222222"/>
          <w:szCs w:val="20"/>
          <w:shd w:val="clear" w:color="auto" w:fill="FFFFFF"/>
          <w:lang w:val="en-GB"/>
        </w:rPr>
        <w:t>Whelton et al., 2021</w:t>
      </w:r>
      <w:r w:rsidR="00BE661A" w:rsidRPr="009E3E62">
        <w:rPr>
          <w:lang w:val="en-GB"/>
        </w:rPr>
        <w:t>)</w:t>
      </w:r>
      <w:r w:rsidRPr="009E3E62">
        <w:rPr>
          <w:lang w:val="en-GB"/>
        </w:rPr>
        <w:t>. Putting up different sources of supplies, discussing long-term deals with marketers, and extending the range of interactions with contractors are a number of ways to reduce risks associated with the supply chain. Administrative and safety hazards can also be minimised through hiring attorneys to assist them understand regulations while taking motion on local problems.</w:t>
      </w:r>
    </w:p>
    <w:p w14:paraId="6F77A943" w14:textId="67AA8887" w:rsidR="005F608C" w:rsidRPr="009E3E62" w:rsidRDefault="005F608C" w:rsidP="004E2264">
      <w:pPr>
        <w:spacing w:line="360" w:lineRule="auto"/>
        <w:jc w:val="both"/>
        <w:rPr>
          <w:lang w:val="en-GB"/>
        </w:rPr>
      </w:pPr>
      <w:r w:rsidRPr="009E3E62">
        <w:rPr>
          <w:lang w:val="en-GB"/>
        </w:rPr>
        <w:t>To react effectively to new attacks and evolving situations, it is crucial to continue keeping an eye on dangers and assess them on an ongoing schedule. Emergency plans are made to manage unexpected occurrences and keep these from standing in the way of accomplishing goals. The strategy for managing risk makes the initiative stronger against hazards and makes ensure it can cope with its recovery from possible obstacles through fostering an environment of risk consciousness and duty among project participants</w:t>
      </w:r>
      <w:r w:rsidR="00BE661A" w:rsidRPr="009E3E62">
        <w:rPr>
          <w:lang w:val="en-GB"/>
        </w:rPr>
        <w:t xml:space="preserve"> (</w:t>
      </w:r>
      <w:r w:rsidR="00BE661A" w:rsidRPr="009E3E62">
        <w:rPr>
          <w:rFonts w:cs="Times New Roman"/>
          <w:color w:val="222222"/>
          <w:szCs w:val="20"/>
          <w:shd w:val="clear" w:color="auto" w:fill="FFFFFF"/>
          <w:lang w:val="en-GB"/>
        </w:rPr>
        <w:t>Whelton et al., 2021</w:t>
      </w:r>
      <w:r w:rsidR="00BE661A" w:rsidRPr="009E3E62">
        <w:rPr>
          <w:lang w:val="en-GB"/>
        </w:rPr>
        <w:t>)</w:t>
      </w:r>
      <w:r w:rsidRPr="009E3E62">
        <w:rPr>
          <w:lang w:val="en-GB"/>
        </w:rPr>
        <w:t xml:space="preserve">. There are dangers and unidentified variables with the Google Headquarters Projects in London, despite the fact it presents great chances for job creation and fresh concepts. The initiative may decrease the chances of difficulties and expand its odds of success by using sound risk-management approaches, such as </w:t>
      </w:r>
      <w:r w:rsidR="004E2264" w:rsidRPr="009E3E62">
        <w:rPr>
          <w:lang w:val="en-GB"/>
        </w:rPr>
        <w:t>pre-emptive</w:t>
      </w:r>
      <w:r w:rsidRPr="009E3E62">
        <w:rPr>
          <w:lang w:val="en-GB"/>
        </w:rPr>
        <w:t xml:space="preserve"> risk acknowledgement, examination, and prepared responses. The project company can handle difficulties well and achieve its goals within time and money limitations by casting a watchful eye on shifting risk conditions and making adjustments as required.</w:t>
      </w:r>
    </w:p>
    <w:p w14:paraId="311D18BF" w14:textId="3DD9BDED" w:rsidR="005F608C" w:rsidRPr="009E3E62" w:rsidRDefault="005F608C" w:rsidP="00BE661A">
      <w:pPr>
        <w:pStyle w:val="Heading1"/>
        <w:rPr>
          <w:lang w:val="en-GB"/>
        </w:rPr>
      </w:pPr>
      <w:bookmarkStart w:id="7" w:name="_Toc162623720"/>
      <w:r w:rsidRPr="009E3E62">
        <w:rPr>
          <w:lang w:val="en-GB"/>
        </w:rPr>
        <w:t>Conclusion</w:t>
      </w:r>
      <w:bookmarkEnd w:id="7"/>
    </w:p>
    <w:p w14:paraId="7A01F284" w14:textId="29FCCD21" w:rsidR="005F608C" w:rsidRPr="009E3E62" w:rsidRDefault="005F608C" w:rsidP="004E2264">
      <w:pPr>
        <w:spacing w:line="360" w:lineRule="auto"/>
        <w:jc w:val="both"/>
        <w:rPr>
          <w:lang w:val="en-GB"/>
        </w:rPr>
      </w:pPr>
      <w:r w:rsidRPr="009E3E62">
        <w:rPr>
          <w:lang w:val="en-GB"/>
        </w:rPr>
        <w:t xml:space="preserve">In conclusion, the review of the Google Headquarters Project in London has shown the research quite a bit about its many components, such as organising and organising, as well as quality control, involving participants, and decreasing chances. The project has promise in certain segments, but it also has difficulties which have to be resolved for it to be executed out efficiently. It looks like the venture's planning phase is solid, with a well-allocated funding that includes every expenditure. But because of the possibility of cost excesses because of unforeseen occurrences like issues within the chain of supply or difficulties with restrictions, planning requires to be adaptable. Other recommendations are to place aside extra funds in case of unanticipated expenses and to evaluate the spending plan on a regular schedule in order to account for alterations to the project's subject matter or the marketplace. The project's timeline </w:t>
      </w:r>
      <w:r w:rsidRPr="009E3E62">
        <w:rPr>
          <w:lang w:val="en-GB"/>
        </w:rPr>
        <w:lastRenderedPageBreak/>
        <w:t>and objectives are easily understood, thereby making it easier to make arrangements and keep apprised of growth. Still, the reality that delays might occur because of things such as receiving authorisation from government agencies or unanticipated issues on the construction site demonstrates just how essential it is to include an extra day in the schedule. More efficient planning methods, like using agile approaches or more complex rescheduling tools, can help individuals be more adaptive and quicker to react to unexpected circumstances.</w:t>
      </w:r>
    </w:p>
    <w:p w14:paraId="2E4704EC" w14:textId="0DC0BC2D" w:rsidR="005F608C" w:rsidRPr="009E3E62" w:rsidRDefault="005F608C" w:rsidP="004E2264">
      <w:pPr>
        <w:spacing w:line="360" w:lineRule="auto"/>
        <w:jc w:val="both"/>
        <w:rPr>
          <w:lang w:val="en-GB"/>
        </w:rPr>
      </w:pPr>
      <w:r w:rsidRPr="009E3E62">
        <w:rPr>
          <w:lang w:val="en-GB"/>
        </w:rPr>
        <w:t>In terms of quality oversight, the project exhibits its dedication to upholding stringent requirements by employing strong monitoring and certification techniques. But it's still impossible to make certain that every stage of the project and contractors implement the same quality guidelines and are constant. A few recommendations are to do periodic assessments of quality and give project managers and freelancers ongoing guidance and assistance in order to make sure that quality requirements are always fulfilled. Stakeholder participation becomes a crucial component of the project's accomplishment, and good avenues for communication have been set up to address their issues and meet their requirements. But increasing techniques for reaching stakeholders in order to promote increased cooperation and communication can make the final product even superior. Ongoing feedback happenings for interested parties and proactive attempts at communication can help keep assumptions in question while lowering the possibility of issues.</w:t>
      </w:r>
    </w:p>
    <w:p w14:paraId="3D44144B" w14:textId="77777777" w:rsidR="00BE661A" w:rsidRPr="009E3E62" w:rsidRDefault="00BE661A">
      <w:pPr>
        <w:rPr>
          <w:rFonts w:cs="Times New Roman"/>
          <w:b/>
          <w:sz w:val="28"/>
          <w:szCs w:val="28"/>
          <w:lang w:val="en-GB"/>
        </w:rPr>
      </w:pPr>
      <w:r w:rsidRPr="009E3E62">
        <w:rPr>
          <w:rFonts w:cs="Times New Roman"/>
          <w:b/>
          <w:sz w:val="28"/>
          <w:szCs w:val="28"/>
          <w:lang w:val="en-GB"/>
        </w:rPr>
        <w:br w:type="page"/>
      </w:r>
    </w:p>
    <w:p w14:paraId="4723B98F" w14:textId="0BF52B09" w:rsidR="00BE661A" w:rsidRPr="009E3E62" w:rsidRDefault="00BE661A" w:rsidP="00BE661A">
      <w:pPr>
        <w:pStyle w:val="Heading1"/>
        <w:rPr>
          <w:lang w:val="en-GB"/>
        </w:rPr>
      </w:pPr>
      <w:bookmarkStart w:id="8" w:name="_Toc162623721"/>
      <w:r w:rsidRPr="009E3E62">
        <w:rPr>
          <w:lang w:val="en-GB"/>
        </w:rPr>
        <w:lastRenderedPageBreak/>
        <w:t>Reference List</w:t>
      </w:r>
      <w:bookmarkEnd w:id="8"/>
      <w:r w:rsidRPr="009E3E62">
        <w:rPr>
          <w:lang w:val="en-GB"/>
        </w:rPr>
        <w:t xml:space="preserve"> </w:t>
      </w:r>
    </w:p>
    <w:p w14:paraId="40928D33"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Arnold, M. and Artz, M., (2019). The use of a single budget or separate budgets for planning and performance evaluation. </w:t>
      </w:r>
      <w:r w:rsidRPr="009E3E62">
        <w:rPr>
          <w:rFonts w:cs="Times New Roman"/>
          <w:i/>
          <w:iCs/>
          <w:color w:val="222222"/>
          <w:szCs w:val="20"/>
          <w:shd w:val="clear" w:color="auto" w:fill="FFFFFF"/>
          <w:lang w:val="en-GB"/>
        </w:rPr>
        <w:t>Accounting, organizations and society</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73</w:t>
      </w:r>
      <w:r w:rsidRPr="009E3E62">
        <w:rPr>
          <w:rFonts w:cs="Times New Roman"/>
          <w:color w:val="222222"/>
          <w:szCs w:val="20"/>
          <w:shd w:val="clear" w:color="auto" w:fill="FFFFFF"/>
          <w:lang w:val="en-GB"/>
        </w:rPr>
        <w:t>, pp.50-67.</w:t>
      </w:r>
    </w:p>
    <w:p w14:paraId="513FA6BB" w14:textId="77777777" w:rsidR="00BE661A" w:rsidRPr="009E3E62" w:rsidRDefault="00BE661A" w:rsidP="00BE661A">
      <w:pPr>
        <w:spacing w:line="360" w:lineRule="auto"/>
        <w:jc w:val="both"/>
        <w:rPr>
          <w:rFonts w:cs="Times New Roman"/>
          <w:color w:val="222222"/>
          <w:szCs w:val="20"/>
          <w:shd w:val="clear" w:color="auto" w:fill="FFFFFF"/>
          <w:lang w:val="en-GB"/>
        </w:rPr>
      </w:pPr>
      <w:proofErr w:type="spellStart"/>
      <w:r w:rsidRPr="009E3E62">
        <w:rPr>
          <w:rFonts w:cs="Times New Roman"/>
          <w:color w:val="222222"/>
          <w:szCs w:val="20"/>
          <w:shd w:val="clear" w:color="auto" w:fill="FFFFFF"/>
          <w:lang w:val="en-GB"/>
        </w:rPr>
        <w:t>Bahadorestani</w:t>
      </w:r>
      <w:proofErr w:type="spellEnd"/>
      <w:r w:rsidRPr="009E3E62">
        <w:rPr>
          <w:rFonts w:cs="Times New Roman"/>
          <w:color w:val="222222"/>
          <w:szCs w:val="20"/>
          <w:shd w:val="clear" w:color="auto" w:fill="FFFFFF"/>
          <w:lang w:val="en-GB"/>
        </w:rPr>
        <w:t xml:space="preserve">, A., </w:t>
      </w:r>
      <w:proofErr w:type="spellStart"/>
      <w:r w:rsidRPr="009E3E62">
        <w:rPr>
          <w:rFonts w:cs="Times New Roman"/>
          <w:color w:val="222222"/>
          <w:szCs w:val="20"/>
          <w:shd w:val="clear" w:color="auto" w:fill="FFFFFF"/>
          <w:lang w:val="en-GB"/>
        </w:rPr>
        <w:t>Naderpajouh</w:t>
      </w:r>
      <w:proofErr w:type="spellEnd"/>
      <w:r w:rsidRPr="009E3E62">
        <w:rPr>
          <w:rFonts w:cs="Times New Roman"/>
          <w:color w:val="222222"/>
          <w:szCs w:val="20"/>
          <w:shd w:val="clear" w:color="auto" w:fill="FFFFFF"/>
          <w:lang w:val="en-GB"/>
        </w:rPr>
        <w:t>, N. and Sadiq, R., (2020). Planning for sustainable stakeholder engagement based on the assessment of conflicting interests in projects. </w:t>
      </w:r>
      <w:r w:rsidRPr="009E3E62">
        <w:rPr>
          <w:rFonts w:cs="Times New Roman"/>
          <w:i/>
          <w:iCs/>
          <w:color w:val="222222"/>
          <w:szCs w:val="20"/>
          <w:shd w:val="clear" w:color="auto" w:fill="FFFFFF"/>
          <w:lang w:val="en-GB"/>
        </w:rPr>
        <w:t>Journal of Cleaner Production</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242</w:t>
      </w:r>
      <w:r w:rsidRPr="009E3E62">
        <w:rPr>
          <w:rFonts w:cs="Times New Roman"/>
          <w:color w:val="222222"/>
          <w:szCs w:val="20"/>
          <w:shd w:val="clear" w:color="auto" w:fill="FFFFFF"/>
          <w:lang w:val="en-GB"/>
        </w:rPr>
        <w:t>, p.118402.</w:t>
      </w:r>
    </w:p>
    <w:p w14:paraId="11EC3F89"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Bahamonde-Birke, F.J., </w:t>
      </w:r>
      <w:proofErr w:type="spellStart"/>
      <w:r w:rsidRPr="009E3E62">
        <w:rPr>
          <w:rFonts w:cs="Times New Roman"/>
          <w:color w:val="222222"/>
          <w:szCs w:val="20"/>
          <w:shd w:val="clear" w:color="auto" w:fill="FFFFFF"/>
          <w:lang w:val="en-GB"/>
        </w:rPr>
        <w:t>Geigenmüller</w:t>
      </w:r>
      <w:proofErr w:type="spellEnd"/>
      <w:r w:rsidRPr="009E3E62">
        <w:rPr>
          <w:rFonts w:cs="Times New Roman"/>
          <w:color w:val="222222"/>
          <w:szCs w:val="20"/>
          <w:shd w:val="clear" w:color="auto" w:fill="FFFFFF"/>
          <w:lang w:val="en-GB"/>
        </w:rPr>
        <w:t xml:space="preserve">, I.M., </w:t>
      </w:r>
      <w:proofErr w:type="spellStart"/>
      <w:r w:rsidRPr="009E3E62">
        <w:rPr>
          <w:rFonts w:cs="Times New Roman"/>
          <w:color w:val="222222"/>
          <w:szCs w:val="20"/>
          <w:shd w:val="clear" w:color="auto" w:fill="FFFFFF"/>
          <w:lang w:val="en-GB"/>
        </w:rPr>
        <w:t>Mouter</w:t>
      </w:r>
      <w:proofErr w:type="spellEnd"/>
      <w:r w:rsidRPr="009E3E62">
        <w:rPr>
          <w:rFonts w:cs="Times New Roman"/>
          <w:color w:val="222222"/>
          <w:szCs w:val="20"/>
          <w:shd w:val="clear" w:color="auto" w:fill="FFFFFF"/>
          <w:lang w:val="en-GB"/>
        </w:rPr>
        <w:t xml:space="preserve">, N., van Lierop, D.S. and </w:t>
      </w:r>
      <w:proofErr w:type="spellStart"/>
      <w:r w:rsidRPr="009E3E62">
        <w:rPr>
          <w:rFonts w:cs="Times New Roman"/>
          <w:color w:val="222222"/>
          <w:szCs w:val="20"/>
          <w:shd w:val="clear" w:color="auto" w:fill="FFFFFF"/>
          <w:lang w:val="en-GB"/>
        </w:rPr>
        <w:t>Ettema</w:t>
      </w:r>
      <w:proofErr w:type="spellEnd"/>
      <w:r w:rsidRPr="009E3E62">
        <w:rPr>
          <w:rFonts w:cs="Times New Roman"/>
          <w:color w:val="222222"/>
          <w:szCs w:val="20"/>
          <w:shd w:val="clear" w:color="auto" w:fill="FFFFFF"/>
          <w:lang w:val="en-GB"/>
        </w:rPr>
        <w:t xml:space="preserve">, D.F., (2024). How do I want the city council to spend our budget? Conceiving </w:t>
      </w:r>
      <w:proofErr w:type="spellStart"/>
      <w:r w:rsidRPr="009E3E62">
        <w:rPr>
          <w:rFonts w:cs="Times New Roman"/>
          <w:color w:val="222222"/>
          <w:szCs w:val="20"/>
          <w:shd w:val="clear" w:color="auto" w:fill="FFFFFF"/>
          <w:lang w:val="en-GB"/>
        </w:rPr>
        <w:t>MaaS</w:t>
      </w:r>
      <w:proofErr w:type="spellEnd"/>
      <w:r w:rsidRPr="009E3E62">
        <w:rPr>
          <w:rFonts w:cs="Times New Roman"/>
          <w:color w:val="222222"/>
          <w:szCs w:val="20"/>
          <w:shd w:val="clear" w:color="auto" w:fill="FFFFFF"/>
          <w:lang w:val="en-GB"/>
        </w:rPr>
        <w:t xml:space="preserve"> from a citizen's perspective…(as well as biking infrastructure and public transport). </w:t>
      </w:r>
      <w:r w:rsidRPr="009E3E62">
        <w:rPr>
          <w:rFonts w:cs="Times New Roman"/>
          <w:i/>
          <w:iCs/>
          <w:color w:val="222222"/>
          <w:szCs w:val="20"/>
          <w:shd w:val="clear" w:color="auto" w:fill="FFFFFF"/>
          <w:lang w:val="en-GB"/>
        </w:rPr>
        <w:t>Transport Policy</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145</w:t>
      </w:r>
      <w:r w:rsidRPr="009E3E62">
        <w:rPr>
          <w:rFonts w:cs="Times New Roman"/>
          <w:color w:val="222222"/>
          <w:szCs w:val="20"/>
          <w:shd w:val="clear" w:color="auto" w:fill="FFFFFF"/>
          <w:lang w:val="en-GB"/>
        </w:rPr>
        <w:t>, pp.96-104.</w:t>
      </w:r>
    </w:p>
    <w:p w14:paraId="2F4E17F4"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Downs, L., Francis, A., Koenig, N., Kinman, B., Hickman, R., Reymann, K., McHugh, T.B. and </w:t>
      </w:r>
      <w:proofErr w:type="spellStart"/>
      <w:r w:rsidRPr="009E3E62">
        <w:rPr>
          <w:rFonts w:cs="Times New Roman"/>
          <w:color w:val="222222"/>
          <w:szCs w:val="20"/>
          <w:shd w:val="clear" w:color="auto" w:fill="FFFFFF"/>
          <w:lang w:val="en-GB"/>
        </w:rPr>
        <w:t>Vanhoucke</w:t>
      </w:r>
      <w:proofErr w:type="spellEnd"/>
      <w:r w:rsidRPr="009E3E62">
        <w:rPr>
          <w:rFonts w:cs="Times New Roman"/>
          <w:color w:val="222222"/>
          <w:szCs w:val="20"/>
          <w:shd w:val="clear" w:color="auto" w:fill="FFFFFF"/>
          <w:lang w:val="en-GB"/>
        </w:rPr>
        <w:t>, V., (2022, May). Google scanned objects: A high-quality dataset of 3d scanned household items. In </w:t>
      </w:r>
      <w:r w:rsidRPr="009E3E62">
        <w:rPr>
          <w:rFonts w:cs="Times New Roman"/>
          <w:i/>
          <w:iCs/>
          <w:color w:val="222222"/>
          <w:szCs w:val="20"/>
          <w:shd w:val="clear" w:color="auto" w:fill="FFFFFF"/>
          <w:lang w:val="en-GB"/>
        </w:rPr>
        <w:t>2022 International Conference on Robotics and Automation (ICRA)</w:t>
      </w:r>
      <w:r w:rsidRPr="009E3E62">
        <w:rPr>
          <w:rFonts w:cs="Times New Roman"/>
          <w:color w:val="222222"/>
          <w:szCs w:val="20"/>
          <w:shd w:val="clear" w:color="auto" w:fill="FFFFFF"/>
          <w:lang w:val="en-GB"/>
        </w:rPr>
        <w:t> (pp. 2553-2560). IEEE.</w:t>
      </w:r>
    </w:p>
    <w:p w14:paraId="61F9B36C"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Hu, Y., Li, Y., Huang, H., Lee, J., Yuan, C. and Zou, G., (2022). A high-resolution trajectory data driven method for real-time evaluation of traffic safety. </w:t>
      </w:r>
      <w:r w:rsidRPr="009E3E62">
        <w:rPr>
          <w:rFonts w:cs="Times New Roman"/>
          <w:i/>
          <w:iCs/>
          <w:color w:val="222222"/>
          <w:szCs w:val="20"/>
          <w:shd w:val="clear" w:color="auto" w:fill="FFFFFF"/>
          <w:lang w:val="en-GB"/>
        </w:rPr>
        <w:t>Accident Analysis &amp; Prevention</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165</w:t>
      </w:r>
      <w:r w:rsidRPr="009E3E62">
        <w:rPr>
          <w:rFonts w:cs="Times New Roman"/>
          <w:color w:val="222222"/>
          <w:szCs w:val="20"/>
          <w:shd w:val="clear" w:color="auto" w:fill="FFFFFF"/>
          <w:lang w:val="en-GB"/>
        </w:rPr>
        <w:t>, p.106503.</w:t>
      </w:r>
    </w:p>
    <w:p w14:paraId="43651086"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Ika, L.A. and Pinto, J.K., (2022). The “re-meaning” of project success: Updating and recalibrating for a modern project management. </w:t>
      </w:r>
      <w:r w:rsidRPr="009E3E62">
        <w:rPr>
          <w:rFonts w:cs="Times New Roman"/>
          <w:i/>
          <w:iCs/>
          <w:color w:val="222222"/>
          <w:szCs w:val="20"/>
          <w:shd w:val="clear" w:color="auto" w:fill="FFFFFF"/>
          <w:lang w:val="en-GB"/>
        </w:rPr>
        <w:t>International Journal of Project Management</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40</w:t>
      </w:r>
      <w:r w:rsidRPr="009E3E62">
        <w:rPr>
          <w:rFonts w:cs="Times New Roman"/>
          <w:color w:val="222222"/>
          <w:szCs w:val="20"/>
          <w:shd w:val="clear" w:color="auto" w:fill="FFFFFF"/>
          <w:lang w:val="en-GB"/>
        </w:rPr>
        <w:t>(7), pp.835-848.</w:t>
      </w:r>
    </w:p>
    <w:p w14:paraId="1737B9CD"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Kwon, Y.D., Chauhan, J. and Mascolo, C., (2021). </w:t>
      </w:r>
      <w:proofErr w:type="spellStart"/>
      <w:r w:rsidRPr="009E3E62">
        <w:rPr>
          <w:rFonts w:cs="Times New Roman"/>
          <w:color w:val="222222"/>
          <w:szCs w:val="20"/>
          <w:shd w:val="clear" w:color="auto" w:fill="FFFFFF"/>
          <w:lang w:val="en-GB"/>
        </w:rPr>
        <w:t>Fasticarl</w:t>
      </w:r>
      <w:proofErr w:type="spellEnd"/>
      <w:r w:rsidRPr="009E3E62">
        <w:rPr>
          <w:rFonts w:cs="Times New Roman"/>
          <w:color w:val="222222"/>
          <w:szCs w:val="20"/>
          <w:shd w:val="clear" w:color="auto" w:fill="FFFFFF"/>
          <w:lang w:val="en-GB"/>
        </w:rPr>
        <w:t>: Fast incremental classifier and representation learning with efficient budget allocation in audio sensing applications. </w:t>
      </w:r>
      <w:proofErr w:type="spellStart"/>
      <w:r w:rsidRPr="009E3E62">
        <w:rPr>
          <w:rFonts w:cs="Times New Roman"/>
          <w:i/>
          <w:iCs/>
          <w:color w:val="222222"/>
          <w:szCs w:val="20"/>
          <w:shd w:val="clear" w:color="auto" w:fill="FFFFFF"/>
          <w:lang w:val="en-GB"/>
        </w:rPr>
        <w:t>arXiv</w:t>
      </w:r>
      <w:proofErr w:type="spellEnd"/>
      <w:r w:rsidRPr="009E3E62">
        <w:rPr>
          <w:rFonts w:cs="Times New Roman"/>
          <w:i/>
          <w:iCs/>
          <w:color w:val="222222"/>
          <w:szCs w:val="20"/>
          <w:shd w:val="clear" w:color="auto" w:fill="FFFFFF"/>
          <w:lang w:val="en-GB"/>
        </w:rPr>
        <w:t xml:space="preserve"> preprint arXiv:2106.07268</w:t>
      </w:r>
      <w:r w:rsidRPr="009E3E62">
        <w:rPr>
          <w:rFonts w:cs="Times New Roman"/>
          <w:color w:val="222222"/>
          <w:szCs w:val="20"/>
          <w:shd w:val="clear" w:color="auto" w:fill="FFFFFF"/>
          <w:lang w:val="en-GB"/>
        </w:rPr>
        <w:t>.</w:t>
      </w:r>
    </w:p>
    <w:p w14:paraId="4FDFAE23" w14:textId="77777777" w:rsidR="00BE661A" w:rsidRPr="009E3E62" w:rsidRDefault="00BE661A" w:rsidP="00BE661A">
      <w:pPr>
        <w:spacing w:line="360" w:lineRule="auto"/>
        <w:jc w:val="both"/>
        <w:rPr>
          <w:rFonts w:cs="Times New Roman"/>
          <w:color w:val="222222"/>
          <w:szCs w:val="20"/>
          <w:shd w:val="clear" w:color="auto" w:fill="FFFFFF"/>
          <w:lang w:val="en-GB"/>
        </w:rPr>
      </w:pPr>
      <w:proofErr w:type="spellStart"/>
      <w:r w:rsidRPr="009E3E62">
        <w:rPr>
          <w:rFonts w:cs="Times New Roman"/>
          <w:color w:val="222222"/>
          <w:szCs w:val="20"/>
          <w:shd w:val="clear" w:color="auto" w:fill="FFFFFF"/>
          <w:lang w:val="en-GB"/>
        </w:rPr>
        <w:t>Mouter</w:t>
      </w:r>
      <w:proofErr w:type="spellEnd"/>
      <w:r w:rsidRPr="009E3E62">
        <w:rPr>
          <w:rFonts w:cs="Times New Roman"/>
          <w:color w:val="222222"/>
          <w:szCs w:val="20"/>
          <w:shd w:val="clear" w:color="auto" w:fill="FFFFFF"/>
          <w:lang w:val="en-GB"/>
        </w:rPr>
        <w:t>, N., (2021). Willingness to allocate public budget and Participatory Value Evaluation. In </w:t>
      </w:r>
      <w:r w:rsidRPr="009E3E62">
        <w:rPr>
          <w:rFonts w:cs="Times New Roman"/>
          <w:i/>
          <w:iCs/>
          <w:color w:val="222222"/>
          <w:szCs w:val="20"/>
          <w:shd w:val="clear" w:color="auto" w:fill="FFFFFF"/>
          <w:lang w:val="en-GB"/>
        </w:rPr>
        <w:t>Advances in Transport Policy and Planning</w:t>
      </w:r>
      <w:r w:rsidRPr="009E3E62">
        <w:rPr>
          <w:rFonts w:cs="Times New Roman"/>
          <w:color w:val="222222"/>
          <w:szCs w:val="20"/>
          <w:shd w:val="clear" w:color="auto" w:fill="FFFFFF"/>
          <w:lang w:val="en-GB"/>
        </w:rPr>
        <w:t> (Vol. 7, pp. 83-102). Academic Press.</w:t>
      </w:r>
    </w:p>
    <w:p w14:paraId="53284530"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Rozenfeld, Y., Beam, J., Maier, H., </w:t>
      </w:r>
      <w:proofErr w:type="spellStart"/>
      <w:r w:rsidRPr="009E3E62">
        <w:rPr>
          <w:rFonts w:cs="Times New Roman"/>
          <w:color w:val="222222"/>
          <w:szCs w:val="20"/>
          <w:shd w:val="clear" w:color="auto" w:fill="FFFFFF"/>
          <w:lang w:val="en-GB"/>
        </w:rPr>
        <w:t>Haggerson</w:t>
      </w:r>
      <w:proofErr w:type="spellEnd"/>
      <w:r w:rsidRPr="009E3E62">
        <w:rPr>
          <w:rFonts w:cs="Times New Roman"/>
          <w:color w:val="222222"/>
          <w:szCs w:val="20"/>
          <w:shd w:val="clear" w:color="auto" w:fill="FFFFFF"/>
          <w:lang w:val="en-GB"/>
        </w:rPr>
        <w:t>, W., Boudreau, K., Carlson, J. and Medows, R., (2020). A model of disparities: risk factors associated with COVID-19 infection. </w:t>
      </w:r>
      <w:r w:rsidRPr="009E3E62">
        <w:rPr>
          <w:rFonts w:cs="Times New Roman"/>
          <w:i/>
          <w:iCs/>
          <w:color w:val="222222"/>
          <w:szCs w:val="20"/>
          <w:shd w:val="clear" w:color="auto" w:fill="FFFFFF"/>
          <w:lang w:val="en-GB"/>
        </w:rPr>
        <w:t>International journal for equity in health</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19</w:t>
      </w:r>
      <w:r w:rsidRPr="009E3E62">
        <w:rPr>
          <w:rFonts w:cs="Times New Roman"/>
          <w:color w:val="222222"/>
          <w:szCs w:val="20"/>
          <w:shd w:val="clear" w:color="auto" w:fill="FFFFFF"/>
          <w:lang w:val="en-GB"/>
        </w:rPr>
        <w:t>(1), p.126.</w:t>
      </w:r>
    </w:p>
    <w:p w14:paraId="4AF31F6C" w14:textId="77777777" w:rsidR="00BE661A" w:rsidRPr="009E3E62" w:rsidRDefault="00BE661A" w:rsidP="00BE661A">
      <w:pPr>
        <w:spacing w:line="360" w:lineRule="auto"/>
        <w:jc w:val="both"/>
        <w:rPr>
          <w:rFonts w:cs="Times New Roman"/>
          <w:color w:val="222222"/>
          <w:szCs w:val="20"/>
          <w:shd w:val="clear" w:color="auto" w:fill="FFFFFF"/>
          <w:lang w:val="en-GB"/>
        </w:rPr>
      </w:pPr>
      <w:proofErr w:type="spellStart"/>
      <w:r w:rsidRPr="009E3E62">
        <w:rPr>
          <w:rFonts w:cs="Times New Roman"/>
          <w:color w:val="222222"/>
          <w:szCs w:val="20"/>
          <w:shd w:val="clear" w:color="auto" w:fill="FFFFFF"/>
          <w:lang w:val="en-GB"/>
        </w:rPr>
        <w:lastRenderedPageBreak/>
        <w:t>Siivola</w:t>
      </w:r>
      <w:proofErr w:type="spellEnd"/>
      <w:r w:rsidRPr="009E3E62">
        <w:rPr>
          <w:rFonts w:cs="Times New Roman"/>
          <w:color w:val="222222"/>
          <w:szCs w:val="20"/>
          <w:shd w:val="clear" w:color="auto" w:fill="FFFFFF"/>
          <w:lang w:val="en-GB"/>
        </w:rPr>
        <w:t>, K.M., Burgum, M.J., Suárez-Merino, B., Clift, M.J., Doak, S.H. and Catalán, J., (2022). A systematic quality evaluation and review of nanomaterial genotoxicity studies: a regulatory perspective. </w:t>
      </w:r>
      <w:r w:rsidRPr="009E3E62">
        <w:rPr>
          <w:rFonts w:cs="Times New Roman"/>
          <w:i/>
          <w:iCs/>
          <w:color w:val="222222"/>
          <w:szCs w:val="20"/>
          <w:shd w:val="clear" w:color="auto" w:fill="FFFFFF"/>
          <w:lang w:val="en-GB"/>
        </w:rPr>
        <w:t>Particle and fibre toxicology</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19</w:t>
      </w:r>
      <w:r w:rsidRPr="009E3E62">
        <w:rPr>
          <w:rFonts w:cs="Times New Roman"/>
          <w:color w:val="222222"/>
          <w:szCs w:val="20"/>
          <w:shd w:val="clear" w:color="auto" w:fill="FFFFFF"/>
          <w:lang w:val="en-GB"/>
        </w:rPr>
        <w:t>(1), p.59.</w:t>
      </w:r>
    </w:p>
    <w:p w14:paraId="6C095C08"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Song, X., Bai, S., He, N., Wang, R., Xing, Y., </w:t>
      </w:r>
      <w:proofErr w:type="spellStart"/>
      <w:r w:rsidRPr="009E3E62">
        <w:rPr>
          <w:rFonts w:cs="Times New Roman"/>
          <w:color w:val="222222"/>
          <w:szCs w:val="20"/>
          <w:shd w:val="clear" w:color="auto" w:fill="FFFFFF"/>
          <w:lang w:val="en-GB"/>
        </w:rPr>
        <w:t>Lv</w:t>
      </w:r>
      <w:proofErr w:type="spellEnd"/>
      <w:r w:rsidRPr="009E3E62">
        <w:rPr>
          <w:rFonts w:cs="Times New Roman"/>
          <w:color w:val="222222"/>
          <w:szCs w:val="20"/>
          <w:shd w:val="clear" w:color="auto" w:fill="FFFFFF"/>
          <w:lang w:val="en-GB"/>
        </w:rPr>
        <w:t>, C. and Yu, F., (2021). Real-time evaluation of hydrogen peroxide injuries in pulmonary fibrosis mice models with a mitochondria-targeted near-infrared fluorescent probe. </w:t>
      </w:r>
      <w:r w:rsidRPr="009E3E62">
        <w:rPr>
          <w:rFonts w:cs="Times New Roman"/>
          <w:i/>
          <w:iCs/>
          <w:color w:val="222222"/>
          <w:szCs w:val="20"/>
          <w:shd w:val="clear" w:color="auto" w:fill="FFFFFF"/>
          <w:lang w:val="en-GB"/>
        </w:rPr>
        <w:t>ACS sensors</w:t>
      </w:r>
      <w:r w:rsidRPr="009E3E62">
        <w:rPr>
          <w:rFonts w:cs="Times New Roman"/>
          <w:color w:val="222222"/>
          <w:szCs w:val="20"/>
          <w:shd w:val="clear" w:color="auto" w:fill="FFFFFF"/>
          <w:lang w:val="en-GB"/>
        </w:rPr>
        <w:t>, </w:t>
      </w:r>
      <w:r w:rsidRPr="009E3E62">
        <w:rPr>
          <w:rFonts w:cs="Times New Roman"/>
          <w:i/>
          <w:iCs/>
          <w:color w:val="222222"/>
          <w:szCs w:val="20"/>
          <w:shd w:val="clear" w:color="auto" w:fill="FFFFFF"/>
          <w:lang w:val="en-GB"/>
        </w:rPr>
        <w:t>6</w:t>
      </w:r>
      <w:r w:rsidRPr="009E3E62">
        <w:rPr>
          <w:rFonts w:cs="Times New Roman"/>
          <w:color w:val="222222"/>
          <w:szCs w:val="20"/>
          <w:shd w:val="clear" w:color="auto" w:fill="FFFFFF"/>
          <w:lang w:val="en-GB"/>
        </w:rPr>
        <w:t>(3), pp.1228-1239.</w:t>
      </w:r>
    </w:p>
    <w:p w14:paraId="3E1C8B07" w14:textId="77777777" w:rsidR="00BE661A" w:rsidRPr="009E3E62" w:rsidRDefault="00BE661A" w:rsidP="00BE661A">
      <w:pPr>
        <w:spacing w:line="360" w:lineRule="auto"/>
        <w:jc w:val="both"/>
        <w:rPr>
          <w:rFonts w:cs="Times New Roman"/>
          <w:color w:val="222222"/>
          <w:szCs w:val="20"/>
          <w:shd w:val="clear" w:color="auto" w:fill="FFFFFF"/>
          <w:lang w:val="en-GB"/>
        </w:rPr>
      </w:pPr>
      <w:r w:rsidRPr="009E3E62">
        <w:rPr>
          <w:rFonts w:cs="Times New Roman"/>
          <w:color w:val="222222"/>
          <w:szCs w:val="20"/>
          <w:shd w:val="clear" w:color="auto" w:fill="FFFFFF"/>
          <w:lang w:val="en-GB"/>
        </w:rPr>
        <w:t xml:space="preserve">Whelton, S.P., McAuley, P.A., </w:t>
      </w:r>
      <w:proofErr w:type="spellStart"/>
      <w:r w:rsidRPr="009E3E62">
        <w:rPr>
          <w:rFonts w:cs="Times New Roman"/>
          <w:color w:val="222222"/>
          <w:szCs w:val="20"/>
          <w:shd w:val="clear" w:color="auto" w:fill="FFFFFF"/>
          <w:lang w:val="en-GB"/>
        </w:rPr>
        <w:t>Dardari</w:t>
      </w:r>
      <w:proofErr w:type="spellEnd"/>
      <w:r w:rsidRPr="009E3E62">
        <w:rPr>
          <w:rFonts w:cs="Times New Roman"/>
          <w:color w:val="222222"/>
          <w:szCs w:val="20"/>
          <w:shd w:val="clear" w:color="auto" w:fill="FFFFFF"/>
          <w:lang w:val="en-GB"/>
        </w:rPr>
        <w:t xml:space="preserve">, Z., </w:t>
      </w:r>
      <w:proofErr w:type="spellStart"/>
      <w:r w:rsidRPr="009E3E62">
        <w:rPr>
          <w:rFonts w:cs="Times New Roman"/>
          <w:color w:val="222222"/>
          <w:szCs w:val="20"/>
          <w:shd w:val="clear" w:color="auto" w:fill="FFFFFF"/>
          <w:lang w:val="en-GB"/>
        </w:rPr>
        <w:t>Orimoloye</w:t>
      </w:r>
      <w:proofErr w:type="spellEnd"/>
      <w:r w:rsidRPr="009E3E62">
        <w:rPr>
          <w:rFonts w:cs="Times New Roman"/>
          <w:color w:val="222222"/>
          <w:szCs w:val="20"/>
          <w:shd w:val="clear" w:color="auto" w:fill="FFFFFF"/>
          <w:lang w:val="en-GB"/>
        </w:rPr>
        <w:t>, O.A., Michos, E.D., Brawner, C.A., Ehrman, J.K., Keteyian, S.J., Blaha, M.J. and Al-Mallah, M.H., (2021, September). Fitness and mortality among persons 70 years and older across the spectrum of cardiovascular disease risk factor burden: the FIT project. In </w:t>
      </w:r>
      <w:r w:rsidRPr="009E3E62">
        <w:rPr>
          <w:rFonts w:cs="Times New Roman"/>
          <w:i/>
          <w:iCs/>
          <w:color w:val="222222"/>
          <w:szCs w:val="20"/>
          <w:shd w:val="clear" w:color="auto" w:fill="FFFFFF"/>
          <w:lang w:val="en-GB"/>
        </w:rPr>
        <w:t>Mayo Clinic Proceedings</w:t>
      </w:r>
      <w:r w:rsidRPr="009E3E62">
        <w:rPr>
          <w:rFonts w:cs="Times New Roman"/>
          <w:color w:val="222222"/>
          <w:szCs w:val="20"/>
          <w:shd w:val="clear" w:color="auto" w:fill="FFFFFF"/>
          <w:lang w:val="en-GB"/>
        </w:rPr>
        <w:t> (Vol. 96, No. 9, pp. 2376-2385). Elsevier.</w:t>
      </w:r>
    </w:p>
    <w:sectPr w:rsidR="00BE661A" w:rsidRPr="009E3E62" w:rsidSect="009D27A7">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27672" w14:textId="77777777" w:rsidR="009D27A7" w:rsidRDefault="009D27A7" w:rsidP="001A5822">
      <w:pPr>
        <w:spacing w:after="0" w:line="240" w:lineRule="auto"/>
      </w:pPr>
      <w:r>
        <w:separator/>
      </w:r>
    </w:p>
  </w:endnote>
  <w:endnote w:type="continuationSeparator" w:id="0">
    <w:p w14:paraId="2C4A139C" w14:textId="77777777" w:rsidR="009D27A7" w:rsidRDefault="009D27A7" w:rsidP="001A5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FAB39" w14:textId="77777777" w:rsidR="000C27B3" w:rsidRDefault="000C27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029942"/>
      <w:docPartObj>
        <w:docPartGallery w:val="Page Numbers (Bottom of Page)"/>
        <w:docPartUnique/>
      </w:docPartObj>
    </w:sdtPr>
    <w:sdtEndPr>
      <w:rPr>
        <w:color w:val="7F7F7F" w:themeColor="background1" w:themeShade="7F"/>
        <w:spacing w:val="60"/>
      </w:rPr>
    </w:sdtEndPr>
    <w:sdtContent>
      <w:p w14:paraId="0D3C8C0E" w14:textId="4350943C" w:rsidR="001A5822" w:rsidRDefault="001A5822">
        <w:pPr>
          <w:pStyle w:val="Footer"/>
          <w:pBdr>
            <w:top w:val="single" w:sz="4" w:space="1" w:color="D9D9D9" w:themeColor="background1" w:themeShade="D9"/>
          </w:pBdr>
          <w:jc w:val="right"/>
        </w:pPr>
        <w:r>
          <w:fldChar w:fldCharType="begin"/>
        </w:r>
        <w:r>
          <w:instrText xml:space="preserve"> PAGE   \* MERGEFORMAT </w:instrText>
        </w:r>
        <w:r>
          <w:fldChar w:fldCharType="separate"/>
        </w:r>
        <w:r w:rsidR="009E3E62">
          <w:rPr>
            <w:noProof/>
          </w:rPr>
          <w:t>11</w:t>
        </w:r>
        <w:r>
          <w:rPr>
            <w:noProof/>
          </w:rPr>
          <w:fldChar w:fldCharType="end"/>
        </w:r>
        <w:r>
          <w:t xml:space="preserve"> | </w:t>
        </w:r>
        <w:r>
          <w:rPr>
            <w:color w:val="7F7F7F" w:themeColor="background1" w:themeShade="7F"/>
            <w:spacing w:val="60"/>
          </w:rPr>
          <w:t>Page</w:t>
        </w:r>
      </w:p>
    </w:sdtContent>
  </w:sdt>
  <w:p w14:paraId="43C255B9" w14:textId="77777777" w:rsidR="001A5822" w:rsidRDefault="001A58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18684" w14:textId="77777777" w:rsidR="000C27B3" w:rsidRDefault="000C2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B285E" w14:textId="77777777" w:rsidR="009D27A7" w:rsidRDefault="009D27A7" w:rsidP="001A5822">
      <w:pPr>
        <w:spacing w:after="0" w:line="240" w:lineRule="auto"/>
      </w:pPr>
      <w:r>
        <w:separator/>
      </w:r>
    </w:p>
  </w:footnote>
  <w:footnote w:type="continuationSeparator" w:id="0">
    <w:p w14:paraId="2B6A86E0" w14:textId="77777777" w:rsidR="009D27A7" w:rsidRDefault="009D27A7" w:rsidP="001A5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1A234" w14:textId="77777777" w:rsidR="000C27B3" w:rsidRDefault="000C27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5DEE7" w14:textId="77777777" w:rsidR="000C27B3" w:rsidRDefault="000C27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FF10" w14:textId="77777777" w:rsidR="000C27B3" w:rsidRDefault="000C27B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EEB"/>
    <w:rsid w:val="00032D9E"/>
    <w:rsid w:val="00075AF1"/>
    <w:rsid w:val="000C27B3"/>
    <w:rsid w:val="000C4BE8"/>
    <w:rsid w:val="00113EEB"/>
    <w:rsid w:val="00123FD8"/>
    <w:rsid w:val="0012528D"/>
    <w:rsid w:val="001673AD"/>
    <w:rsid w:val="001A5822"/>
    <w:rsid w:val="0034018A"/>
    <w:rsid w:val="00347D42"/>
    <w:rsid w:val="00472EB3"/>
    <w:rsid w:val="004E2264"/>
    <w:rsid w:val="005B1BEB"/>
    <w:rsid w:val="005F608C"/>
    <w:rsid w:val="00654DEA"/>
    <w:rsid w:val="006831D0"/>
    <w:rsid w:val="006A5DB2"/>
    <w:rsid w:val="00736AD7"/>
    <w:rsid w:val="007D4B70"/>
    <w:rsid w:val="007D64C5"/>
    <w:rsid w:val="00857082"/>
    <w:rsid w:val="008D4432"/>
    <w:rsid w:val="0099439A"/>
    <w:rsid w:val="00997B50"/>
    <w:rsid w:val="009C7A60"/>
    <w:rsid w:val="009D27A7"/>
    <w:rsid w:val="009E3E62"/>
    <w:rsid w:val="00A421C1"/>
    <w:rsid w:val="00A56A23"/>
    <w:rsid w:val="00A712A2"/>
    <w:rsid w:val="00AF3F32"/>
    <w:rsid w:val="00B10463"/>
    <w:rsid w:val="00B5481D"/>
    <w:rsid w:val="00BE661A"/>
    <w:rsid w:val="00C5357A"/>
    <w:rsid w:val="00CA6575"/>
    <w:rsid w:val="00CD2E21"/>
    <w:rsid w:val="00DF3C06"/>
    <w:rsid w:val="00F02627"/>
    <w:rsid w:val="00F517BD"/>
    <w:rsid w:val="00F967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C9A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28D"/>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7D4B70"/>
    <w:pPr>
      <w:keepNext/>
      <w:keepLines/>
      <w:spacing w:before="360" w:after="280" w:line="360" w:lineRule="auto"/>
      <w:jc w:val="both"/>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autoRedefine/>
    <w:uiPriority w:val="9"/>
    <w:unhideWhenUsed/>
    <w:qFormat/>
    <w:rsid w:val="004E2264"/>
    <w:pPr>
      <w:keepNext/>
      <w:keepLines/>
      <w:spacing w:before="160" w:after="280" w:line="360" w:lineRule="auto"/>
      <w:jc w:val="both"/>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CD2E21"/>
    <w:pPr>
      <w:keepNext/>
      <w:keepLines/>
      <w:spacing w:before="4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B7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E226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CD2E21"/>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BE661A"/>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E661A"/>
    <w:pPr>
      <w:spacing w:after="100"/>
    </w:pPr>
  </w:style>
  <w:style w:type="paragraph" w:styleId="TOC2">
    <w:name w:val="toc 2"/>
    <w:basedOn w:val="Normal"/>
    <w:next w:val="Normal"/>
    <w:autoRedefine/>
    <w:uiPriority w:val="39"/>
    <w:unhideWhenUsed/>
    <w:rsid w:val="00BE661A"/>
    <w:pPr>
      <w:spacing w:after="100"/>
      <w:ind w:left="240"/>
    </w:pPr>
  </w:style>
  <w:style w:type="character" w:styleId="Hyperlink">
    <w:name w:val="Hyperlink"/>
    <w:basedOn w:val="DefaultParagraphFont"/>
    <w:uiPriority w:val="99"/>
    <w:unhideWhenUsed/>
    <w:rsid w:val="00BE661A"/>
    <w:rPr>
      <w:color w:val="0563C1" w:themeColor="hyperlink"/>
      <w:u w:val="single"/>
    </w:rPr>
  </w:style>
  <w:style w:type="paragraph" w:styleId="Header">
    <w:name w:val="header"/>
    <w:basedOn w:val="Normal"/>
    <w:link w:val="HeaderChar"/>
    <w:uiPriority w:val="99"/>
    <w:unhideWhenUsed/>
    <w:rsid w:val="001A5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822"/>
    <w:rPr>
      <w:rFonts w:ascii="Times New Roman" w:hAnsi="Times New Roman"/>
      <w:kern w:val="0"/>
      <w:sz w:val="24"/>
      <w14:ligatures w14:val="none"/>
    </w:rPr>
  </w:style>
  <w:style w:type="paragraph" w:styleId="Footer">
    <w:name w:val="footer"/>
    <w:basedOn w:val="Normal"/>
    <w:link w:val="FooterChar"/>
    <w:uiPriority w:val="99"/>
    <w:unhideWhenUsed/>
    <w:rsid w:val="001A5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822"/>
    <w:rPr>
      <w:rFonts w:ascii="Times New Roman" w:hAnsi="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9DB2D-7251-4038-9957-5B4326258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3145</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2024-03-30T15:05:00Z</dcterms:created>
  <dcterms:modified xsi:type="dcterms:W3CDTF">2024-04-02T19:07:00Z</dcterms:modified>
</cp:coreProperties>
</file>