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65724" w14:textId="77777777" w:rsidR="00474C5A" w:rsidRDefault="00474C5A" w:rsidP="00166178">
      <w:pPr>
        <w:spacing w:before="120" w:after="120" w:line="360" w:lineRule="auto"/>
        <w:outlineLvl w:val="1"/>
        <w:rPr>
          <w:rFonts w:ascii="Arial" w:eastAsia="Times New Roman" w:hAnsi="Arial" w:cs="Arial"/>
          <w:b/>
          <w:bCs/>
          <w:kern w:val="0"/>
          <w:sz w:val="22"/>
          <w:szCs w:val="22"/>
          <w14:ligatures w14:val="none"/>
        </w:rPr>
      </w:pPr>
    </w:p>
    <w:p w14:paraId="05D3FF19" w14:textId="77777777" w:rsidR="00474C5A" w:rsidRDefault="00474C5A" w:rsidP="00166178">
      <w:pPr>
        <w:spacing w:before="120" w:after="120" w:line="360" w:lineRule="auto"/>
        <w:outlineLvl w:val="1"/>
        <w:rPr>
          <w:rFonts w:ascii="Arial" w:eastAsia="Times New Roman" w:hAnsi="Arial" w:cs="Arial"/>
          <w:b/>
          <w:bCs/>
          <w:kern w:val="0"/>
          <w:sz w:val="22"/>
          <w:szCs w:val="22"/>
          <w14:ligatures w14:val="none"/>
        </w:rPr>
      </w:pPr>
    </w:p>
    <w:p w14:paraId="38DD7F33" w14:textId="77777777" w:rsidR="00474C5A" w:rsidRDefault="00474C5A" w:rsidP="00166178">
      <w:pPr>
        <w:spacing w:before="120" w:after="120" w:line="360" w:lineRule="auto"/>
        <w:outlineLvl w:val="1"/>
        <w:rPr>
          <w:rFonts w:ascii="Arial" w:eastAsia="Times New Roman" w:hAnsi="Arial" w:cs="Arial"/>
          <w:b/>
          <w:bCs/>
          <w:kern w:val="0"/>
          <w:sz w:val="22"/>
          <w:szCs w:val="22"/>
          <w14:ligatures w14:val="none"/>
        </w:rPr>
      </w:pPr>
    </w:p>
    <w:p w14:paraId="68CFD19F" w14:textId="77777777" w:rsidR="00474C5A" w:rsidRDefault="00474C5A" w:rsidP="00166178">
      <w:pPr>
        <w:spacing w:before="120" w:after="120" w:line="360" w:lineRule="auto"/>
        <w:outlineLvl w:val="1"/>
        <w:rPr>
          <w:rFonts w:ascii="Arial" w:eastAsia="Times New Roman" w:hAnsi="Arial" w:cs="Arial"/>
          <w:b/>
          <w:bCs/>
          <w:kern w:val="0"/>
          <w:sz w:val="22"/>
          <w:szCs w:val="22"/>
          <w14:ligatures w14:val="none"/>
        </w:rPr>
      </w:pPr>
    </w:p>
    <w:p w14:paraId="1431CE5D" w14:textId="77777777" w:rsidR="00474C5A" w:rsidRDefault="00474C5A" w:rsidP="00166178">
      <w:pPr>
        <w:spacing w:before="120" w:after="120" w:line="360" w:lineRule="auto"/>
        <w:outlineLvl w:val="1"/>
        <w:rPr>
          <w:rFonts w:ascii="Arial" w:eastAsia="Times New Roman" w:hAnsi="Arial" w:cs="Arial"/>
          <w:b/>
          <w:bCs/>
          <w:kern w:val="0"/>
          <w:sz w:val="22"/>
          <w:szCs w:val="22"/>
          <w14:ligatures w14:val="none"/>
        </w:rPr>
      </w:pPr>
    </w:p>
    <w:p w14:paraId="3E4B814A" w14:textId="77777777" w:rsidR="00474C5A" w:rsidRDefault="00474C5A" w:rsidP="00166178">
      <w:pPr>
        <w:spacing w:before="120" w:after="120" w:line="360" w:lineRule="auto"/>
        <w:outlineLvl w:val="1"/>
        <w:rPr>
          <w:rFonts w:ascii="Arial" w:eastAsia="Times New Roman" w:hAnsi="Arial" w:cs="Arial"/>
          <w:b/>
          <w:bCs/>
          <w:kern w:val="0"/>
          <w:sz w:val="22"/>
          <w:szCs w:val="22"/>
          <w14:ligatures w14:val="none"/>
        </w:rPr>
      </w:pPr>
    </w:p>
    <w:p w14:paraId="5AF76137" w14:textId="77777777" w:rsidR="00474C5A" w:rsidRDefault="00474C5A" w:rsidP="00474C5A">
      <w:pPr>
        <w:rPr>
          <w:rFonts w:ascii="Arial" w:eastAsia="DengXian" w:hAnsi="Arial"/>
          <w:b/>
          <w:bCs/>
          <w:color w:val="000000"/>
          <w:kern w:val="24"/>
          <w:sz w:val="52"/>
          <w:szCs w:val="52"/>
        </w:rPr>
      </w:pPr>
      <w:r w:rsidRPr="00DF5CB4">
        <w:rPr>
          <w:rFonts w:ascii="Arial" w:eastAsia="DengXian" w:hAnsi="Arial"/>
          <w:b/>
          <w:bCs/>
          <w:color w:val="000000"/>
          <w:kern w:val="24"/>
          <w:sz w:val="52"/>
          <w:szCs w:val="52"/>
        </w:rPr>
        <w:t>Student Name: Katy Stait</w:t>
      </w:r>
      <w:r w:rsidRPr="00DF5CB4">
        <w:rPr>
          <w:rFonts w:ascii="Calibri" w:eastAsia="DengXian" w:hAnsi="Calibri"/>
          <w:color w:val="000000"/>
          <w:kern w:val="24"/>
          <w:sz w:val="52"/>
          <w:szCs w:val="52"/>
        </w:rPr>
        <w:br/>
      </w:r>
      <w:r w:rsidRPr="00DF5CB4">
        <w:rPr>
          <w:rFonts w:ascii="Arial" w:eastAsia="DengXian" w:hAnsi="Arial"/>
          <w:b/>
          <w:bCs/>
          <w:color w:val="000000"/>
          <w:kern w:val="24"/>
          <w:sz w:val="52"/>
          <w:szCs w:val="52"/>
        </w:rPr>
        <w:t>Student ID: 2221926</w:t>
      </w:r>
      <w:r w:rsidRPr="00DF5CB4">
        <w:rPr>
          <w:rFonts w:ascii="Calibri" w:eastAsia="DengXian" w:hAnsi="Calibri"/>
          <w:color w:val="000000"/>
          <w:kern w:val="24"/>
          <w:sz w:val="52"/>
          <w:szCs w:val="52"/>
        </w:rPr>
        <w:br/>
      </w:r>
      <w:r w:rsidRPr="00DF5CB4">
        <w:rPr>
          <w:rFonts w:ascii="Arial" w:eastAsia="DengXian" w:hAnsi="Arial"/>
          <w:b/>
          <w:bCs/>
          <w:color w:val="000000"/>
          <w:kern w:val="24"/>
          <w:sz w:val="52"/>
          <w:szCs w:val="52"/>
        </w:rPr>
        <w:t xml:space="preserve">Module code: LCLM </w:t>
      </w:r>
      <w:r>
        <w:rPr>
          <w:rFonts w:ascii="Arial" w:eastAsia="DengXian" w:hAnsi="Arial"/>
          <w:b/>
          <w:bCs/>
          <w:color w:val="000000"/>
          <w:kern w:val="24"/>
          <w:sz w:val="52"/>
          <w:szCs w:val="52"/>
        </w:rPr>
        <w:t>6</w:t>
      </w:r>
      <w:r w:rsidRPr="00DF5CB4">
        <w:rPr>
          <w:rFonts w:ascii="Arial" w:eastAsia="DengXian" w:hAnsi="Arial"/>
          <w:b/>
          <w:bCs/>
          <w:color w:val="000000"/>
          <w:kern w:val="24"/>
          <w:sz w:val="52"/>
          <w:szCs w:val="52"/>
        </w:rPr>
        <w:t>00</w:t>
      </w:r>
      <w:r>
        <w:rPr>
          <w:rFonts w:ascii="Arial" w:eastAsia="DengXian" w:hAnsi="Arial"/>
          <w:b/>
          <w:bCs/>
          <w:color w:val="000000"/>
          <w:kern w:val="24"/>
          <w:sz w:val="52"/>
          <w:szCs w:val="52"/>
        </w:rPr>
        <w:t>3</w:t>
      </w:r>
      <w:r w:rsidRPr="00DF5CB4">
        <w:rPr>
          <w:rFonts w:ascii="Calibri" w:eastAsia="DengXian" w:hAnsi="Calibri"/>
          <w:color w:val="000000"/>
          <w:kern w:val="24"/>
          <w:sz w:val="52"/>
          <w:szCs w:val="52"/>
        </w:rPr>
        <w:br/>
      </w:r>
      <w:r w:rsidRPr="00DF5CB4">
        <w:rPr>
          <w:rFonts w:ascii="Arial" w:eastAsia="DengXian" w:hAnsi="Arial"/>
          <w:b/>
          <w:bCs/>
          <w:color w:val="000000"/>
          <w:kern w:val="24"/>
          <w:sz w:val="52"/>
          <w:szCs w:val="52"/>
        </w:rPr>
        <w:t xml:space="preserve">Assignment section: </w:t>
      </w:r>
      <w:r>
        <w:rPr>
          <w:rFonts w:ascii="Arial" w:eastAsia="DengXian" w:hAnsi="Arial"/>
          <w:b/>
          <w:bCs/>
          <w:color w:val="000000"/>
          <w:kern w:val="24"/>
          <w:sz w:val="52"/>
          <w:szCs w:val="52"/>
        </w:rPr>
        <w:t>Leading and Implementing ChangE</w:t>
      </w:r>
    </w:p>
    <w:p w14:paraId="619A461A" w14:textId="6B67929F" w:rsidR="00474C5A" w:rsidRPr="00474C5A" w:rsidRDefault="00474C5A" w:rsidP="00474C5A">
      <w:pPr>
        <w:rPr>
          <w:rFonts w:ascii="Arial" w:eastAsia="DengXian" w:hAnsi="Arial"/>
          <w:b/>
          <w:bCs/>
          <w:color w:val="000000"/>
          <w:kern w:val="24"/>
          <w:sz w:val="52"/>
          <w:szCs w:val="52"/>
        </w:rPr>
      </w:pPr>
      <w:r>
        <w:rPr>
          <w:rFonts w:ascii="Arial" w:eastAsia="DengXian" w:hAnsi="Arial"/>
          <w:b/>
          <w:bCs/>
          <w:color w:val="000000"/>
          <w:kern w:val="24"/>
          <w:sz w:val="52"/>
          <w:szCs w:val="52"/>
        </w:rPr>
        <w:t xml:space="preserve">Lecturer: </w:t>
      </w:r>
      <w:r w:rsidRPr="00474C5A">
        <w:rPr>
          <w:rFonts w:ascii="Arial" w:hAnsi="Arial" w:cs="Arial"/>
          <w:b/>
          <w:bCs/>
          <w:color w:val="242130"/>
          <w:sz w:val="52"/>
          <w:szCs w:val="52"/>
          <w:shd w:val="clear" w:color="auto" w:fill="FFFFFF"/>
        </w:rPr>
        <w:t>Taonga Kaonga Sobere-Snither</w:t>
      </w:r>
      <w:r>
        <w:rPr>
          <w:rFonts w:ascii="Arial" w:hAnsi="Arial" w:cs="Arial"/>
          <w:b/>
          <w:bCs/>
          <w:color w:val="242130"/>
          <w:sz w:val="52"/>
          <w:szCs w:val="52"/>
          <w:shd w:val="clear" w:color="auto" w:fill="FFFFFF"/>
        </w:rPr>
        <w:t>S</w:t>
      </w:r>
    </w:p>
    <w:p w14:paraId="32698C3F" w14:textId="77777777" w:rsidR="00474C5A" w:rsidRDefault="00474C5A" w:rsidP="00166178">
      <w:pPr>
        <w:spacing w:before="120" w:after="120" w:line="360" w:lineRule="auto"/>
        <w:outlineLvl w:val="1"/>
        <w:rPr>
          <w:rFonts w:ascii="Arial" w:eastAsia="Times New Roman" w:hAnsi="Arial" w:cs="Arial"/>
          <w:b/>
          <w:bCs/>
          <w:kern w:val="0"/>
          <w:sz w:val="22"/>
          <w:szCs w:val="22"/>
          <w14:ligatures w14:val="none"/>
        </w:rPr>
      </w:pPr>
    </w:p>
    <w:p w14:paraId="3672BF80" w14:textId="77777777" w:rsidR="00474C5A" w:rsidRDefault="00474C5A" w:rsidP="00166178">
      <w:pPr>
        <w:spacing w:before="120" w:after="120" w:line="360" w:lineRule="auto"/>
        <w:outlineLvl w:val="1"/>
        <w:rPr>
          <w:rFonts w:ascii="Arial" w:eastAsia="Times New Roman" w:hAnsi="Arial" w:cs="Arial"/>
          <w:b/>
          <w:bCs/>
          <w:kern w:val="0"/>
          <w:sz w:val="22"/>
          <w:szCs w:val="22"/>
          <w14:ligatures w14:val="none"/>
        </w:rPr>
      </w:pPr>
    </w:p>
    <w:p w14:paraId="3032ACD4" w14:textId="77777777" w:rsidR="00474C5A" w:rsidRDefault="00474C5A" w:rsidP="00166178">
      <w:pPr>
        <w:spacing w:before="120" w:after="120" w:line="360" w:lineRule="auto"/>
        <w:outlineLvl w:val="1"/>
        <w:rPr>
          <w:rFonts w:ascii="Arial" w:eastAsia="Times New Roman" w:hAnsi="Arial" w:cs="Arial"/>
          <w:b/>
          <w:bCs/>
          <w:kern w:val="0"/>
          <w:sz w:val="22"/>
          <w:szCs w:val="22"/>
          <w14:ligatures w14:val="none"/>
        </w:rPr>
      </w:pPr>
    </w:p>
    <w:p w14:paraId="5B342816" w14:textId="77777777" w:rsidR="00474C5A" w:rsidRDefault="00474C5A" w:rsidP="00166178">
      <w:pPr>
        <w:spacing w:before="120" w:after="120" w:line="360" w:lineRule="auto"/>
        <w:outlineLvl w:val="1"/>
        <w:rPr>
          <w:rFonts w:ascii="Arial" w:eastAsia="Times New Roman" w:hAnsi="Arial" w:cs="Arial"/>
          <w:b/>
          <w:bCs/>
          <w:kern w:val="0"/>
          <w:sz w:val="22"/>
          <w:szCs w:val="22"/>
          <w14:ligatures w14:val="none"/>
        </w:rPr>
      </w:pPr>
    </w:p>
    <w:p w14:paraId="4D7BF999" w14:textId="77777777" w:rsidR="00474C5A" w:rsidRDefault="00474C5A" w:rsidP="00166178">
      <w:pPr>
        <w:spacing w:before="120" w:after="120" w:line="360" w:lineRule="auto"/>
        <w:outlineLvl w:val="1"/>
        <w:rPr>
          <w:rFonts w:ascii="Arial" w:eastAsia="Times New Roman" w:hAnsi="Arial" w:cs="Arial"/>
          <w:b/>
          <w:bCs/>
          <w:kern w:val="0"/>
          <w:sz w:val="22"/>
          <w:szCs w:val="22"/>
          <w14:ligatures w14:val="none"/>
        </w:rPr>
      </w:pPr>
    </w:p>
    <w:p w14:paraId="6CE2B51C" w14:textId="77777777" w:rsidR="00474C5A" w:rsidRDefault="00474C5A" w:rsidP="00166178">
      <w:pPr>
        <w:spacing w:before="120" w:after="120" w:line="360" w:lineRule="auto"/>
        <w:outlineLvl w:val="1"/>
        <w:rPr>
          <w:rFonts w:ascii="Arial" w:eastAsia="Times New Roman" w:hAnsi="Arial" w:cs="Arial"/>
          <w:b/>
          <w:bCs/>
          <w:kern w:val="0"/>
          <w:sz w:val="22"/>
          <w:szCs w:val="22"/>
          <w14:ligatures w14:val="none"/>
        </w:rPr>
      </w:pPr>
    </w:p>
    <w:p w14:paraId="61EF6F17" w14:textId="77777777" w:rsidR="00474C5A" w:rsidRDefault="00474C5A" w:rsidP="00166178">
      <w:pPr>
        <w:spacing w:before="120" w:after="120" w:line="360" w:lineRule="auto"/>
        <w:outlineLvl w:val="1"/>
        <w:rPr>
          <w:rFonts w:ascii="Arial" w:eastAsia="Times New Roman" w:hAnsi="Arial" w:cs="Arial"/>
          <w:b/>
          <w:bCs/>
          <w:kern w:val="0"/>
          <w:sz w:val="22"/>
          <w:szCs w:val="22"/>
          <w14:ligatures w14:val="none"/>
        </w:rPr>
      </w:pPr>
    </w:p>
    <w:p w14:paraId="5B88B5AA" w14:textId="77777777" w:rsidR="00474C5A" w:rsidRDefault="00474C5A" w:rsidP="00166178">
      <w:pPr>
        <w:spacing w:before="120" w:after="120" w:line="360" w:lineRule="auto"/>
        <w:outlineLvl w:val="1"/>
        <w:rPr>
          <w:rFonts w:ascii="Arial" w:eastAsia="Times New Roman" w:hAnsi="Arial" w:cs="Arial"/>
          <w:b/>
          <w:bCs/>
          <w:kern w:val="0"/>
          <w:sz w:val="22"/>
          <w:szCs w:val="22"/>
          <w14:ligatures w14:val="none"/>
        </w:rPr>
      </w:pPr>
    </w:p>
    <w:p w14:paraId="005E977D" w14:textId="77777777" w:rsidR="00474C5A" w:rsidRDefault="00474C5A" w:rsidP="00166178">
      <w:pPr>
        <w:spacing w:before="120" w:after="120" w:line="360" w:lineRule="auto"/>
        <w:outlineLvl w:val="1"/>
        <w:rPr>
          <w:rFonts w:ascii="Arial" w:eastAsia="Times New Roman" w:hAnsi="Arial" w:cs="Arial"/>
          <w:b/>
          <w:bCs/>
          <w:kern w:val="0"/>
          <w:sz w:val="22"/>
          <w:szCs w:val="22"/>
          <w14:ligatures w14:val="none"/>
        </w:rPr>
      </w:pPr>
    </w:p>
    <w:p w14:paraId="2BC41B35" w14:textId="77777777" w:rsidR="00474C5A" w:rsidRDefault="00474C5A" w:rsidP="00166178">
      <w:pPr>
        <w:spacing w:before="120" w:after="120" w:line="360" w:lineRule="auto"/>
        <w:outlineLvl w:val="1"/>
        <w:rPr>
          <w:rFonts w:ascii="Arial" w:eastAsia="Times New Roman" w:hAnsi="Arial" w:cs="Arial"/>
          <w:b/>
          <w:bCs/>
          <w:kern w:val="0"/>
          <w:sz w:val="22"/>
          <w:szCs w:val="22"/>
          <w14:ligatures w14:val="none"/>
        </w:rPr>
      </w:pPr>
    </w:p>
    <w:p w14:paraId="50E4E52F" w14:textId="77777777" w:rsidR="00474C5A" w:rsidRDefault="00474C5A" w:rsidP="00166178">
      <w:pPr>
        <w:spacing w:before="120" w:after="120" w:line="360" w:lineRule="auto"/>
        <w:outlineLvl w:val="1"/>
        <w:rPr>
          <w:rFonts w:ascii="Arial" w:eastAsia="Times New Roman" w:hAnsi="Arial" w:cs="Arial"/>
          <w:b/>
          <w:bCs/>
          <w:kern w:val="0"/>
          <w:sz w:val="22"/>
          <w:szCs w:val="22"/>
          <w14:ligatures w14:val="none"/>
        </w:rPr>
      </w:pPr>
    </w:p>
    <w:p w14:paraId="31E6E562" w14:textId="77777777" w:rsidR="00474C5A" w:rsidRDefault="00166178" w:rsidP="00474C5A">
      <w:pPr>
        <w:spacing w:before="120" w:after="120" w:line="360" w:lineRule="auto"/>
        <w:outlineLvl w:val="1"/>
        <w:rPr>
          <w:rFonts w:ascii="Arial" w:eastAsia="Times New Roman" w:hAnsi="Arial" w:cs="Arial"/>
          <w:b/>
          <w:bCs/>
          <w:kern w:val="0"/>
          <w:sz w:val="22"/>
          <w:szCs w:val="22"/>
          <w14:ligatures w14:val="none"/>
        </w:rPr>
      </w:pPr>
      <w:r>
        <w:rPr>
          <w:rFonts w:ascii="Arial" w:eastAsia="Times New Roman" w:hAnsi="Arial" w:cs="Arial"/>
          <w:b/>
          <w:bCs/>
          <w:kern w:val="0"/>
          <w:sz w:val="22"/>
          <w:szCs w:val="22"/>
          <w14:ligatures w14:val="none"/>
        </w:rPr>
        <w:lastRenderedPageBreak/>
        <w:t>Table of content</w:t>
      </w:r>
    </w:p>
    <w:p w14:paraId="4A789A43" w14:textId="1B25124F" w:rsidR="00B5353B" w:rsidRPr="00474C5A" w:rsidRDefault="00B5353B" w:rsidP="00474C5A">
      <w:pPr>
        <w:spacing w:before="120" w:after="120" w:line="360" w:lineRule="auto"/>
        <w:outlineLvl w:val="1"/>
        <w:rPr>
          <w:rFonts w:ascii="Arial" w:eastAsia="Times New Roman" w:hAnsi="Arial" w:cs="Arial"/>
          <w:b/>
          <w:bCs/>
          <w:kern w:val="0"/>
          <w:sz w:val="22"/>
          <w:szCs w:val="22"/>
          <w14:ligatures w14:val="none"/>
        </w:rPr>
      </w:pPr>
      <w:r w:rsidRPr="00474C5A">
        <w:rPr>
          <w:rFonts w:ascii="Arial" w:eastAsia="Times New Roman" w:hAnsi="Arial" w:cs="Arial"/>
          <w:b/>
          <w:bCs/>
          <w:kern w:val="0"/>
          <w:sz w:val="22"/>
          <w:szCs w:val="22"/>
          <w14:ligatures w14:val="none"/>
        </w:rPr>
        <w:t>Executive Summary</w:t>
      </w:r>
      <w:r w:rsidRPr="00474C5A">
        <w:rPr>
          <w:rFonts w:ascii="Arial" w:eastAsia="Times New Roman" w:hAnsi="Arial" w:cs="Arial"/>
          <w:kern w:val="0"/>
          <w:sz w:val="22"/>
          <w:szCs w:val="22"/>
          <w14:ligatures w14:val="none"/>
        </w:rPr>
        <w:t xml:space="preserve"> .................................................................................... </w:t>
      </w:r>
      <w:r w:rsidR="00474C5A">
        <w:rPr>
          <w:rFonts w:ascii="Arial" w:eastAsia="Times New Roman" w:hAnsi="Arial" w:cs="Arial"/>
          <w:kern w:val="0"/>
          <w:sz w:val="22"/>
          <w:szCs w:val="22"/>
          <w14:ligatures w14:val="none"/>
        </w:rPr>
        <w:t>3</w:t>
      </w:r>
    </w:p>
    <w:p w14:paraId="0FC2D1FC" w14:textId="33E1B3E4" w:rsidR="00B5353B" w:rsidRPr="00A1082E" w:rsidRDefault="00B5353B" w:rsidP="00E77111">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Introduction to Jaguar Land Rover (JLR)</w:t>
      </w:r>
      <w:r w:rsidRPr="00A1082E">
        <w:rPr>
          <w:rFonts w:ascii="Arial" w:eastAsia="Times New Roman" w:hAnsi="Arial" w:cs="Arial"/>
          <w:kern w:val="0"/>
          <w:sz w:val="22"/>
          <w:szCs w:val="22"/>
          <w14:ligatures w14:val="none"/>
        </w:rPr>
        <w:t xml:space="preserve"> ............................................... </w:t>
      </w:r>
      <w:r w:rsidR="00474C5A">
        <w:rPr>
          <w:rFonts w:ascii="Arial" w:eastAsia="Times New Roman" w:hAnsi="Arial" w:cs="Arial"/>
          <w:kern w:val="0"/>
          <w:sz w:val="22"/>
          <w:szCs w:val="22"/>
          <w14:ligatures w14:val="none"/>
        </w:rPr>
        <w:t>3</w:t>
      </w:r>
    </w:p>
    <w:p w14:paraId="3FFE7BA0" w14:textId="22EB173A" w:rsidR="00B5353B" w:rsidRPr="00A1082E" w:rsidRDefault="00B5353B" w:rsidP="00E77111">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Analysis of Recent History and Environmental Change</w:t>
      </w:r>
      <w:r w:rsidRPr="00A1082E">
        <w:rPr>
          <w:rFonts w:ascii="Arial" w:eastAsia="Times New Roman" w:hAnsi="Arial" w:cs="Arial"/>
          <w:kern w:val="0"/>
          <w:sz w:val="22"/>
          <w:szCs w:val="22"/>
          <w14:ligatures w14:val="none"/>
        </w:rPr>
        <w:t xml:space="preserve"> .....................</w:t>
      </w:r>
      <w:r w:rsidR="00474C5A">
        <w:rPr>
          <w:rFonts w:ascii="Arial" w:eastAsia="Times New Roman" w:hAnsi="Arial" w:cs="Arial"/>
          <w:kern w:val="0"/>
          <w:sz w:val="22"/>
          <w:szCs w:val="22"/>
          <w14:ligatures w14:val="none"/>
        </w:rPr>
        <w:t xml:space="preserve">3 </w:t>
      </w:r>
      <w:r w:rsidR="00E77111">
        <w:rPr>
          <w:rFonts w:ascii="Arial" w:eastAsia="Times New Roman" w:hAnsi="Arial" w:cs="Arial"/>
          <w:kern w:val="0"/>
          <w:sz w:val="22"/>
          <w:szCs w:val="22"/>
          <w14:ligatures w14:val="none"/>
        </w:rPr>
        <w:t>–</w:t>
      </w:r>
      <w:r w:rsidR="00474C5A">
        <w:rPr>
          <w:rFonts w:ascii="Arial" w:eastAsia="Times New Roman" w:hAnsi="Arial" w:cs="Arial"/>
          <w:kern w:val="0"/>
          <w:sz w:val="22"/>
          <w:szCs w:val="22"/>
          <w14:ligatures w14:val="none"/>
        </w:rPr>
        <w:t xml:space="preserve"> </w:t>
      </w:r>
      <w:r w:rsidR="00E77111">
        <w:rPr>
          <w:rFonts w:ascii="Arial" w:eastAsia="Times New Roman" w:hAnsi="Arial" w:cs="Arial"/>
          <w:kern w:val="0"/>
          <w:sz w:val="22"/>
          <w:szCs w:val="22"/>
          <w14:ligatures w14:val="none"/>
        </w:rPr>
        <w:t xml:space="preserve">7 </w:t>
      </w:r>
      <w:r w:rsidRPr="00A1082E">
        <w:rPr>
          <w:rFonts w:ascii="Arial" w:eastAsia="Times New Roman" w:hAnsi="Arial" w:cs="Arial"/>
          <w:kern w:val="0"/>
          <w:sz w:val="22"/>
          <w:szCs w:val="22"/>
          <w14:ligatures w14:val="none"/>
        </w:rPr>
        <w:br/>
      </w:r>
      <w:r w:rsidRPr="00A1082E">
        <w:rPr>
          <w:rFonts w:ascii="Arial" w:eastAsia="Times New Roman" w:hAnsi="Arial" w:cs="Arial"/>
          <w:kern w:val="0"/>
          <w:sz w:val="22"/>
          <w:szCs w:val="22"/>
          <w14:ligatures w14:val="none"/>
        </w:rPr>
        <w:t> </w:t>
      </w:r>
      <w:r w:rsidRPr="00A1082E">
        <w:rPr>
          <w:rFonts w:ascii="Arial" w:eastAsia="Times New Roman" w:hAnsi="Arial" w:cs="Arial"/>
          <w:kern w:val="0"/>
          <w:sz w:val="22"/>
          <w:szCs w:val="22"/>
          <w14:ligatures w14:val="none"/>
        </w:rPr>
        <w:t xml:space="preserve"> Internal Environment</w:t>
      </w:r>
      <w:r w:rsidRPr="00A1082E">
        <w:rPr>
          <w:rFonts w:ascii="Arial" w:eastAsia="Times New Roman" w:hAnsi="Arial" w:cs="Arial"/>
          <w:kern w:val="0"/>
          <w:sz w:val="22"/>
          <w:szCs w:val="22"/>
          <w14:ligatures w14:val="none"/>
        </w:rPr>
        <w:br/>
      </w:r>
      <w:r w:rsidRPr="00A1082E">
        <w:rPr>
          <w:rFonts w:ascii="Arial" w:eastAsia="Times New Roman" w:hAnsi="Arial" w:cs="Arial"/>
          <w:kern w:val="0"/>
          <w:sz w:val="22"/>
          <w:szCs w:val="22"/>
          <w14:ligatures w14:val="none"/>
        </w:rPr>
        <w:t> </w:t>
      </w:r>
      <w:r w:rsidRPr="00A1082E">
        <w:rPr>
          <w:rFonts w:ascii="Arial" w:eastAsia="Times New Roman" w:hAnsi="Arial" w:cs="Arial"/>
          <w:kern w:val="0"/>
          <w:sz w:val="22"/>
          <w:szCs w:val="22"/>
          <w14:ligatures w14:val="none"/>
        </w:rPr>
        <w:t xml:space="preserve"> External Environment</w:t>
      </w:r>
      <w:r w:rsidRPr="00A1082E">
        <w:rPr>
          <w:rFonts w:ascii="Arial" w:eastAsia="Times New Roman" w:hAnsi="Arial" w:cs="Arial"/>
          <w:kern w:val="0"/>
          <w:sz w:val="22"/>
          <w:szCs w:val="22"/>
          <w14:ligatures w14:val="none"/>
        </w:rPr>
        <w:br/>
      </w:r>
      <w:r w:rsidRPr="00A1082E">
        <w:rPr>
          <w:rFonts w:ascii="Arial" w:eastAsia="Times New Roman" w:hAnsi="Arial" w:cs="Arial"/>
          <w:kern w:val="0"/>
          <w:sz w:val="22"/>
          <w:szCs w:val="22"/>
          <w14:ligatures w14:val="none"/>
        </w:rPr>
        <w:t> </w:t>
      </w:r>
      <w:r w:rsidRPr="00A1082E">
        <w:rPr>
          <w:rFonts w:ascii="Arial" w:eastAsia="Times New Roman" w:hAnsi="Arial" w:cs="Arial"/>
          <w:kern w:val="0"/>
          <w:sz w:val="22"/>
          <w:szCs w:val="22"/>
          <w14:ligatures w14:val="none"/>
        </w:rPr>
        <w:t>PESTLE Analysis</w:t>
      </w:r>
      <w:r w:rsidRPr="00A1082E">
        <w:rPr>
          <w:rFonts w:ascii="Arial" w:eastAsia="Times New Roman" w:hAnsi="Arial" w:cs="Arial"/>
          <w:kern w:val="0"/>
          <w:sz w:val="22"/>
          <w:szCs w:val="22"/>
          <w14:ligatures w14:val="none"/>
        </w:rPr>
        <w:br/>
      </w:r>
      <w:r w:rsidRPr="00A1082E">
        <w:rPr>
          <w:rFonts w:ascii="Arial" w:eastAsia="Times New Roman" w:hAnsi="Arial" w:cs="Arial"/>
          <w:kern w:val="0"/>
          <w:sz w:val="22"/>
          <w:szCs w:val="22"/>
          <w14:ligatures w14:val="none"/>
        </w:rPr>
        <w:t> </w:t>
      </w:r>
      <w:r w:rsidRPr="00A1082E">
        <w:rPr>
          <w:rFonts w:ascii="Arial" w:eastAsia="Times New Roman" w:hAnsi="Arial" w:cs="Arial"/>
          <w:kern w:val="0"/>
          <w:sz w:val="22"/>
          <w:szCs w:val="22"/>
          <w14:ligatures w14:val="none"/>
        </w:rPr>
        <w:t>Porter’s Five Forces</w:t>
      </w:r>
      <w:r w:rsidRPr="00A1082E">
        <w:rPr>
          <w:rFonts w:ascii="Arial" w:eastAsia="Times New Roman" w:hAnsi="Arial" w:cs="Arial"/>
          <w:kern w:val="0"/>
          <w:sz w:val="22"/>
          <w:szCs w:val="22"/>
          <w14:ligatures w14:val="none"/>
        </w:rPr>
        <w:br/>
      </w:r>
      <w:r w:rsidRPr="00A1082E">
        <w:rPr>
          <w:rFonts w:ascii="Arial" w:eastAsia="Times New Roman" w:hAnsi="Arial" w:cs="Arial"/>
          <w:kern w:val="0"/>
          <w:sz w:val="22"/>
          <w:szCs w:val="22"/>
          <w14:ligatures w14:val="none"/>
        </w:rPr>
        <w:t> </w:t>
      </w:r>
      <w:r w:rsidRPr="00A1082E">
        <w:rPr>
          <w:rFonts w:ascii="Arial" w:eastAsia="Times New Roman" w:hAnsi="Arial" w:cs="Arial"/>
          <w:kern w:val="0"/>
          <w:sz w:val="22"/>
          <w:szCs w:val="22"/>
          <w14:ligatures w14:val="none"/>
        </w:rPr>
        <w:t xml:space="preserve"> Impact of Digital Disruption, Digitalisation, and AI</w:t>
      </w:r>
    </w:p>
    <w:p w14:paraId="1A0485EE" w14:textId="5F6C914E" w:rsidR="00E77111" w:rsidRDefault="00B5353B" w:rsidP="00E77111">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Critical Evaluation of Change Management Models</w:t>
      </w:r>
      <w:r w:rsidRPr="00A1082E">
        <w:rPr>
          <w:rFonts w:ascii="Arial" w:eastAsia="Times New Roman" w:hAnsi="Arial" w:cs="Arial"/>
          <w:kern w:val="0"/>
          <w:sz w:val="22"/>
          <w:szCs w:val="22"/>
          <w14:ligatures w14:val="none"/>
        </w:rPr>
        <w:t xml:space="preserve"> ............................. 7</w:t>
      </w:r>
      <w:r w:rsidR="00E77111">
        <w:rPr>
          <w:rFonts w:ascii="Arial" w:eastAsia="Times New Roman" w:hAnsi="Arial" w:cs="Arial"/>
          <w:kern w:val="0"/>
          <w:sz w:val="22"/>
          <w:szCs w:val="22"/>
          <w14:ligatures w14:val="none"/>
        </w:rPr>
        <w:t xml:space="preserve"> - 8</w:t>
      </w:r>
      <w:r w:rsidRPr="00A1082E">
        <w:rPr>
          <w:rFonts w:ascii="Arial" w:eastAsia="Times New Roman" w:hAnsi="Arial" w:cs="Arial"/>
          <w:kern w:val="0"/>
          <w:sz w:val="22"/>
          <w:szCs w:val="22"/>
          <w14:ligatures w14:val="none"/>
        </w:rPr>
        <w:br/>
        <w:t>Lewin’s Three-Stage Model</w:t>
      </w:r>
    </w:p>
    <w:p w14:paraId="20D9831E" w14:textId="723846C3" w:rsidR="00B5353B" w:rsidRPr="00A1082E" w:rsidRDefault="00B5353B" w:rsidP="00E77111">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 Kotter’s 8-Step Model</w:t>
      </w:r>
      <w:r w:rsidRPr="00A1082E">
        <w:rPr>
          <w:rFonts w:ascii="Arial" w:eastAsia="Times New Roman" w:hAnsi="Arial" w:cs="Arial"/>
          <w:kern w:val="0"/>
          <w:sz w:val="22"/>
          <w:szCs w:val="22"/>
          <w14:ligatures w14:val="none"/>
        </w:rPr>
        <w:br/>
        <w:t xml:space="preserve"> ADKAR Model</w:t>
      </w:r>
      <w:r w:rsidRPr="00A1082E">
        <w:rPr>
          <w:rFonts w:ascii="Arial" w:eastAsia="Times New Roman" w:hAnsi="Arial" w:cs="Arial"/>
          <w:kern w:val="0"/>
          <w:sz w:val="22"/>
          <w:szCs w:val="22"/>
          <w14:ligatures w14:val="none"/>
        </w:rPr>
        <w:br/>
        <w:t xml:space="preserve"> Hybrid Approach</w:t>
      </w:r>
      <w:r w:rsidRPr="00A1082E">
        <w:rPr>
          <w:rFonts w:ascii="Arial" w:eastAsia="Times New Roman" w:hAnsi="Arial" w:cs="Arial"/>
          <w:kern w:val="0"/>
          <w:sz w:val="22"/>
          <w:szCs w:val="22"/>
          <w14:ligatures w14:val="none"/>
        </w:rPr>
        <w:br/>
        <w:t xml:space="preserve"> Limitations and Risks of Change Models</w:t>
      </w:r>
    </w:p>
    <w:p w14:paraId="73E0C499" w14:textId="0FB3A413" w:rsidR="00E77111" w:rsidRDefault="00B5353B" w:rsidP="00E77111">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Leadership and Organisational Culture</w:t>
      </w:r>
      <w:r w:rsidRPr="00A1082E">
        <w:rPr>
          <w:rFonts w:ascii="Arial" w:eastAsia="Times New Roman" w:hAnsi="Arial" w:cs="Arial"/>
          <w:kern w:val="0"/>
          <w:sz w:val="22"/>
          <w:szCs w:val="22"/>
          <w14:ligatures w14:val="none"/>
        </w:rPr>
        <w:t xml:space="preserve"> .................................................. </w:t>
      </w:r>
      <w:r w:rsidR="00E77111">
        <w:rPr>
          <w:rFonts w:ascii="Arial" w:eastAsia="Times New Roman" w:hAnsi="Arial" w:cs="Arial"/>
          <w:kern w:val="0"/>
          <w:sz w:val="22"/>
          <w:szCs w:val="22"/>
          <w14:ligatures w14:val="none"/>
        </w:rPr>
        <w:t>8 &amp; 9</w:t>
      </w:r>
      <w:r w:rsidRPr="00A1082E">
        <w:rPr>
          <w:rFonts w:ascii="Arial" w:eastAsia="Times New Roman" w:hAnsi="Arial" w:cs="Arial"/>
          <w:kern w:val="0"/>
          <w:sz w:val="22"/>
          <w:szCs w:val="22"/>
          <w14:ligatures w14:val="none"/>
        </w:rPr>
        <w:br/>
        <w:t>Leadership Style and Impact</w:t>
      </w:r>
    </w:p>
    <w:p w14:paraId="5387CF25" w14:textId="1EE28A4F" w:rsidR="00B5353B" w:rsidRPr="00A1082E" w:rsidRDefault="00B5353B" w:rsidP="00E77111">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 Organisational Culture and Change</w:t>
      </w:r>
    </w:p>
    <w:p w14:paraId="31C6CD84" w14:textId="380CA07F" w:rsidR="00E77111" w:rsidRDefault="00B5353B" w:rsidP="00E77111">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Strategic Change Management Plan</w:t>
      </w:r>
      <w:r w:rsidRPr="00A1082E">
        <w:rPr>
          <w:rFonts w:ascii="Arial" w:eastAsia="Times New Roman" w:hAnsi="Arial" w:cs="Arial"/>
          <w:kern w:val="0"/>
          <w:sz w:val="22"/>
          <w:szCs w:val="22"/>
          <w14:ligatures w14:val="none"/>
        </w:rPr>
        <w:t xml:space="preserve"> ...................................................... </w:t>
      </w:r>
      <w:r w:rsidR="00E77111">
        <w:rPr>
          <w:rFonts w:ascii="Arial" w:eastAsia="Times New Roman" w:hAnsi="Arial" w:cs="Arial"/>
          <w:kern w:val="0"/>
          <w:sz w:val="22"/>
          <w:szCs w:val="22"/>
          <w14:ligatures w14:val="none"/>
        </w:rPr>
        <w:t>9 - 16</w:t>
      </w:r>
      <w:r w:rsidRPr="00A1082E">
        <w:rPr>
          <w:rFonts w:ascii="Arial" w:eastAsia="Times New Roman" w:hAnsi="Arial" w:cs="Arial"/>
          <w:kern w:val="0"/>
          <w:sz w:val="22"/>
          <w:szCs w:val="22"/>
          <w14:ligatures w14:val="none"/>
        </w:rPr>
        <w:br/>
        <w:t>Objectives</w:t>
      </w:r>
      <w:r w:rsidRPr="00A1082E">
        <w:rPr>
          <w:rFonts w:ascii="Arial" w:eastAsia="Times New Roman" w:hAnsi="Arial" w:cs="Arial"/>
          <w:kern w:val="0"/>
          <w:sz w:val="22"/>
          <w:szCs w:val="22"/>
          <w14:ligatures w14:val="none"/>
        </w:rPr>
        <w:br/>
        <w:t xml:space="preserve"> Financial Plan</w:t>
      </w:r>
      <w:r w:rsidRPr="00A1082E">
        <w:rPr>
          <w:rFonts w:ascii="Arial" w:eastAsia="Times New Roman" w:hAnsi="Arial" w:cs="Arial"/>
          <w:kern w:val="0"/>
          <w:sz w:val="22"/>
          <w:szCs w:val="22"/>
          <w14:ligatures w14:val="none"/>
        </w:rPr>
        <w:br/>
        <w:t>Ensuring Financial Sustainability Amid Uncertain Returns</w:t>
      </w:r>
      <w:r w:rsidRPr="00A1082E">
        <w:rPr>
          <w:rFonts w:ascii="Arial" w:eastAsia="Times New Roman" w:hAnsi="Arial" w:cs="Arial"/>
          <w:kern w:val="0"/>
          <w:sz w:val="22"/>
          <w:szCs w:val="22"/>
          <w14:ligatures w14:val="none"/>
        </w:rPr>
        <w:br/>
        <w:t>Communication Plan</w:t>
      </w:r>
      <w:r w:rsidRPr="00A1082E">
        <w:rPr>
          <w:rFonts w:ascii="Arial" w:eastAsia="Times New Roman" w:hAnsi="Arial" w:cs="Arial"/>
          <w:kern w:val="0"/>
          <w:sz w:val="22"/>
          <w:szCs w:val="22"/>
          <w14:ligatures w14:val="none"/>
        </w:rPr>
        <w:br/>
        <w:t>Internal Communication</w:t>
      </w:r>
      <w:r w:rsidRPr="00A1082E">
        <w:rPr>
          <w:rFonts w:ascii="Arial" w:eastAsia="Times New Roman" w:hAnsi="Arial" w:cs="Arial"/>
          <w:kern w:val="0"/>
          <w:sz w:val="22"/>
          <w:szCs w:val="22"/>
          <w14:ligatures w14:val="none"/>
        </w:rPr>
        <w:br/>
        <w:t>External Stakeholder Engagement</w:t>
      </w:r>
      <w:r w:rsidRPr="00A1082E">
        <w:rPr>
          <w:rFonts w:ascii="Arial" w:eastAsia="Times New Roman" w:hAnsi="Arial" w:cs="Arial"/>
          <w:kern w:val="0"/>
          <w:sz w:val="22"/>
          <w:szCs w:val="22"/>
          <w14:ligatures w14:val="none"/>
        </w:rPr>
        <w:br/>
        <w:t>Implementation</w:t>
      </w:r>
      <w:r w:rsidRPr="00A1082E">
        <w:rPr>
          <w:rFonts w:ascii="Arial" w:eastAsia="Times New Roman" w:hAnsi="Arial" w:cs="Arial"/>
          <w:kern w:val="0"/>
          <w:sz w:val="22"/>
          <w:szCs w:val="22"/>
          <w14:ligatures w14:val="none"/>
        </w:rPr>
        <w:br/>
        <w:t>Addressing Employee Resistance and Cultural Inertia</w:t>
      </w:r>
      <w:r w:rsidRPr="00A1082E">
        <w:rPr>
          <w:rFonts w:ascii="Arial" w:eastAsia="Times New Roman" w:hAnsi="Arial" w:cs="Arial"/>
          <w:kern w:val="0"/>
          <w:sz w:val="22"/>
          <w:szCs w:val="22"/>
          <w14:ligatures w14:val="none"/>
        </w:rPr>
        <w:br/>
        <w:t>Evaluation Plan</w:t>
      </w:r>
      <w:r w:rsidRPr="00A1082E">
        <w:rPr>
          <w:rFonts w:ascii="Arial" w:eastAsia="Times New Roman" w:hAnsi="Arial" w:cs="Arial"/>
          <w:kern w:val="0"/>
          <w:sz w:val="22"/>
          <w:szCs w:val="22"/>
          <w14:ligatures w14:val="none"/>
        </w:rPr>
        <w:br/>
        <w:t>Timeline</w:t>
      </w:r>
      <w:r w:rsidRPr="00A1082E">
        <w:rPr>
          <w:rFonts w:ascii="Arial" w:eastAsia="Times New Roman" w:hAnsi="Arial" w:cs="Arial"/>
          <w:kern w:val="0"/>
          <w:sz w:val="22"/>
          <w:szCs w:val="22"/>
          <w14:ligatures w14:val="none"/>
        </w:rPr>
        <w:br/>
        <w:t>Risk Management</w:t>
      </w:r>
    </w:p>
    <w:p w14:paraId="053B4A18" w14:textId="38EC1AA4" w:rsidR="00B5353B" w:rsidRPr="00E77111" w:rsidRDefault="00B5353B" w:rsidP="00E77111">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Conclusion</w:t>
      </w:r>
      <w:r w:rsidRPr="00A1082E">
        <w:rPr>
          <w:rFonts w:ascii="Arial" w:eastAsia="Times New Roman" w:hAnsi="Arial" w:cs="Arial"/>
          <w:kern w:val="0"/>
          <w:sz w:val="22"/>
          <w:szCs w:val="22"/>
          <w14:ligatures w14:val="none"/>
        </w:rPr>
        <w:t xml:space="preserve"> ............................................................................................. </w:t>
      </w:r>
      <w:r w:rsidR="00474C5A">
        <w:rPr>
          <w:rFonts w:ascii="Arial" w:eastAsia="Times New Roman" w:hAnsi="Arial" w:cs="Arial"/>
          <w:kern w:val="0"/>
          <w:sz w:val="22"/>
          <w:szCs w:val="22"/>
          <w14:ligatures w14:val="none"/>
        </w:rPr>
        <w:t>16</w:t>
      </w:r>
      <w:r w:rsidR="00E77111">
        <w:rPr>
          <w:rFonts w:ascii="Arial" w:eastAsia="Times New Roman" w:hAnsi="Arial" w:cs="Arial"/>
          <w:kern w:val="0"/>
          <w:sz w:val="22"/>
          <w:szCs w:val="22"/>
          <w14:ligatures w14:val="none"/>
        </w:rPr>
        <w:t xml:space="preserve"> </w:t>
      </w:r>
      <w:r w:rsidRPr="00E77111">
        <w:rPr>
          <w:rFonts w:ascii="Arial" w:eastAsia="Times New Roman" w:hAnsi="Arial" w:cs="Arial"/>
          <w:b/>
          <w:bCs/>
          <w:kern w:val="0"/>
          <w:sz w:val="22"/>
          <w:szCs w:val="22"/>
          <w14:ligatures w14:val="none"/>
        </w:rPr>
        <w:t>References</w:t>
      </w:r>
      <w:r w:rsidRPr="00E77111">
        <w:rPr>
          <w:rFonts w:ascii="Arial" w:eastAsia="Times New Roman" w:hAnsi="Arial" w:cs="Arial"/>
          <w:kern w:val="0"/>
          <w:sz w:val="22"/>
          <w:szCs w:val="22"/>
          <w14:ligatures w14:val="none"/>
        </w:rPr>
        <w:t xml:space="preserve"> ..........................................................................................</w:t>
      </w:r>
      <w:r w:rsidR="00474C5A" w:rsidRPr="00E77111">
        <w:rPr>
          <w:rFonts w:ascii="Arial" w:eastAsia="Times New Roman" w:hAnsi="Arial" w:cs="Arial"/>
          <w:kern w:val="0"/>
          <w:sz w:val="22"/>
          <w:szCs w:val="22"/>
          <w14:ligatures w14:val="none"/>
        </w:rPr>
        <w:t>17 &amp; 18</w:t>
      </w:r>
    </w:p>
    <w:p w14:paraId="4AB782F3" w14:textId="77777777" w:rsidR="00B5353B" w:rsidRPr="00A1082E" w:rsidRDefault="00B5353B" w:rsidP="00A1082E">
      <w:pPr>
        <w:spacing w:after="0" w:line="360" w:lineRule="auto"/>
        <w:rPr>
          <w:rFonts w:ascii="Arial" w:eastAsia="Times New Roman" w:hAnsi="Arial" w:cs="Arial"/>
          <w:kern w:val="0"/>
          <w:sz w:val="22"/>
          <w:szCs w:val="22"/>
          <w14:ligatures w14:val="none"/>
        </w:rPr>
      </w:pPr>
    </w:p>
    <w:p w14:paraId="4E961D8F" w14:textId="47E6520E" w:rsidR="00B5353B" w:rsidRPr="00A1082E" w:rsidRDefault="00B5353B" w:rsidP="00A1082E">
      <w:pPr>
        <w:spacing w:after="0" w:line="360" w:lineRule="auto"/>
        <w:rPr>
          <w:rFonts w:ascii="Arial" w:eastAsia="Times New Roman" w:hAnsi="Arial" w:cs="Arial"/>
          <w:b/>
          <w:bCs/>
          <w:kern w:val="0"/>
          <w:sz w:val="22"/>
          <w:szCs w:val="22"/>
          <w14:ligatures w14:val="none"/>
        </w:rPr>
      </w:pPr>
      <w:r w:rsidRPr="00A1082E">
        <w:rPr>
          <w:rFonts w:ascii="Arial" w:eastAsia="Times New Roman" w:hAnsi="Arial" w:cs="Arial"/>
          <w:b/>
          <w:bCs/>
          <w:kern w:val="0"/>
          <w:sz w:val="22"/>
          <w:szCs w:val="22"/>
          <w14:ligatures w14:val="none"/>
        </w:rPr>
        <w:lastRenderedPageBreak/>
        <w:t>Executive Summary</w:t>
      </w:r>
    </w:p>
    <w:p w14:paraId="527DCDC3" w14:textId="77777777" w:rsidR="00B5353B" w:rsidRPr="00A1082E" w:rsidRDefault="00B5353B" w:rsidP="00A1082E">
      <w:pPr>
        <w:spacing w:after="0" w:line="360" w:lineRule="auto"/>
        <w:rPr>
          <w:rFonts w:ascii="Arial" w:eastAsia="Times New Roman" w:hAnsi="Arial" w:cs="Arial"/>
          <w:kern w:val="0"/>
          <w:sz w:val="22"/>
          <w:szCs w:val="22"/>
          <w14:ligatures w14:val="none"/>
        </w:rPr>
      </w:pPr>
    </w:p>
    <w:p w14:paraId="0C19C762" w14:textId="77777777"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This report looks at how Jaguar Land Rover (JLR) is responding to recent industry challenges and presents a plan for managing change. It reviews JLR’s strengths and weaknesses, the reasons behind falling revenues and market share, and how global economic changes and new technologies such as electrification, automation, and artificial intelligence are affecting the company (Jolly, 2026). The report draws on well-known change management models—Lewin’s Three-Stage Model, Kotter’s 8-Step Process, and the ADKAR Model—to evaluate JLR’s transformation. The plan highlights digital innovation, sustainability, and employee involvement, and includes clear goals, a financial strategy, communication methods, and ways to measure progress. The findings show that strong leadership, a positive culture, and adaptability are key for JLR to remain competitive as the industry changes rapidly.</w:t>
      </w:r>
    </w:p>
    <w:p w14:paraId="04CBF33A" w14:textId="77777777" w:rsidR="00B5353B" w:rsidRPr="00A1082E" w:rsidRDefault="00B5353B" w:rsidP="00A1082E">
      <w:pPr>
        <w:spacing w:after="0" w:line="360" w:lineRule="auto"/>
        <w:rPr>
          <w:rFonts w:ascii="Arial" w:eastAsia="Times New Roman" w:hAnsi="Arial" w:cs="Arial"/>
          <w:kern w:val="0"/>
          <w:sz w:val="22"/>
          <w:szCs w:val="22"/>
          <w14:ligatures w14:val="none"/>
        </w:rPr>
      </w:pPr>
    </w:p>
    <w:p w14:paraId="423BA5A3" w14:textId="5402A6F5" w:rsidR="00B5353B" w:rsidRPr="00A1082E" w:rsidRDefault="00B5353B" w:rsidP="00A1082E">
      <w:pPr>
        <w:spacing w:after="0" w:line="360" w:lineRule="auto"/>
        <w:rPr>
          <w:rFonts w:ascii="Arial" w:eastAsia="Times New Roman" w:hAnsi="Arial" w:cs="Arial"/>
          <w:b/>
          <w:bCs/>
          <w:kern w:val="0"/>
          <w:sz w:val="22"/>
          <w:szCs w:val="22"/>
          <w14:ligatures w14:val="none"/>
        </w:rPr>
      </w:pPr>
      <w:r w:rsidRPr="00A1082E">
        <w:rPr>
          <w:rFonts w:ascii="Arial" w:eastAsia="Times New Roman" w:hAnsi="Arial" w:cs="Arial"/>
          <w:b/>
          <w:bCs/>
          <w:kern w:val="0"/>
          <w:sz w:val="22"/>
          <w:szCs w:val="22"/>
          <w14:ligatures w14:val="none"/>
        </w:rPr>
        <w:t>Introduction to Jaguar Land Rover</w:t>
      </w:r>
    </w:p>
    <w:p w14:paraId="43647EBA" w14:textId="77777777" w:rsidR="00B5353B" w:rsidRPr="00A1082E" w:rsidRDefault="00B5353B" w:rsidP="00A1082E">
      <w:pPr>
        <w:spacing w:after="0" w:line="360" w:lineRule="auto"/>
        <w:rPr>
          <w:rFonts w:ascii="Arial" w:eastAsia="Times New Roman" w:hAnsi="Arial" w:cs="Arial"/>
          <w:kern w:val="0"/>
          <w:sz w:val="22"/>
          <w:szCs w:val="22"/>
          <w14:ligatures w14:val="none"/>
        </w:rPr>
      </w:pPr>
    </w:p>
    <w:p w14:paraId="054E3F7A" w14:textId="2CE004B6"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Jaguar Land Rover (JLR), based in Whitley, Coventry, is the UK’s largest car manufacturer and is recognised worldwide for its luxury Jaguar and Land Rover vehicles (JLR, 2023a). Since joining Tata Motors in 2008, Tata Motors has completed the acquisition of Jaguar Land. Rover, 2008), JLR has expanded globally with Tata’s support. The company employs over 30,000 people and operates factories in the UK, Slovakia, China, and Brazil (Tata Motors, 2022). Popular models like the Range Rover, Defender, and the all-electric Jaguar I-PACE highlight JLR’s commitment to design, engineering, and new technology.</w:t>
      </w:r>
    </w:p>
    <w:p w14:paraId="35923F38" w14:textId="77777777"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JLR’s vision is “Current Luxury by Design,” aiming to provide eco-friendly and integrated mobility solutions (JLR, 2023b). The company plans to achieve net zero emissions across its supply chain, products, and operations by 2039, and wants the Jaguar brand to be fully electric by 2025 (JLR, 2021a). Despite its strong history and brand, JLR faces major challenges such as shifting customer preferences, new regulations, and increased competition from both established car makers and new companies focused on electric vehicles and digital services (McKinsey, 2022).</w:t>
      </w:r>
    </w:p>
    <w:p w14:paraId="20507107" w14:textId="77777777" w:rsidR="00B5353B" w:rsidRPr="00A1082E" w:rsidRDefault="00B5353B" w:rsidP="00A1082E">
      <w:pPr>
        <w:spacing w:after="0" w:line="360" w:lineRule="auto"/>
        <w:rPr>
          <w:rFonts w:ascii="Arial" w:eastAsia="Times New Roman" w:hAnsi="Arial" w:cs="Arial"/>
          <w:kern w:val="0"/>
          <w:sz w:val="22"/>
          <w:szCs w:val="22"/>
          <w14:ligatures w14:val="none"/>
        </w:rPr>
      </w:pPr>
    </w:p>
    <w:p w14:paraId="5F6B0252" w14:textId="569DC7F4" w:rsidR="00E77111" w:rsidRDefault="00B5353B" w:rsidP="00E77111">
      <w:pPr>
        <w:spacing w:after="0" w:line="360" w:lineRule="auto"/>
        <w:rPr>
          <w:rFonts w:ascii="Arial" w:eastAsia="Times New Roman" w:hAnsi="Arial" w:cs="Arial"/>
          <w:b/>
          <w:bCs/>
          <w:kern w:val="0"/>
          <w:sz w:val="22"/>
          <w:szCs w:val="22"/>
          <w14:ligatures w14:val="none"/>
        </w:rPr>
      </w:pPr>
      <w:r w:rsidRPr="00A1082E">
        <w:rPr>
          <w:rFonts w:ascii="Arial" w:eastAsia="Times New Roman" w:hAnsi="Arial" w:cs="Arial"/>
          <w:b/>
          <w:bCs/>
          <w:kern w:val="0"/>
          <w:sz w:val="22"/>
          <w:szCs w:val="22"/>
          <w14:ligatures w14:val="none"/>
        </w:rPr>
        <w:t>Analysis of Recent History and Environmental Chang</w:t>
      </w:r>
      <w:r w:rsidR="00E77111">
        <w:rPr>
          <w:rFonts w:ascii="Arial" w:eastAsia="Times New Roman" w:hAnsi="Arial" w:cs="Arial"/>
          <w:b/>
          <w:bCs/>
          <w:kern w:val="0"/>
          <w:sz w:val="22"/>
          <w:szCs w:val="22"/>
          <w14:ligatures w14:val="none"/>
        </w:rPr>
        <w:t>e</w:t>
      </w:r>
    </w:p>
    <w:p w14:paraId="56B0FDBB" w14:textId="10F34356" w:rsidR="00B5353B" w:rsidRPr="00E77111" w:rsidRDefault="00B5353B" w:rsidP="00E77111">
      <w:pPr>
        <w:spacing w:after="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Internal Environment</w:t>
      </w:r>
    </w:p>
    <w:p w14:paraId="5F02E193" w14:textId="77777777"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In the past decade, JLR’s internal environment has experienced both growth and challenges. After 2008, the company expanded rapidly, selling over 600,000 units in 2018 (Statista, 2024). However, in the years that followed, revenue growth stalled and operational issues </w:t>
      </w:r>
      <w:r w:rsidRPr="00A1082E">
        <w:rPr>
          <w:rFonts w:ascii="Arial" w:eastAsia="Times New Roman" w:hAnsi="Arial" w:cs="Arial"/>
          <w:kern w:val="0"/>
          <w:sz w:val="22"/>
          <w:szCs w:val="22"/>
          <w14:ligatures w14:val="none"/>
        </w:rPr>
        <w:lastRenderedPageBreak/>
        <w:t>arose. Leadership changes, including Adrian Mardell becoming CEO in 2023, led to restructuring, job cuts, and a stronger focus on digital transformation (JLR, 2023c).</w:t>
      </w:r>
    </w:p>
    <w:p w14:paraId="35A1E0A7" w14:textId="77777777"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JLR has faced issues with outdated IT systems, high fixed costs, and skill gaps as it moves from internal combustion vehicles to electric vehicles (Jaguar Land Rover unveils Future Skills Programme to train 29,000 for current luxury, all-electric future, 2022). The company has addressed these challenges by investing in staff training, launching the JLR Learning Academy, and partnering with tech firms to improve digital skills (JLR, 2022a). Still, employee resistance and a slow-to-change culture have made progress harder (Forbes, 2023).</w:t>
      </w:r>
    </w:p>
    <w:p w14:paraId="51B05A08" w14:textId="77777777" w:rsidR="00B5353B" w:rsidRPr="00A1082E" w:rsidRDefault="00B5353B" w:rsidP="00A1082E">
      <w:pPr>
        <w:spacing w:after="0" w:line="360" w:lineRule="auto"/>
        <w:rPr>
          <w:rFonts w:ascii="Arial" w:eastAsia="Times New Roman" w:hAnsi="Arial" w:cs="Arial"/>
          <w:kern w:val="0"/>
          <w:sz w:val="22"/>
          <w:szCs w:val="22"/>
          <w14:ligatures w14:val="none"/>
        </w:rPr>
      </w:pPr>
    </w:p>
    <w:p w14:paraId="46EBAB20" w14:textId="1E098B76"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External Environment</w:t>
      </w:r>
    </w:p>
    <w:p w14:paraId="51DD68ED" w14:textId="77777777" w:rsidR="00B5353B" w:rsidRPr="00A1082E" w:rsidRDefault="00B5353B" w:rsidP="00A1082E">
      <w:pPr>
        <w:spacing w:after="0" w:line="360" w:lineRule="auto"/>
        <w:rPr>
          <w:rFonts w:ascii="Arial" w:eastAsia="Times New Roman" w:hAnsi="Arial" w:cs="Arial"/>
          <w:kern w:val="0"/>
          <w:sz w:val="22"/>
          <w:szCs w:val="22"/>
          <w14:ligatures w14:val="none"/>
        </w:rPr>
      </w:pPr>
    </w:p>
    <w:p w14:paraId="64F38A95" w14:textId="5A10CEE1"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PESTLE Analysis</w:t>
      </w:r>
    </w:p>
    <w:p w14:paraId="6E18597B" w14:textId="77777777" w:rsidR="00B5353B" w:rsidRPr="00A1082E" w:rsidRDefault="00B5353B" w:rsidP="00A1082E">
      <w:pPr>
        <w:numPr>
          <w:ilvl w:val="0"/>
          <w:numId w:val="12"/>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Political:</w:t>
      </w:r>
      <w:r w:rsidRPr="00A1082E">
        <w:rPr>
          <w:rFonts w:ascii="Arial" w:eastAsia="Times New Roman" w:hAnsi="Arial" w:cs="Arial"/>
          <w:kern w:val="0"/>
          <w:sz w:val="22"/>
          <w:szCs w:val="22"/>
          <w14:ligatures w14:val="none"/>
        </w:rPr>
        <w:t xml:space="preserve"> Brexit has increased supply chain complexity and costs, while UK government policies now mandate the end of petrol and diesel car sales by 2035 (UK Government, 2020).</w:t>
      </w:r>
    </w:p>
    <w:p w14:paraId="372DBE58" w14:textId="77777777" w:rsidR="00B5353B" w:rsidRPr="00A1082E" w:rsidRDefault="00B5353B" w:rsidP="00A1082E">
      <w:pPr>
        <w:numPr>
          <w:ilvl w:val="0"/>
          <w:numId w:val="12"/>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Economic:</w:t>
      </w:r>
      <w:r w:rsidRPr="00A1082E">
        <w:rPr>
          <w:rFonts w:ascii="Arial" w:eastAsia="Times New Roman" w:hAnsi="Arial" w:cs="Arial"/>
          <w:kern w:val="0"/>
          <w:sz w:val="22"/>
          <w:szCs w:val="22"/>
          <w14:ligatures w14:val="none"/>
        </w:rPr>
        <w:t xml:space="preserve"> Global economic slumps, inflation, and the semiconductor shortage have disrupted JLR’s production and sales, particularly in China and Europe (Reuters, 2022).</w:t>
      </w:r>
    </w:p>
    <w:p w14:paraId="70EBF6C7" w14:textId="77777777" w:rsidR="00B5353B" w:rsidRPr="00A1082E" w:rsidRDefault="00B5353B" w:rsidP="00A1082E">
      <w:pPr>
        <w:numPr>
          <w:ilvl w:val="0"/>
          <w:numId w:val="12"/>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Social:</w:t>
      </w:r>
      <w:r w:rsidRPr="00A1082E">
        <w:rPr>
          <w:rFonts w:ascii="Arial" w:eastAsia="Times New Roman" w:hAnsi="Arial" w:cs="Arial"/>
          <w:kern w:val="0"/>
          <w:sz w:val="22"/>
          <w:szCs w:val="22"/>
          <w14:ligatures w14:val="none"/>
        </w:rPr>
        <w:t xml:space="preserve"> Consumers are increasingly prioritising sustainability, digital connectivity, and shared mobility, shifting demand toward EVs and digital services (PwC, 2023).</w:t>
      </w:r>
    </w:p>
    <w:p w14:paraId="27673511" w14:textId="77777777" w:rsidR="00B5353B" w:rsidRPr="00A1082E" w:rsidRDefault="00B5353B" w:rsidP="00A1082E">
      <w:pPr>
        <w:numPr>
          <w:ilvl w:val="0"/>
          <w:numId w:val="12"/>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Technological:</w:t>
      </w:r>
      <w:r w:rsidRPr="00A1082E">
        <w:rPr>
          <w:rFonts w:ascii="Arial" w:eastAsia="Times New Roman" w:hAnsi="Arial" w:cs="Arial"/>
          <w:kern w:val="0"/>
          <w:sz w:val="22"/>
          <w:szCs w:val="22"/>
          <w14:ligatures w14:val="none"/>
        </w:rPr>
        <w:t xml:space="preserve"> Advances in AI, battery technology, autonomous driving, and connected car platforms are transforming product development and customer expectations (Deloitte, 2022).</w:t>
      </w:r>
    </w:p>
    <w:p w14:paraId="3D6BA1EC" w14:textId="77777777" w:rsidR="00B5353B" w:rsidRPr="00A1082E" w:rsidRDefault="00B5353B" w:rsidP="00A1082E">
      <w:pPr>
        <w:numPr>
          <w:ilvl w:val="0"/>
          <w:numId w:val="12"/>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Legal:</w:t>
      </w:r>
      <w:r w:rsidRPr="00A1082E">
        <w:rPr>
          <w:rFonts w:ascii="Arial" w:eastAsia="Times New Roman" w:hAnsi="Arial" w:cs="Arial"/>
          <w:kern w:val="0"/>
          <w:sz w:val="22"/>
          <w:szCs w:val="22"/>
          <w14:ligatures w14:val="none"/>
        </w:rPr>
        <w:t xml:space="preserve"> Stricter emissions and safety regulations in major markets require ongoing investment in compliance and innovation. (Jaguar Land Rover awarded for environmental standards, 2019)</w:t>
      </w:r>
    </w:p>
    <w:p w14:paraId="39094F39" w14:textId="77777777" w:rsidR="00B5353B" w:rsidRPr="00A1082E" w:rsidRDefault="00B5353B" w:rsidP="00A1082E">
      <w:pPr>
        <w:numPr>
          <w:ilvl w:val="0"/>
          <w:numId w:val="12"/>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Environmental:</w:t>
      </w:r>
      <w:r w:rsidRPr="00A1082E">
        <w:rPr>
          <w:rFonts w:ascii="Arial" w:eastAsia="Times New Roman" w:hAnsi="Arial" w:cs="Arial"/>
          <w:kern w:val="0"/>
          <w:sz w:val="22"/>
          <w:szCs w:val="22"/>
          <w14:ligatures w14:val="none"/>
        </w:rPr>
        <w:t xml:space="preserve"> Growing pressure to reduce carbon emissions, achieve net-zero targets, and improve resource efficiency has prompted JLR to invest heavily in green technologies and eco-friendly manufacturing. (Jaguar Land Rover awarded for environmental standards, 2019)</w:t>
      </w:r>
    </w:p>
    <w:p w14:paraId="6EF08272" w14:textId="35311C31"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Industry Competition: Porter’s Five Forces</w:t>
      </w:r>
    </w:p>
    <w:p w14:paraId="1BC950E5" w14:textId="77777777" w:rsidR="00B5353B" w:rsidRPr="00A1082E" w:rsidRDefault="00B5353B" w:rsidP="00A1082E">
      <w:pPr>
        <w:numPr>
          <w:ilvl w:val="0"/>
          <w:numId w:val="13"/>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Rivalry among competitors:</w:t>
      </w:r>
      <w:r w:rsidRPr="00A1082E">
        <w:rPr>
          <w:rFonts w:ascii="Arial" w:eastAsia="Times New Roman" w:hAnsi="Arial" w:cs="Arial"/>
          <w:kern w:val="0"/>
          <w:sz w:val="22"/>
          <w:szCs w:val="22"/>
          <w14:ligatures w14:val="none"/>
        </w:rPr>
        <w:t xml:space="preserve"> High, due to established luxury brands (BMW, Mercedes-Benz, Audi) and disruptive entrants like Tesla. (Winton, 2023)</w:t>
      </w:r>
    </w:p>
    <w:p w14:paraId="15310FE0" w14:textId="77777777" w:rsidR="00B5353B" w:rsidRPr="00A1082E" w:rsidRDefault="00B5353B" w:rsidP="00A1082E">
      <w:pPr>
        <w:numPr>
          <w:ilvl w:val="0"/>
          <w:numId w:val="13"/>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lastRenderedPageBreak/>
        <w:t>Threat of new entrants:</w:t>
      </w:r>
      <w:r w:rsidRPr="00A1082E">
        <w:rPr>
          <w:rFonts w:ascii="Arial" w:eastAsia="Times New Roman" w:hAnsi="Arial" w:cs="Arial"/>
          <w:kern w:val="0"/>
          <w:sz w:val="22"/>
          <w:szCs w:val="22"/>
          <w14:ligatures w14:val="none"/>
        </w:rPr>
        <w:t xml:space="preserve"> Moderate, as entry barriers are high but technology firms (e.g., Apple, Google) threaten existing boundaries.</w:t>
      </w:r>
    </w:p>
    <w:p w14:paraId="163ABE13" w14:textId="77777777" w:rsidR="00B5353B" w:rsidRPr="00A1082E" w:rsidRDefault="00B5353B" w:rsidP="00A1082E">
      <w:pPr>
        <w:numPr>
          <w:ilvl w:val="0"/>
          <w:numId w:val="13"/>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Bargaining power of suppliers:</w:t>
      </w:r>
      <w:r w:rsidRPr="00A1082E">
        <w:rPr>
          <w:rFonts w:ascii="Arial" w:eastAsia="Times New Roman" w:hAnsi="Arial" w:cs="Arial"/>
          <w:kern w:val="0"/>
          <w:sz w:val="22"/>
          <w:szCs w:val="22"/>
          <w14:ligatures w14:val="none"/>
        </w:rPr>
        <w:t xml:space="preserve"> High, given reliance on advanced components (e.g., batteries, semiconductors). (Rover, 2022)</w:t>
      </w:r>
    </w:p>
    <w:p w14:paraId="669A8D22" w14:textId="77777777" w:rsidR="00B5353B" w:rsidRPr="00A1082E" w:rsidRDefault="00B5353B" w:rsidP="00A1082E">
      <w:pPr>
        <w:numPr>
          <w:ilvl w:val="0"/>
          <w:numId w:val="13"/>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Bargaining power of buyers:</w:t>
      </w:r>
      <w:r w:rsidRPr="00A1082E">
        <w:rPr>
          <w:rFonts w:ascii="Arial" w:eastAsia="Times New Roman" w:hAnsi="Arial" w:cs="Arial"/>
          <w:kern w:val="0"/>
          <w:sz w:val="22"/>
          <w:szCs w:val="22"/>
          <w14:ligatures w14:val="none"/>
        </w:rPr>
        <w:t xml:space="preserve"> Increasing, with more choices and low switching costs. (Bodendorf &amp; Franke, 2024, pp. 5828-5849)</w:t>
      </w:r>
    </w:p>
    <w:p w14:paraId="53563E98" w14:textId="77777777" w:rsidR="00B5353B" w:rsidRPr="00A1082E" w:rsidRDefault="00B5353B" w:rsidP="00A1082E">
      <w:pPr>
        <w:numPr>
          <w:ilvl w:val="0"/>
          <w:numId w:val="13"/>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Threat of substitutes:</w:t>
      </w:r>
      <w:r w:rsidRPr="00A1082E">
        <w:rPr>
          <w:rFonts w:ascii="Arial" w:eastAsia="Times New Roman" w:hAnsi="Arial" w:cs="Arial"/>
          <w:kern w:val="0"/>
          <w:sz w:val="22"/>
          <w:szCs w:val="22"/>
          <w14:ligatures w14:val="none"/>
        </w:rPr>
        <w:t xml:space="preserve"> Growing, as shared mobility and alternative transport models emerge (Statista, 2024; McKinsey, 2022). (Mobility, 2021)</w:t>
      </w:r>
    </w:p>
    <w:p w14:paraId="776123AF" w14:textId="2EAC270F"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Impact of Digital Disruption, Digitalisation, and AI</w:t>
      </w:r>
    </w:p>
    <w:p w14:paraId="64A2F14D" w14:textId="6DDA518A"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Digital disruption is at the heart of JLR’s transformation. The company is using AI-driven manufacturing, predictive analytics, and digital sales platforms to boost efficiency, improve the customer experience, and encourage innovation (JLR, 2023b; Deloitte, 2022). Electrification has required significant investment in research and development, with JLR spending £2.5 billion each year on these efforts (JLR, 2021b; Rover, 2021). Rapid technological change and events such as the COVID-19 pandemic and chip shortages have exposed operational weaknesses and underscored why JLR must remain adaptable (Jaguar Land Rover Halts Production Over Chip Shortage, 2021). Using Lewin’s Three-Stage Model, these changes fit into three stages: “unfreezing” occurs when JLR recognises the limits of relying on internal combustion engines and realises that change is needed. The “change” stage includes actions such as launching electric vehicles (such as the Jaguar I-PACE), investing in digital infrastructure, and reorganising business units. The “refreezing” stage focuses on embedding new practices, such as using sustainability KPIs and adopting digital-first processes, to ensure the transformation endures.</w:t>
      </w:r>
    </w:p>
    <w:p w14:paraId="014F8F08" w14:textId="77777777"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However, Lewin’s step-by-step approach has clear limits in industries where technology and regulations change quickly. For JLR and the broader automotive sector, ongoing changes mean the company must continually assess and update its processes. As a result, the stability expected in the 'refreezing' stage often does not last, since new disruptions force JLR to keep adapting. This suggests that change may need to be continuous rather than reaching a fixed new state (Burnes, 2017).</w:t>
      </w:r>
    </w:p>
    <w:p w14:paraId="71A4754F" w14:textId="77777777" w:rsidR="00B5353B" w:rsidRPr="00A1082E" w:rsidRDefault="00B5353B" w:rsidP="00A1082E">
      <w:pPr>
        <w:spacing w:after="0" w:line="360" w:lineRule="auto"/>
        <w:rPr>
          <w:rFonts w:ascii="Arial" w:eastAsia="Times New Roman" w:hAnsi="Arial" w:cs="Arial"/>
          <w:kern w:val="0"/>
          <w:sz w:val="22"/>
          <w:szCs w:val="22"/>
          <w14:ligatures w14:val="none"/>
        </w:rPr>
      </w:pPr>
    </w:p>
    <w:p w14:paraId="30F22919" w14:textId="642EC766"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Constraints and Hazards of Change Management Models in JLR’s Context</w:t>
      </w:r>
    </w:p>
    <w:p w14:paraId="029B562A" w14:textId="77777777"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While change management frameworks like Lewin’s Three-Stage Model, Kotter’s 8-Step Model, and the ADKAR Model provide useful structure for leading transformation, using them in Jaguar Land Rover’s (JLR) fast-changing industry comes with several limitations and risks:</w:t>
      </w:r>
    </w:p>
    <w:p w14:paraId="31997627" w14:textId="1C4535FE"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lastRenderedPageBreak/>
        <w:t>1. Linearity vs Industry Pace</w:t>
      </w:r>
    </w:p>
    <w:p w14:paraId="67568451" w14:textId="77777777" w:rsidR="00B5353B" w:rsidRPr="00A1082E" w:rsidRDefault="00B5353B" w:rsidP="00A1082E">
      <w:pPr>
        <w:numPr>
          <w:ilvl w:val="0"/>
          <w:numId w:val="14"/>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Limitation:</w:t>
      </w:r>
      <w:r w:rsidRPr="00A1082E">
        <w:rPr>
          <w:rFonts w:ascii="Arial" w:eastAsia="Times New Roman" w:hAnsi="Arial" w:cs="Arial"/>
          <w:kern w:val="0"/>
          <w:sz w:val="22"/>
          <w:szCs w:val="22"/>
          <w14:ligatures w14:val="none"/>
        </w:rPr>
        <w:t xml:space="preserve"> Lewin’s and Kotter’s models are fundamentally linear and sequential, assuming change occurs in distinct phases or steps.</w:t>
      </w:r>
    </w:p>
    <w:p w14:paraId="70107520" w14:textId="77777777" w:rsidR="00B5353B" w:rsidRPr="00A1082E" w:rsidRDefault="00B5353B" w:rsidP="00A1082E">
      <w:pPr>
        <w:numPr>
          <w:ilvl w:val="0"/>
          <w:numId w:val="14"/>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Risk:</w:t>
      </w:r>
      <w:r w:rsidRPr="00A1082E">
        <w:rPr>
          <w:rFonts w:ascii="Arial" w:eastAsia="Times New Roman" w:hAnsi="Arial" w:cs="Arial"/>
          <w:kern w:val="0"/>
          <w:sz w:val="22"/>
          <w:szCs w:val="22"/>
          <w14:ligatures w14:val="none"/>
        </w:rPr>
        <w:t xml:space="preserve"> In JLR’s environment, where technology, market expectations, and regulations change quickly, change is often ongoing and non-linear. Strictly following these models may lead to missed opportunities or slow responses to new threats (Burnes, 2017).</w:t>
      </w:r>
    </w:p>
    <w:p w14:paraId="29B29181" w14:textId="426A3F44"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2. Exaggerated emphasis on Top-Down Leadership</w:t>
      </w:r>
    </w:p>
    <w:p w14:paraId="4284BC15" w14:textId="77777777" w:rsidR="00B5353B" w:rsidRPr="00A1082E" w:rsidRDefault="00B5353B" w:rsidP="00A1082E">
      <w:pPr>
        <w:numPr>
          <w:ilvl w:val="0"/>
          <w:numId w:val="15"/>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Limitation:</w:t>
      </w:r>
      <w:r w:rsidRPr="00A1082E">
        <w:rPr>
          <w:rFonts w:ascii="Arial" w:eastAsia="Times New Roman" w:hAnsi="Arial" w:cs="Arial"/>
          <w:kern w:val="0"/>
          <w:sz w:val="22"/>
          <w:szCs w:val="22"/>
          <w14:ligatures w14:val="none"/>
        </w:rPr>
        <w:t xml:space="preserve"> Both Lewin and Kotter rely heavily on leadership-driven change.</w:t>
      </w:r>
    </w:p>
    <w:p w14:paraId="150318EA" w14:textId="77777777" w:rsidR="00B5353B" w:rsidRPr="00A1082E" w:rsidRDefault="00B5353B" w:rsidP="00A1082E">
      <w:pPr>
        <w:numPr>
          <w:ilvl w:val="0"/>
          <w:numId w:val="15"/>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Risk:</w:t>
      </w:r>
      <w:r w:rsidRPr="00A1082E">
        <w:rPr>
          <w:rFonts w:ascii="Arial" w:eastAsia="Times New Roman" w:hAnsi="Arial" w:cs="Arial"/>
          <w:kern w:val="0"/>
          <w:sz w:val="22"/>
          <w:szCs w:val="22"/>
          <w14:ligatures w14:val="none"/>
        </w:rPr>
        <w:t xml:space="preserve"> In complex, knowledge-based organisations like JLR, innovation often comes from cross-department teams and bottom-up ideas. Focusing too much on a top-down approach can limit creativity and reduce employee ownership (Cameron &amp; Green, 2019).</w:t>
      </w:r>
    </w:p>
    <w:p w14:paraId="4D926357" w14:textId="32DF804E"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3. Insufficient Focus on Digital Agility</w:t>
      </w:r>
    </w:p>
    <w:p w14:paraId="03F9F0A1" w14:textId="77777777" w:rsidR="00B5353B" w:rsidRPr="00A1082E" w:rsidRDefault="00B5353B" w:rsidP="00A1082E">
      <w:pPr>
        <w:numPr>
          <w:ilvl w:val="0"/>
          <w:numId w:val="16"/>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Limitation:</w:t>
      </w:r>
      <w:r w:rsidRPr="00A1082E">
        <w:rPr>
          <w:rFonts w:ascii="Arial" w:eastAsia="Times New Roman" w:hAnsi="Arial" w:cs="Arial"/>
          <w:kern w:val="0"/>
          <w:sz w:val="22"/>
          <w:szCs w:val="22"/>
          <w14:ligatures w14:val="none"/>
        </w:rPr>
        <w:t xml:space="preserve"> Standard models were created before digital transformation and may not address the speed, uncertainty, and need for experimentation that digital change requires.</w:t>
      </w:r>
    </w:p>
    <w:p w14:paraId="387A935B" w14:textId="77777777" w:rsidR="00B5353B" w:rsidRPr="00A1082E" w:rsidRDefault="00B5353B" w:rsidP="00A1082E">
      <w:pPr>
        <w:numPr>
          <w:ilvl w:val="0"/>
          <w:numId w:val="16"/>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Risk:</w:t>
      </w:r>
      <w:r w:rsidRPr="00A1082E">
        <w:rPr>
          <w:rFonts w:ascii="Arial" w:eastAsia="Times New Roman" w:hAnsi="Arial" w:cs="Arial"/>
          <w:kern w:val="0"/>
          <w:sz w:val="22"/>
          <w:szCs w:val="22"/>
          <w14:ligatures w14:val="none"/>
        </w:rPr>
        <w:t xml:space="preserve"> Applying these models without adaptation may lead to underestimating the requirement for rapid prototyping, agile sprints, and continuous learning cycles essential in automotive digitalisation (Deloitte, 2022).</w:t>
      </w:r>
    </w:p>
    <w:p w14:paraId="21BFAA05" w14:textId="5173E399"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4. Cultural and Human Factors</w:t>
      </w:r>
    </w:p>
    <w:p w14:paraId="50EA4BD8" w14:textId="77777777" w:rsidR="00B5353B" w:rsidRPr="00A1082E" w:rsidRDefault="00B5353B" w:rsidP="00A1082E">
      <w:pPr>
        <w:numPr>
          <w:ilvl w:val="0"/>
          <w:numId w:val="17"/>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Limitation:</w:t>
      </w:r>
      <w:r w:rsidRPr="00A1082E">
        <w:rPr>
          <w:rFonts w:ascii="Arial" w:eastAsia="Times New Roman" w:hAnsi="Arial" w:cs="Arial"/>
          <w:kern w:val="0"/>
          <w:sz w:val="22"/>
          <w:szCs w:val="22"/>
          <w14:ligatures w14:val="none"/>
        </w:rPr>
        <w:t xml:space="preserve"> While ADKAR focuses on individual change, all models may underestimate how deeply rooted cultural resistance can be in established organisations.</w:t>
      </w:r>
    </w:p>
    <w:p w14:paraId="0339FAD8" w14:textId="77777777" w:rsidR="00B5353B" w:rsidRPr="00A1082E" w:rsidRDefault="00B5353B" w:rsidP="00A1082E">
      <w:pPr>
        <w:numPr>
          <w:ilvl w:val="0"/>
          <w:numId w:val="17"/>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Risk:</w:t>
      </w:r>
      <w:r w:rsidRPr="00A1082E">
        <w:rPr>
          <w:rFonts w:ascii="Arial" w:eastAsia="Times New Roman" w:hAnsi="Arial" w:cs="Arial"/>
          <w:kern w:val="0"/>
          <w:sz w:val="22"/>
          <w:szCs w:val="22"/>
          <w14:ligatures w14:val="none"/>
        </w:rPr>
        <w:t xml:space="preserve"> Failure to deeply engage with cultural barriers may result in superficial compliance rather than genuine behavioural change (Smith &amp; Lewis, 2020).</w:t>
      </w:r>
    </w:p>
    <w:p w14:paraId="1CB15AA7" w14:textId="77777777" w:rsidR="00B5353B" w:rsidRPr="00A1082E" w:rsidRDefault="00B5353B" w:rsidP="00A1082E">
      <w:pPr>
        <w:spacing w:before="120" w:after="120" w:line="360" w:lineRule="auto"/>
        <w:rPr>
          <w:rFonts w:ascii="Arial" w:eastAsia="Times New Roman" w:hAnsi="Arial" w:cs="Arial"/>
          <w:kern w:val="0"/>
          <w:sz w:val="22"/>
          <w:szCs w:val="22"/>
          <w14:ligatures w14:val="none"/>
        </w:rPr>
      </w:pPr>
    </w:p>
    <w:p w14:paraId="29D044DA" w14:textId="70E1ACDC"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5. Global Complexity</w:t>
      </w:r>
    </w:p>
    <w:p w14:paraId="35EE2B19" w14:textId="77777777" w:rsidR="00B5353B" w:rsidRPr="00A1082E" w:rsidRDefault="00B5353B" w:rsidP="00A1082E">
      <w:pPr>
        <w:numPr>
          <w:ilvl w:val="0"/>
          <w:numId w:val="18"/>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Limitation:</w:t>
      </w:r>
      <w:r w:rsidRPr="00A1082E">
        <w:rPr>
          <w:rFonts w:ascii="Arial" w:eastAsia="Times New Roman" w:hAnsi="Arial" w:cs="Arial"/>
          <w:kern w:val="0"/>
          <w:sz w:val="22"/>
          <w:szCs w:val="22"/>
          <w14:ligatures w14:val="none"/>
        </w:rPr>
        <w:t xml:space="preserve"> Most models were designed for relatively stable, single-market organisations.</w:t>
      </w:r>
    </w:p>
    <w:p w14:paraId="658AB4B2" w14:textId="77777777" w:rsidR="00B5353B" w:rsidRPr="00A1082E" w:rsidRDefault="00B5353B" w:rsidP="00A1082E">
      <w:pPr>
        <w:numPr>
          <w:ilvl w:val="0"/>
          <w:numId w:val="18"/>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Risk:</w:t>
      </w:r>
      <w:r w:rsidRPr="00A1082E">
        <w:rPr>
          <w:rFonts w:ascii="Arial" w:eastAsia="Times New Roman" w:hAnsi="Arial" w:cs="Arial"/>
          <w:kern w:val="0"/>
          <w:sz w:val="22"/>
          <w:szCs w:val="22"/>
          <w14:ligatures w14:val="none"/>
        </w:rPr>
        <w:t xml:space="preserve"> JLR operates worldwide and faces different regulations, customer needs, and supply chain risks in each region. For instance, the European Union has strict </w:t>
      </w:r>
      <w:r w:rsidRPr="00A1082E">
        <w:rPr>
          <w:rFonts w:ascii="Arial" w:eastAsia="Times New Roman" w:hAnsi="Arial" w:cs="Arial"/>
          <w:kern w:val="0"/>
          <w:sz w:val="22"/>
          <w:szCs w:val="22"/>
          <w14:ligatures w14:val="none"/>
        </w:rPr>
        <w:lastRenderedPageBreak/>
        <w:t>emissions standards that require investment in clean technologies, China focuses on domestic electric vehicle quotas and local partnerships, and the US has its own safety and trade rules. Customer demand for electric vehicles, luxury features, and digital services also varies by region. Using a single change management model may not handle this complexity well, which could lead to strategies that do not fit or compliance issues (McKinsey, 2022).</w:t>
      </w:r>
    </w:p>
    <w:p w14:paraId="29890A47" w14:textId="14A12FB0"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 </w:t>
      </w:r>
      <w:r w:rsidRPr="00A1082E">
        <w:rPr>
          <w:rFonts w:ascii="Arial" w:eastAsia="Times New Roman" w:hAnsi="Arial" w:cs="Arial"/>
          <w:b/>
          <w:bCs/>
          <w:kern w:val="0"/>
          <w:sz w:val="22"/>
          <w:szCs w:val="22"/>
          <w14:ligatures w14:val="none"/>
        </w:rPr>
        <w:t>6. Measurement and Feedback Gaps</w:t>
      </w:r>
    </w:p>
    <w:p w14:paraId="095C1B11" w14:textId="77777777" w:rsidR="00B5353B" w:rsidRPr="00A1082E" w:rsidRDefault="00B5353B" w:rsidP="00A1082E">
      <w:pPr>
        <w:numPr>
          <w:ilvl w:val="0"/>
          <w:numId w:val="19"/>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Limitation:</w:t>
      </w:r>
      <w:r w:rsidRPr="00A1082E">
        <w:rPr>
          <w:rFonts w:ascii="Arial" w:eastAsia="Times New Roman" w:hAnsi="Arial" w:cs="Arial"/>
          <w:kern w:val="0"/>
          <w:sz w:val="22"/>
          <w:szCs w:val="22"/>
          <w14:ligatures w14:val="none"/>
        </w:rPr>
        <w:t xml:space="preserve"> Standard models provide limited guidance regarding real-time measurement and feedback.</w:t>
      </w:r>
    </w:p>
    <w:p w14:paraId="504CB257" w14:textId="77777777" w:rsidR="00B5353B" w:rsidRPr="00A1082E" w:rsidRDefault="00B5353B" w:rsidP="00A1082E">
      <w:pPr>
        <w:numPr>
          <w:ilvl w:val="0"/>
          <w:numId w:val="19"/>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Risk:</w:t>
      </w:r>
      <w:r w:rsidRPr="00A1082E">
        <w:rPr>
          <w:rFonts w:ascii="Arial" w:eastAsia="Times New Roman" w:hAnsi="Arial" w:cs="Arial"/>
          <w:kern w:val="0"/>
          <w:sz w:val="22"/>
          <w:szCs w:val="22"/>
          <w14:ligatures w14:val="none"/>
        </w:rPr>
        <w:t xml:space="preserve"> In fast-moving contexts, absence of timely data can delay course corrections, causing transformation initiatives to drift off course (Kotter, 2012).</w:t>
      </w:r>
    </w:p>
    <w:p w14:paraId="0EC1DBBC" w14:textId="77777777" w:rsidR="00B5353B" w:rsidRPr="00A1082E" w:rsidRDefault="00B5353B" w:rsidP="00A1082E">
      <w:pPr>
        <w:spacing w:before="120" w:after="120" w:line="360" w:lineRule="auto"/>
        <w:rPr>
          <w:rFonts w:ascii="Arial" w:eastAsia="Times New Roman" w:hAnsi="Arial" w:cs="Arial"/>
          <w:b/>
          <w:bCs/>
          <w:kern w:val="0"/>
          <w:sz w:val="22"/>
          <w:szCs w:val="22"/>
          <w14:ligatures w14:val="none"/>
        </w:rPr>
      </w:pPr>
      <w:r w:rsidRPr="00A1082E">
        <w:rPr>
          <w:rFonts w:ascii="Arial" w:eastAsia="Times New Roman" w:hAnsi="Arial" w:cs="Arial"/>
          <w:b/>
          <w:bCs/>
          <w:kern w:val="0"/>
          <w:sz w:val="22"/>
          <w:szCs w:val="22"/>
          <w14:ligatures w14:val="none"/>
        </w:rPr>
        <w:t>Conclusion</w:t>
      </w:r>
    </w:p>
    <w:p w14:paraId="1003A9DB" w14:textId="77777777"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br/>
        <w:t>For JLR, these limits show the need not just to combine parts of Lewin’s, Kotter’s, and ADKAR models, but to blend their main ideas into practical steps. For example, Lewin’s focus on process can support agile project management, while Kotter’s focus on leadership and stakeholder alignment can be put into practice with regular feedback and change champions. At the same time, ADKAR’s focus on individual engagement and skill-building stresses the importance of ongoing learning and teamwork. By using routines for review and modification that draw on each model’s strengths, JLR can stay in step with industry changes and support lasting, flexible transformation.</w:t>
      </w:r>
    </w:p>
    <w:p w14:paraId="3630FE73" w14:textId="7797EDC7"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Kotter’s 8-Step Model</w:t>
      </w:r>
    </w:p>
    <w:p w14:paraId="109E44B1" w14:textId="77777777"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John Kotter’s 8-step model delivers a more nuanced, sequential approach to leading change. JLR established urgency through public commitments to electrification, formed cross-functional guiding coalitions, and articulated a clear vision for “Current Luxury by Design” (Kotter, 2012; JLR, 2021a). Communication has been prioritised via digital channels and engagement activities, while early wins such as the successful launch of the Defender and Range Rover EVs have built momentum.</w:t>
      </w:r>
    </w:p>
    <w:p w14:paraId="4B8E0F7F" w14:textId="77777777"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Kotter’s model excels in encouraging leadership and stakeholder engagement, but the need for rapid iteration can challenge it. For example, the global chip shortage forced JLR to adapt plans repeatedly, showing the necessity for ongoing, flexible change management rather than a one-off sequence (Gill, 2011).</w:t>
      </w:r>
    </w:p>
    <w:p w14:paraId="148ABADA" w14:textId="77777777" w:rsidR="00B5353B" w:rsidRPr="00A1082E" w:rsidRDefault="00B5353B" w:rsidP="00A1082E">
      <w:pPr>
        <w:spacing w:after="0" w:line="360" w:lineRule="auto"/>
        <w:rPr>
          <w:rFonts w:ascii="Arial" w:eastAsia="Times New Roman" w:hAnsi="Arial" w:cs="Arial"/>
          <w:kern w:val="0"/>
          <w:sz w:val="22"/>
          <w:szCs w:val="22"/>
          <w14:ligatures w14:val="none"/>
        </w:rPr>
      </w:pPr>
    </w:p>
    <w:p w14:paraId="12564113" w14:textId="77777777" w:rsidR="00166178" w:rsidRDefault="00166178" w:rsidP="00A1082E">
      <w:pPr>
        <w:spacing w:after="0" w:line="360" w:lineRule="auto"/>
        <w:rPr>
          <w:rFonts w:ascii="Arial" w:eastAsia="Times New Roman" w:hAnsi="Arial" w:cs="Arial"/>
          <w:b/>
          <w:bCs/>
          <w:kern w:val="0"/>
          <w:sz w:val="22"/>
          <w:szCs w:val="22"/>
          <w14:ligatures w14:val="none"/>
        </w:rPr>
      </w:pPr>
    </w:p>
    <w:p w14:paraId="6C858F62" w14:textId="356F8536" w:rsidR="00B5353B" w:rsidRPr="00A1082E" w:rsidRDefault="00B5353B" w:rsidP="00A1082E">
      <w:pPr>
        <w:spacing w:after="0" w:line="360" w:lineRule="auto"/>
        <w:rPr>
          <w:rFonts w:ascii="Arial" w:eastAsia="Times New Roman" w:hAnsi="Arial" w:cs="Arial"/>
          <w:b/>
          <w:bCs/>
          <w:kern w:val="0"/>
          <w:sz w:val="22"/>
          <w:szCs w:val="22"/>
          <w14:ligatures w14:val="none"/>
        </w:rPr>
      </w:pPr>
      <w:r w:rsidRPr="00A1082E">
        <w:rPr>
          <w:rFonts w:ascii="Arial" w:eastAsia="Times New Roman" w:hAnsi="Arial" w:cs="Arial"/>
          <w:b/>
          <w:bCs/>
          <w:kern w:val="0"/>
          <w:sz w:val="22"/>
          <w:szCs w:val="22"/>
          <w14:ligatures w14:val="none"/>
        </w:rPr>
        <w:lastRenderedPageBreak/>
        <w:t>ADKAR Model</w:t>
      </w:r>
    </w:p>
    <w:p w14:paraId="297835D6" w14:textId="77777777" w:rsidR="00B5353B" w:rsidRPr="00A1082E" w:rsidRDefault="00B5353B" w:rsidP="00A1082E">
      <w:pPr>
        <w:spacing w:after="0" w:line="360" w:lineRule="auto"/>
        <w:rPr>
          <w:rFonts w:ascii="Arial" w:eastAsia="Times New Roman" w:hAnsi="Arial" w:cs="Arial"/>
          <w:kern w:val="0"/>
          <w:sz w:val="22"/>
          <w:szCs w:val="22"/>
          <w14:ligatures w14:val="none"/>
        </w:rPr>
      </w:pPr>
    </w:p>
    <w:p w14:paraId="4BAA8217" w14:textId="77777777"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The ADKAR Model—Awareness, Desire, Knowledge, Ability, Reinforcement—focuses on individual-level change, helping JLR manage resistance and build capability (Hiatt, 2006). JLR has implemented digital education programs, reward systems for innovation, and assessment mechanisms to reinforce new behaviours (JLR, 2022a). While these initiatives have helped reduce resistance, legacy skill gaps and cultural inertia remain, particularly among long-serving employees unused to digital-first processes. For example, some engineering teams have shown reluctance to adopt online collaboration tools, preferring established paper-based reporting and legacy software over newer digital project management platforms, which has led to a slower uptake of digital workflows and occasional project delays (Forbes, 2023).</w:t>
      </w:r>
    </w:p>
    <w:p w14:paraId="2718DBB2" w14:textId="77777777" w:rsidR="00B5353B" w:rsidRPr="00A1082E" w:rsidRDefault="00B5353B" w:rsidP="00A1082E">
      <w:pPr>
        <w:spacing w:after="0" w:line="360" w:lineRule="auto"/>
        <w:rPr>
          <w:rFonts w:ascii="Arial" w:eastAsia="Times New Roman" w:hAnsi="Arial" w:cs="Arial"/>
          <w:kern w:val="0"/>
          <w:sz w:val="22"/>
          <w:szCs w:val="22"/>
          <w14:ligatures w14:val="none"/>
        </w:rPr>
      </w:pPr>
    </w:p>
    <w:p w14:paraId="0EF83DEE" w14:textId="674D99F9" w:rsidR="00B5353B" w:rsidRPr="00A1082E" w:rsidRDefault="00B5353B" w:rsidP="00A1082E">
      <w:pPr>
        <w:spacing w:after="0" w:line="360" w:lineRule="auto"/>
        <w:rPr>
          <w:rFonts w:ascii="Arial" w:eastAsia="Times New Roman" w:hAnsi="Arial" w:cs="Arial"/>
          <w:b/>
          <w:bCs/>
          <w:kern w:val="0"/>
          <w:sz w:val="22"/>
          <w:szCs w:val="22"/>
          <w14:ligatures w14:val="none"/>
        </w:rPr>
      </w:pPr>
      <w:r w:rsidRPr="00A1082E">
        <w:rPr>
          <w:rFonts w:ascii="Arial" w:eastAsia="Times New Roman" w:hAnsi="Arial" w:cs="Arial"/>
          <w:b/>
          <w:bCs/>
          <w:kern w:val="0"/>
          <w:sz w:val="22"/>
          <w:szCs w:val="22"/>
          <w14:ligatures w14:val="none"/>
        </w:rPr>
        <w:t>Composite Approach</w:t>
      </w:r>
    </w:p>
    <w:p w14:paraId="4570A01B" w14:textId="77777777" w:rsidR="00B5353B" w:rsidRPr="00A1082E" w:rsidRDefault="00B5353B" w:rsidP="00A1082E">
      <w:pPr>
        <w:spacing w:after="0" w:line="360" w:lineRule="auto"/>
        <w:rPr>
          <w:rFonts w:ascii="Arial" w:eastAsia="Times New Roman" w:hAnsi="Arial" w:cs="Arial"/>
          <w:kern w:val="0"/>
          <w:sz w:val="22"/>
          <w:szCs w:val="22"/>
          <w14:ligatures w14:val="none"/>
        </w:rPr>
      </w:pPr>
    </w:p>
    <w:p w14:paraId="243562E2" w14:textId="77777777"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A blended approach, uniting elements of Lewin, Kotter, and ADKAR, is most effective for JLR. Lewin structures the overall process, Kotter drives leadership and momentum, and ADKAR ensures employee buy-in and capability. This multi-level strategy enables JLR to balance structure with flexibility, key for navigating the uncertainties of digital and environmental transformation (Cameron &amp; Green, 2019).</w:t>
      </w:r>
    </w:p>
    <w:p w14:paraId="5F43FFF9" w14:textId="77777777" w:rsidR="00B5353B" w:rsidRPr="00A1082E" w:rsidRDefault="00B5353B" w:rsidP="00A1082E">
      <w:pPr>
        <w:spacing w:after="0" w:line="360" w:lineRule="auto"/>
        <w:rPr>
          <w:rFonts w:ascii="Arial" w:eastAsia="Times New Roman" w:hAnsi="Arial" w:cs="Arial"/>
          <w:kern w:val="0"/>
          <w:sz w:val="22"/>
          <w:szCs w:val="22"/>
          <w14:ligatures w14:val="none"/>
        </w:rPr>
      </w:pPr>
    </w:p>
    <w:p w14:paraId="4145C5C0" w14:textId="77777777"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Leadership and Organisational Culture</w:t>
      </w:r>
    </w:p>
    <w:p w14:paraId="6914B364" w14:textId="2FCC076E" w:rsidR="00B5353B" w:rsidRPr="00A1082E" w:rsidRDefault="00B5353B" w:rsidP="00A1082E">
      <w:pPr>
        <w:spacing w:after="0" w:line="360" w:lineRule="auto"/>
        <w:rPr>
          <w:rFonts w:ascii="Arial" w:eastAsia="Times New Roman" w:hAnsi="Arial" w:cs="Arial"/>
          <w:b/>
          <w:bCs/>
          <w:kern w:val="0"/>
          <w:sz w:val="22"/>
          <w:szCs w:val="22"/>
          <w14:ligatures w14:val="none"/>
        </w:rPr>
      </w:pPr>
      <w:r w:rsidRPr="00A1082E">
        <w:rPr>
          <w:rFonts w:ascii="Arial" w:eastAsia="Times New Roman" w:hAnsi="Arial" w:cs="Arial"/>
          <w:b/>
          <w:bCs/>
          <w:kern w:val="0"/>
          <w:sz w:val="22"/>
          <w:szCs w:val="22"/>
          <w14:ligatures w14:val="none"/>
        </w:rPr>
        <w:t>Leadership Style and Impact</w:t>
      </w:r>
    </w:p>
    <w:p w14:paraId="03FCDBC4" w14:textId="77777777" w:rsidR="00B5353B" w:rsidRPr="00A1082E" w:rsidRDefault="00B5353B" w:rsidP="00A1082E">
      <w:pPr>
        <w:spacing w:after="0" w:line="360" w:lineRule="auto"/>
        <w:rPr>
          <w:rFonts w:ascii="Arial" w:eastAsia="Times New Roman" w:hAnsi="Arial" w:cs="Arial"/>
          <w:kern w:val="0"/>
          <w:sz w:val="22"/>
          <w:szCs w:val="22"/>
          <w14:ligatures w14:val="none"/>
        </w:rPr>
      </w:pPr>
    </w:p>
    <w:p w14:paraId="5A32FD29" w14:textId="77777777"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JLR’s leadership has evolved as the industry has faced disruption. CEO Adrian Mardell and his team now use a transformational leadership style that emphasizes vision, inspiration, and empowering employees (Gill, 2011). The Reimagine strategy reflects this approach, with leaders outlining a clear plan for electrification, digitalisation, and sustainability (JLR, 2021a).</w:t>
      </w:r>
    </w:p>
    <w:p w14:paraId="712702B4" w14:textId="77777777"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Regular communication through digital town halls, newsletters, and interactive forums has helped build trust and openness. Leaders encourage trying new approaches, learning from mistakes, and working across teams, moving away from traditional hierarchies (Forbes, 2023).</w:t>
      </w:r>
    </w:p>
    <w:p w14:paraId="7284AE67" w14:textId="77777777"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Transformational leadership has been crucial in driving cultural change, aligning employees with corporate aims, and building resilience amid uncertainty (Kotter, 2012).</w:t>
      </w:r>
    </w:p>
    <w:p w14:paraId="5C4545B7" w14:textId="77777777" w:rsidR="00B5353B" w:rsidRPr="00A1082E" w:rsidRDefault="00B5353B" w:rsidP="00A1082E">
      <w:pPr>
        <w:spacing w:after="0" w:line="360" w:lineRule="auto"/>
        <w:rPr>
          <w:rFonts w:ascii="Arial" w:eastAsia="Times New Roman" w:hAnsi="Arial" w:cs="Arial"/>
          <w:kern w:val="0"/>
          <w:sz w:val="22"/>
          <w:szCs w:val="22"/>
          <w14:ligatures w14:val="none"/>
        </w:rPr>
      </w:pPr>
    </w:p>
    <w:p w14:paraId="50D4E4B2" w14:textId="77777777" w:rsidR="00166178" w:rsidRDefault="00166178" w:rsidP="00A1082E">
      <w:pPr>
        <w:spacing w:after="0" w:line="360" w:lineRule="auto"/>
        <w:rPr>
          <w:rFonts w:ascii="Arial" w:eastAsia="Times New Roman" w:hAnsi="Arial" w:cs="Arial"/>
          <w:b/>
          <w:bCs/>
          <w:kern w:val="0"/>
          <w:sz w:val="22"/>
          <w:szCs w:val="22"/>
          <w14:ligatures w14:val="none"/>
        </w:rPr>
      </w:pPr>
    </w:p>
    <w:p w14:paraId="15A43AFF" w14:textId="77777777" w:rsidR="00166178" w:rsidRDefault="00166178" w:rsidP="00A1082E">
      <w:pPr>
        <w:spacing w:after="0" w:line="360" w:lineRule="auto"/>
        <w:rPr>
          <w:rFonts w:ascii="Arial" w:eastAsia="Times New Roman" w:hAnsi="Arial" w:cs="Arial"/>
          <w:b/>
          <w:bCs/>
          <w:kern w:val="0"/>
          <w:sz w:val="22"/>
          <w:szCs w:val="22"/>
          <w14:ligatures w14:val="none"/>
        </w:rPr>
      </w:pPr>
    </w:p>
    <w:p w14:paraId="0ABF3446" w14:textId="12565915" w:rsidR="00B5353B" w:rsidRPr="00A1082E" w:rsidRDefault="00B5353B" w:rsidP="00A1082E">
      <w:pPr>
        <w:spacing w:after="0" w:line="360" w:lineRule="auto"/>
        <w:rPr>
          <w:rFonts w:ascii="Arial" w:eastAsia="Times New Roman" w:hAnsi="Arial" w:cs="Arial"/>
          <w:b/>
          <w:bCs/>
          <w:kern w:val="0"/>
          <w:sz w:val="22"/>
          <w:szCs w:val="22"/>
          <w14:ligatures w14:val="none"/>
        </w:rPr>
      </w:pPr>
      <w:r w:rsidRPr="00A1082E">
        <w:rPr>
          <w:rFonts w:ascii="Arial" w:eastAsia="Times New Roman" w:hAnsi="Arial" w:cs="Arial"/>
          <w:b/>
          <w:bCs/>
          <w:kern w:val="0"/>
          <w:sz w:val="22"/>
          <w:szCs w:val="22"/>
          <w14:ligatures w14:val="none"/>
        </w:rPr>
        <w:lastRenderedPageBreak/>
        <w:t>Organisational Culture and Change</w:t>
      </w:r>
    </w:p>
    <w:p w14:paraId="6E9427E3" w14:textId="77777777" w:rsidR="00B5353B" w:rsidRPr="00A1082E" w:rsidRDefault="00B5353B" w:rsidP="00A1082E">
      <w:pPr>
        <w:spacing w:after="0" w:line="360" w:lineRule="auto"/>
        <w:rPr>
          <w:rFonts w:ascii="Arial" w:eastAsia="Times New Roman" w:hAnsi="Arial" w:cs="Arial"/>
          <w:kern w:val="0"/>
          <w:sz w:val="22"/>
          <w:szCs w:val="22"/>
          <w14:ligatures w14:val="none"/>
        </w:rPr>
      </w:pPr>
    </w:p>
    <w:p w14:paraId="63B8B1B0" w14:textId="37DB9F2C"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JLR’s culture has historically prioritised engineering excellence and risk aversion. The shift to a more agile, innovative, and client-focused culture is ongoing (Smith &amp; Lewis, 2020). Initiatives such as the JLR Learning Academy, employee recognition programs, and digital innovation labs have supported this transition, with evidence of improvement including increased cross-functional collaboration on digital projects and higher participation rates in digital skills training reported in recent internal company reviews. However, challenges remain. Some older departments find it hard to adjust to new digital priorities, and there is a need to balance tradition with change. To help shift the culture, JLR has introduced practical steps like regular workshops, peer-led digital mentoring, and clear support from leaders for innovative ideas. Sustainability is also promoted through programs that recognise green innovations, regular progress updates, and including green goals in personal reviews. These actions help align rewards and processes with JLR’s main objectives. Ongoing feedback is important for maintaining momentum and reducing resistance (JLR, 2022a; Cameron &amp; Green, 2019). on &amp; Green, 2019).</w:t>
      </w:r>
    </w:p>
    <w:p w14:paraId="02FD3609" w14:textId="77777777" w:rsidR="00B5353B" w:rsidRPr="00A1082E" w:rsidRDefault="00B5353B" w:rsidP="00A1082E">
      <w:pPr>
        <w:spacing w:after="0" w:line="360" w:lineRule="auto"/>
        <w:rPr>
          <w:rFonts w:ascii="Arial" w:eastAsia="Times New Roman" w:hAnsi="Arial" w:cs="Arial"/>
          <w:kern w:val="0"/>
          <w:sz w:val="22"/>
          <w:szCs w:val="22"/>
          <w14:ligatures w14:val="none"/>
        </w:rPr>
      </w:pPr>
    </w:p>
    <w:p w14:paraId="5345C0E6" w14:textId="77777777"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Strategic Change Management Plan</w:t>
      </w:r>
    </w:p>
    <w:p w14:paraId="2500BCE5" w14:textId="77777777" w:rsidR="00B5353B" w:rsidRPr="00A1082E" w:rsidRDefault="00B5353B" w:rsidP="00A1082E">
      <w:pPr>
        <w:spacing w:after="0" w:line="360" w:lineRule="auto"/>
        <w:rPr>
          <w:rFonts w:ascii="Arial" w:eastAsia="Times New Roman" w:hAnsi="Arial" w:cs="Arial"/>
          <w:kern w:val="0"/>
          <w:sz w:val="22"/>
          <w:szCs w:val="22"/>
          <w14:ligatures w14:val="none"/>
        </w:rPr>
      </w:pPr>
    </w:p>
    <w:p w14:paraId="4B3E3E19" w14:textId="36062686"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Objectives</w:t>
      </w:r>
    </w:p>
    <w:p w14:paraId="2DE13207" w14:textId="77777777" w:rsidR="00B5353B" w:rsidRPr="00A1082E" w:rsidRDefault="00B5353B" w:rsidP="00A1082E">
      <w:pPr>
        <w:numPr>
          <w:ilvl w:val="0"/>
          <w:numId w:val="20"/>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Accelerate JLR’s transition to become a digitally enabled, sustainable mobility leader by 2030.</w:t>
      </w:r>
    </w:p>
    <w:p w14:paraId="3349146E" w14:textId="77777777" w:rsidR="00B5353B" w:rsidRPr="00A1082E" w:rsidRDefault="00B5353B" w:rsidP="00A1082E">
      <w:pPr>
        <w:numPr>
          <w:ilvl w:val="0"/>
          <w:numId w:val="20"/>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Achieve net-zero carbon emissions across operations, supply chain, and products by 2039.</w:t>
      </w:r>
    </w:p>
    <w:p w14:paraId="15A18A4B" w14:textId="77777777" w:rsidR="00B5353B" w:rsidRPr="00A1082E" w:rsidRDefault="00B5353B" w:rsidP="00A1082E">
      <w:pPr>
        <w:numPr>
          <w:ilvl w:val="0"/>
          <w:numId w:val="20"/>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Increase the share of EV and hybrid vehicles to 60% of total sales by 2028. (Rover, 2026)</w:t>
      </w:r>
    </w:p>
    <w:p w14:paraId="714319EA" w14:textId="77777777" w:rsidR="00B5353B" w:rsidRPr="00A1082E" w:rsidRDefault="00B5353B" w:rsidP="00A1082E">
      <w:pPr>
        <w:numPr>
          <w:ilvl w:val="0"/>
          <w:numId w:val="20"/>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Improve digital customer experiences, aiming for a 20% increase in digital sales channels within three years. (Rover, 2024)</w:t>
      </w:r>
    </w:p>
    <w:p w14:paraId="533ED496" w14:textId="77777777" w:rsidR="00B5353B" w:rsidRPr="00A1082E" w:rsidRDefault="00B5353B" w:rsidP="00A1082E">
      <w:pPr>
        <w:numPr>
          <w:ilvl w:val="0"/>
          <w:numId w:val="20"/>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Improve workforce digital skills, with 90% of employees completing advanced digital training by 2027. (Rover, 2022)</w:t>
      </w:r>
    </w:p>
    <w:p w14:paraId="37BF8AC8" w14:textId="2C6E5F14"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Guaranteeing Financial Sustainability Amid Unpredictable Returns</w:t>
      </w:r>
    </w:p>
    <w:p w14:paraId="6D622275" w14:textId="77777777"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Transforming the automotive industry on a large scale, like JLR’s move to electrification and digitalisation, needs significant upfront investment. There is a real risk that these investments might not pay off because of market changes, new technology, and shifting </w:t>
      </w:r>
      <w:r w:rsidRPr="00A1082E">
        <w:rPr>
          <w:rFonts w:ascii="Arial" w:eastAsia="Times New Roman" w:hAnsi="Arial" w:cs="Arial"/>
          <w:kern w:val="0"/>
          <w:sz w:val="22"/>
          <w:szCs w:val="22"/>
          <w14:ligatures w14:val="none"/>
        </w:rPr>
        <w:lastRenderedPageBreak/>
        <w:t>customer preferences (Deloitte, 2022). To reduce these financial risks, JLR will use a phased investment approach, releasing funds step by step as key milestones and performance goals are met. This lets JLR track results, limit financial risk, and adjust or redirect resources as needed. Along with phased investment, JLR will also use the following strategies to further protect its financial stability:</w:t>
      </w:r>
    </w:p>
    <w:p w14:paraId="2BD0628A" w14:textId="77777777" w:rsidR="00B5353B" w:rsidRPr="00A1082E" w:rsidRDefault="00B5353B" w:rsidP="00A1082E">
      <w:pPr>
        <w:spacing w:after="0" w:line="360" w:lineRule="auto"/>
        <w:rPr>
          <w:rFonts w:ascii="Arial" w:eastAsia="Times New Roman" w:hAnsi="Arial" w:cs="Arial"/>
          <w:kern w:val="0"/>
          <w:sz w:val="22"/>
          <w:szCs w:val="22"/>
          <w14:ligatures w14:val="none"/>
        </w:rPr>
      </w:pPr>
    </w:p>
    <w:p w14:paraId="791C9DEF" w14:textId="68D0C2DC"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1. Phased Investment and Milestone Reviews</w:t>
      </w:r>
    </w:p>
    <w:p w14:paraId="59E3DDB2" w14:textId="77777777" w:rsidR="00B5353B" w:rsidRPr="00A1082E" w:rsidRDefault="00B5353B" w:rsidP="00A1082E">
      <w:pPr>
        <w:numPr>
          <w:ilvl w:val="0"/>
          <w:numId w:val="21"/>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JLR will adopt a staged investment approach, releasing funds in phases linked to clear performance milestones (e.g., EV sales targets, production cost reductions, customer digital engagement metrics).</w:t>
      </w:r>
    </w:p>
    <w:p w14:paraId="3ADCC25B" w14:textId="77777777" w:rsidR="00B5353B" w:rsidRPr="00A1082E" w:rsidRDefault="00B5353B" w:rsidP="00A1082E">
      <w:pPr>
        <w:numPr>
          <w:ilvl w:val="0"/>
          <w:numId w:val="21"/>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Regular milestone and progress reviews will allow JLR to re-evaluate or halt underperforming projects, reassigning resources to areas showing stronger returns or strategic consistency (JLR, 2021a).</w:t>
      </w:r>
    </w:p>
    <w:p w14:paraId="0E3AD445" w14:textId="77777777" w:rsidR="00166178" w:rsidRDefault="00166178" w:rsidP="00A1082E">
      <w:pPr>
        <w:spacing w:before="120" w:after="120" w:line="360" w:lineRule="auto"/>
        <w:rPr>
          <w:rFonts w:ascii="Arial" w:eastAsia="Times New Roman" w:hAnsi="Arial" w:cs="Arial"/>
          <w:b/>
          <w:bCs/>
          <w:kern w:val="0"/>
          <w:sz w:val="22"/>
          <w:szCs w:val="22"/>
          <w14:ligatures w14:val="none"/>
        </w:rPr>
      </w:pPr>
    </w:p>
    <w:p w14:paraId="0B652C04" w14:textId="5877FD3C"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2. Portfolio Diversification</w:t>
      </w:r>
    </w:p>
    <w:p w14:paraId="43564FAC" w14:textId="77777777" w:rsidR="00B5353B" w:rsidRPr="00A1082E" w:rsidRDefault="00B5353B" w:rsidP="00A1082E">
      <w:pPr>
        <w:numPr>
          <w:ilvl w:val="0"/>
          <w:numId w:val="22"/>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JLR will maintain a balanced portfolio, continuing to serve profitable ICE and hybrid markets in parallel with new EV initiatives, decreasing dependence on any single technology or region. (Jaguar Land Rover Reimagines the Future of Current Luxury by Design, 2021)</w:t>
      </w:r>
    </w:p>
    <w:p w14:paraId="39ED404D" w14:textId="77777777" w:rsidR="00B5353B" w:rsidRDefault="00B5353B" w:rsidP="00A1082E">
      <w:pPr>
        <w:numPr>
          <w:ilvl w:val="0"/>
          <w:numId w:val="22"/>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The company will also expand into new digital services and mobility solutions, diversifying revenue streams (PwC, 2023). (Newsroom, 2023)</w:t>
      </w:r>
    </w:p>
    <w:p w14:paraId="26DB8336" w14:textId="77777777" w:rsidR="00166178" w:rsidRPr="00A1082E" w:rsidRDefault="00166178" w:rsidP="00A1082E">
      <w:pPr>
        <w:numPr>
          <w:ilvl w:val="0"/>
          <w:numId w:val="22"/>
        </w:numPr>
        <w:spacing w:before="120" w:after="120" w:line="360" w:lineRule="auto"/>
        <w:rPr>
          <w:rFonts w:ascii="Arial" w:eastAsia="Times New Roman" w:hAnsi="Arial" w:cs="Arial"/>
          <w:kern w:val="0"/>
          <w:sz w:val="22"/>
          <w:szCs w:val="22"/>
          <w14:ligatures w14:val="none"/>
        </w:rPr>
      </w:pPr>
    </w:p>
    <w:p w14:paraId="3CBEBFE7" w14:textId="5DC89221"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3. Cost Optimisation and Operational Efficiency</w:t>
      </w:r>
    </w:p>
    <w:p w14:paraId="7CD4CA7F" w14:textId="77777777" w:rsidR="00B5353B" w:rsidRPr="00A1082E" w:rsidRDefault="00B5353B" w:rsidP="00A1082E">
      <w:pPr>
        <w:numPr>
          <w:ilvl w:val="0"/>
          <w:numId w:val="23"/>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Ongoing cost control measures—including process automation, supply chain rationalisation, and fixed cost reduction—will help preserve margins even if new investments underperform (JLR, 2021b).</w:t>
      </w:r>
    </w:p>
    <w:p w14:paraId="16B044AB" w14:textId="77777777" w:rsidR="00B5353B" w:rsidRDefault="00B5353B" w:rsidP="00A1082E">
      <w:pPr>
        <w:numPr>
          <w:ilvl w:val="0"/>
          <w:numId w:val="23"/>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Strategic partnerships and joint ventures will be leveraged to share R&amp;D and capital costs, minimising financial exposure. (Jaguar Land Rover &amp; BMW Group Announce Collaboration for Next Generation Electrification Technology, 2019)</w:t>
      </w:r>
    </w:p>
    <w:p w14:paraId="5849AA73" w14:textId="77777777" w:rsidR="00166178" w:rsidRDefault="00166178" w:rsidP="00166178">
      <w:pPr>
        <w:spacing w:before="120" w:after="120" w:line="360" w:lineRule="auto"/>
        <w:rPr>
          <w:rFonts w:ascii="Arial" w:eastAsia="Times New Roman" w:hAnsi="Arial" w:cs="Arial"/>
          <w:kern w:val="0"/>
          <w:sz w:val="22"/>
          <w:szCs w:val="22"/>
          <w14:ligatures w14:val="none"/>
        </w:rPr>
      </w:pPr>
    </w:p>
    <w:p w14:paraId="7A70ED10" w14:textId="77777777" w:rsidR="00166178" w:rsidRDefault="00166178" w:rsidP="00166178">
      <w:pPr>
        <w:spacing w:before="120" w:after="120" w:line="360" w:lineRule="auto"/>
        <w:rPr>
          <w:rFonts w:ascii="Arial" w:eastAsia="Times New Roman" w:hAnsi="Arial" w:cs="Arial"/>
          <w:kern w:val="0"/>
          <w:sz w:val="22"/>
          <w:szCs w:val="22"/>
          <w14:ligatures w14:val="none"/>
        </w:rPr>
      </w:pPr>
    </w:p>
    <w:p w14:paraId="0B27E854" w14:textId="77777777" w:rsidR="00166178" w:rsidRPr="00A1082E" w:rsidRDefault="00166178" w:rsidP="00166178">
      <w:pPr>
        <w:spacing w:before="120" w:after="120" w:line="360" w:lineRule="auto"/>
        <w:rPr>
          <w:rFonts w:ascii="Arial" w:eastAsia="Times New Roman" w:hAnsi="Arial" w:cs="Arial"/>
          <w:kern w:val="0"/>
          <w:sz w:val="22"/>
          <w:szCs w:val="22"/>
          <w14:ligatures w14:val="none"/>
        </w:rPr>
      </w:pPr>
    </w:p>
    <w:p w14:paraId="0583C700" w14:textId="0347001C"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lastRenderedPageBreak/>
        <w:t>4. Access to External Funding</w:t>
      </w:r>
    </w:p>
    <w:p w14:paraId="2B75F543" w14:textId="77777777" w:rsidR="00B5353B" w:rsidRPr="00A1082E" w:rsidRDefault="00B5353B" w:rsidP="00A1082E">
      <w:pPr>
        <w:numPr>
          <w:ilvl w:val="0"/>
          <w:numId w:val="24"/>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JLR will aggressively pursue government green grants, innovation subsidies, and low-interest loans from UK and EU sources to support transformative projects, reducing the burden on internal cash flow (UK Government, 2020; Tata Motors, 2022).</w:t>
      </w:r>
    </w:p>
    <w:p w14:paraId="66DAEB0E" w14:textId="77777777" w:rsidR="00B5353B" w:rsidRPr="00A1082E" w:rsidRDefault="00B5353B" w:rsidP="00A1082E">
      <w:pPr>
        <w:numPr>
          <w:ilvl w:val="0"/>
          <w:numId w:val="24"/>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Collaborations with financial partners and technology providers will also be explored for co-investment and risk sharing. (Rover &amp; Group, 2019)</w:t>
      </w:r>
    </w:p>
    <w:p w14:paraId="558A8C1C" w14:textId="7778555E"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5. Scenario Planning and Financial Stress Testing</w:t>
      </w:r>
    </w:p>
    <w:p w14:paraId="3F2DFB0B" w14:textId="7D436A39" w:rsidR="00B5353B" w:rsidRPr="00A1082E" w:rsidRDefault="00B5353B" w:rsidP="00A1082E">
      <w:pPr>
        <w:numPr>
          <w:ilvl w:val="0"/>
          <w:numId w:val="25"/>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The finance team will conduct regular scenario planning and stress testing to anticipate potential shortfalls, enabling rapid adjustments to capital allocation and cost structures.</w:t>
      </w:r>
    </w:p>
    <w:p w14:paraId="382E3951" w14:textId="77777777" w:rsidR="00B5353B" w:rsidRPr="00A1082E" w:rsidRDefault="00B5353B" w:rsidP="00A1082E">
      <w:pPr>
        <w:numPr>
          <w:ilvl w:val="0"/>
          <w:numId w:val="25"/>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Contingency plans will be in place to scale back or pivot transformation efforts if key metrics are not met (Deloitte, 2022; 2022 Chief Transformation Officer Study).</w:t>
      </w:r>
    </w:p>
    <w:p w14:paraId="6843FE75" w14:textId="6059BACE"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6. Continuous Monitoring and Transparency</w:t>
      </w:r>
    </w:p>
    <w:p w14:paraId="1385AF2A" w14:textId="77777777" w:rsidR="00B5353B" w:rsidRPr="00A1082E" w:rsidRDefault="00B5353B" w:rsidP="00A1082E">
      <w:pPr>
        <w:numPr>
          <w:ilvl w:val="0"/>
          <w:numId w:val="26"/>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Financial KPIs related to transformation projects will be closely tracked through dashboards and reported transparently to the board and shareholders.</w:t>
      </w:r>
    </w:p>
    <w:p w14:paraId="5878DA14" w14:textId="77777777" w:rsidR="00B5353B" w:rsidRPr="00A1082E" w:rsidRDefault="00B5353B" w:rsidP="00A1082E">
      <w:pPr>
        <w:numPr>
          <w:ilvl w:val="0"/>
          <w:numId w:val="26"/>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Early warning signals (e.g., cash burn rates, ROI slippage, market uptake) will trigger pre-defined mitigation actions. (Jaguar Land Rover Reports Positive Cashflow and Profit Margin in the Fourth Quarter, 2022)</w:t>
      </w:r>
    </w:p>
    <w:p w14:paraId="5BBE5604" w14:textId="2F53160C"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Addressing Employee Resistance and Cultural Inertia During Digital Transformation</w:t>
      </w:r>
    </w:p>
    <w:p w14:paraId="5AB1F0D5" w14:textId="77777777"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Persistent employee resistance and cultural inertia are common obstacles in large-scale digital transformations, especially in organisations with a strong legacy and traditional engineering culture like JLR (Cameron &amp; Green, 2019). To overcome these challenges, JLR will implement a multi-faceted approach:</w:t>
      </w:r>
    </w:p>
    <w:p w14:paraId="44C3E846" w14:textId="77777777" w:rsidR="00B5353B" w:rsidRPr="00A1082E" w:rsidRDefault="00B5353B" w:rsidP="00A1082E">
      <w:pPr>
        <w:spacing w:after="0" w:line="360" w:lineRule="auto"/>
        <w:rPr>
          <w:rFonts w:ascii="Arial" w:eastAsia="Times New Roman" w:hAnsi="Arial" w:cs="Arial"/>
          <w:kern w:val="0"/>
          <w:sz w:val="22"/>
          <w:szCs w:val="22"/>
          <w14:ligatures w14:val="none"/>
        </w:rPr>
      </w:pPr>
    </w:p>
    <w:p w14:paraId="295AB51F" w14:textId="7770FDC2"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1. Leadership Commitment and Visible Sponsorship</w:t>
      </w:r>
    </w:p>
    <w:p w14:paraId="17E336F6" w14:textId="77777777" w:rsidR="00B5353B" w:rsidRPr="00A1082E" w:rsidRDefault="00B5353B" w:rsidP="00A1082E">
      <w:pPr>
        <w:numPr>
          <w:ilvl w:val="0"/>
          <w:numId w:val="27"/>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Senior leaders, including the CEO and executive team, will act as transformation champions—regularly communicating the vision, modelling desired digital behaviours, and acknowledging the difficulties of change.</w:t>
      </w:r>
    </w:p>
    <w:p w14:paraId="604B5134" w14:textId="77777777" w:rsidR="00B5353B" w:rsidRDefault="00B5353B" w:rsidP="00A1082E">
      <w:pPr>
        <w:numPr>
          <w:ilvl w:val="0"/>
          <w:numId w:val="27"/>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Leaders will participate in training and digital initiatives, setting an example for the wider organisation (Kotter, 2012).</w:t>
      </w:r>
    </w:p>
    <w:p w14:paraId="0414F79D" w14:textId="77777777" w:rsidR="00166178" w:rsidRPr="00A1082E" w:rsidRDefault="00166178" w:rsidP="00166178">
      <w:pPr>
        <w:spacing w:before="120" w:after="120" w:line="360" w:lineRule="auto"/>
        <w:rPr>
          <w:rFonts w:ascii="Arial" w:eastAsia="Times New Roman" w:hAnsi="Arial" w:cs="Arial"/>
          <w:kern w:val="0"/>
          <w:sz w:val="22"/>
          <w:szCs w:val="22"/>
          <w14:ligatures w14:val="none"/>
        </w:rPr>
      </w:pPr>
    </w:p>
    <w:p w14:paraId="256C9CA1" w14:textId="4477201E"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lastRenderedPageBreak/>
        <w:t>2. Comprehensive Change Communication</w:t>
      </w:r>
    </w:p>
    <w:p w14:paraId="52C1935F" w14:textId="77777777" w:rsidR="00B5353B" w:rsidRPr="00A1082E" w:rsidRDefault="00B5353B" w:rsidP="00A1082E">
      <w:pPr>
        <w:numPr>
          <w:ilvl w:val="0"/>
          <w:numId w:val="28"/>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JLR will maintain transparent, two-way communication about the reasons for change, benefits, progress, and challenges through town halls, digital platforms, and feedback forums.</w:t>
      </w:r>
    </w:p>
    <w:p w14:paraId="10CF2A17" w14:textId="77777777" w:rsidR="00B5353B" w:rsidRPr="00A1082E" w:rsidRDefault="00B5353B" w:rsidP="00A1082E">
      <w:pPr>
        <w:numPr>
          <w:ilvl w:val="0"/>
          <w:numId w:val="28"/>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Concerns and resistance will be acknowledged openly, and success stories will be highlighted to reinforce positive change.</w:t>
      </w:r>
    </w:p>
    <w:p w14:paraId="0C33FACA" w14:textId="610D71CC"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3. Employee Involvement and Ownership</w:t>
      </w:r>
    </w:p>
    <w:p w14:paraId="4128D460" w14:textId="77777777" w:rsidR="00B5353B" w:rsidRPr="00A1082E" w:rsidRDefault="00B5353B" w:rsidP="00A1082E">
      <w:pPr>
        <w:numPr>
          <w:ilvl w:val="0"/>
          <w:numId w:val="29"/>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Employees at all levels will be involved early through cross-functional digital projects, pilot programmes, and innovation labs.</w:t>
      </w:r>
    </w:p>
    <w:p w14:paraId="7BF01AFC" w14:textId="77777777" w:rsidR="00B5353B" w:rsidRPr="00A1082E" w:rsidRDefault="00B5353B" w:rsidP="00A1082E">
      <w:pPr>
        <w:numPr>
          <w:ilvl w:val="0"/>
          <w:numId w:val="29"/>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“Change champions” and digital ambassadors will be appointed in each department to facilitate local engagement and feedback.</w:t>
      </w:r>
    </w:p>
    <w:p w14:paraId="77B2C7B8" w14:textId="45483513"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4. Upskilling and Support</w:t>
      </w:r>
    </w:p>
    <w:p w14:paraId="20A4DBA7" w14:textId="77777777" w:rsidR="00B5353B" w:rsidRPr="00A1082E" w:rsidRDefault="00B5353B" w:rsidP="00A1082E">
      <w:pPr>
        <w:numPr>
          <w:ilvl w:val="0"/>
          <w:numId w:val="30"/>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JLR will expand digital literacy and skills training through the Learning Academy, offering tailored programs for different roles and levels.</w:t>
      </w:r>
    </w:p>
    <w:p w14:paraId="0D778293" w14:textId="77777777" w:rsidR="00B5353B" w:rsidRPr="00A1082E" w:rsidRDefault="00B5353B" w:rsidP="00A1082E">
      <w:pPr>
        <w:numPr>
          <w:ilvl w:val="0"/>
          <w:numId w:val="30"/>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Coaching, mentoring, and peer support networks will be established to help employees adapt to new systems and processes.</w:t>
      </w:r>
    </w:p>
    <w:p w14:paraId="4D5F63AA" w14:textId="035E3A58"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5. Addressing Fears and Misconceptions</w:t>
      </w:r>
    </w:p>
    <w:p w14:paraId="7FCD2B62" w14:textId="77777777" w:rsidR="00B5353B" w:rsidRPr="00A1082E" w:rsidRDefault="00B5353B" w:rsidP="00A1082E">
      <w:pPr>
        <w:numPr>
          <w:ilvl w:val="0"/>
          <w:numId w:val="31"/>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Dedicated Q&amp;A sessions, myth-busting communications, and individual meetings will address fears (such as job loss or obsolescence) and clarify the opportunities digital transformation offers.</w:t>
      </w:r>
    </w:p>
    <w:p w14:paraId="32FB8EA2" w14:textId="7D065432"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6. Aligning Incentives and Recognition</w:t>
      </w:r>
    </w:p>
    <w:p w14:paraId="779BA441" w14:textId="77777777" w:rsidR="00B5353B" w:rsidRPr="00A1082E" w:rsidRDefault="00B5353B" w:rsidP="00A1082E">
      <w:pPr>
        <w:numPr>
          <w:ilvl w:val="0"/>
          <w:numId w:val="32"/>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Performance evaluations, KPIs, and reward systems will be updated to incentivise digital adoption and innovative thinking.</w:t>
      </w:r>
    </w:p>
    <w:p w14:paraId="084A6ED3" w14:textId="77777777" w:rsidR="00B5353B" w:rsidRPr="00A1082E" w:rsidRDefault="00B5353B" w:rsidP="00A1082E">
      <w:pPr>
        <w:numPr>
          <w:ilvl w:val="0"/>
          <w:numId w:val="32"/>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Recognition programs will celebrate early adopters, digital innovators, and successful teams.</w:t>
      </w:r>
    </w:p>
    <w:p w14:paraId="005CE9BF" w14:textId="2A8A5192"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7. Continuous Feedback and Iteration</w:t>
      </w:r>
    </w:p>
    <w:p w14:paraId="0780032E" w14:textId="77777777" w:rsidR="00B5353B" w:rsidRPr="00A1082E" w:rsidRDefault="00B5353B" w:rsidP="00A1082E">
      <w:pPr>
        <w:numPr>
          <w:ilvl w:val="0"/>
          <w:numId w:val="33"/>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Regular surveys, pulse checks, and feedback loops will monitor resistance and adaptation, enabling rapid response to emerging concerns.</w:t>
      </w:r>
    </w:p>
    <w:p w14:paraId="0E4894D7" w14:textId="77777777" w:rsidR="00B5353B" w:rsidRDefault="00B5353B" w:rsidP="00A1082E">
      <w:pPr>
        <w:numPr>
          <w:ilvl w:val="0"/>
          <w:numId w:val="33"/>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Lessons learned will inform ongoing adjustments to the transformation approach.</w:t>
      </w:r>
    </w:p>
    <w:p w14:paraId="50C787FA" w14:textId="77777777" w:rsidR="00166178" w:rsidRDefault="00166178" w:rsidP="00166178">
      <w:pPr>
        <w:spacing w:before="120" w:after="120" w:line="360" w:lineRule="auto"/>
        <w:rPr>
          <w:rFonts w:ascii="Arial" w:eastAsia="Times New Roman" w:hAnsi="Arial" w:cs="Arial"/>
          <w:kern w:val="0"/>
          <w:sz w:val="22"/>
          <w:szCs w:val="22"/>
          <w14:ligatures w14:val="none"/>
        </w:rPr>
      </w:pPr>
    </w:p>
    <w:p w14:paraId="6762226B" w14:textId="77777777" w:rsidR="00166178" w:rsidRPr="00A1082E" w:rsidRDefault="00166178" w:rsidP="00166178">
      <w:pPr>
        <w:spacing w:before="120" w:after="120" w:line="360" w:lineRule="auto"/>
        <w:rPr>
          <w:rFonts w:ascii="Arial" w:eastAsia="Times New Roman" w:hAnsi="Arial" w:cs="Arial"/>
          <w:kern w:val="0"/>
          <w:sz w:val="22"/>
          <w:szCs w:val="22"/>
          <w14:ligatures w14:val="none"/>
        </w:rPr>
      </w:pPr>
    </w:p>
    <w:p w14:paraId="7DB7D642" w14:textId="1182A8FE"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lastRenderedPageBreak/>
        <w:t>8. Embedding Change in Organisational Culture</w:t>
      </w:r>
    </w:p>
    <w:p w14:paraId="10A394B2" w14:textId="77777777" w:rsidR="00B5353B" w:rsidRPr="00A1082E" w:rsidRDefault="00B5353B" w:rsidP="00A1082E">
      <w:pPr>
        <w:numPr>
          <w:ilvl w:val="0"/>
          <w:numId w:val="34"/>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JLR will reinforce a growth mindset and continuous learning culture, encouraging calculated risk-taking and experimentation.</w:t>
      </w:r>
    </w:p>
    <w:p w14:paraId="3F7516BB" w14:textId="77777777" w:rsidR="00B5353B" w:rsidRPr="00A1082E" w:rsidRDefault="00B5353B" w:rsidP="00A1082E">
      <w:pPr>
        <w:numPr>
          <w:ilvl w:val="0"/>
          <w:numId w:val="34"/>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Cultural values and narratives will be redefined to position digital innovation as central to JLR’s identity (Smith &amp; Lewis, 2020).</w:t>
      </w:r>
    </w:p>
    <w:p w14:paraId="11DD448C" w14:textId="09F5DD2D"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Strategy</w:t>
      </w:r>
    </w:p>
    <w:p w14:paraId="709B5C0A" w14:textId="77777777" w:rsidR="00B5353B" w:rsidRPr="00A1082E" w:rsidRDefault="00B5353B" w:rsidP="00A1082E">
      <w:pPr>
        <w:numPr>
          <w:ilvl w:val="0"/>
          <w:numId w:val="35"/>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Expand AI and digital capabilities in product development, manufacturing, and customer experience.</w:t>
      </w:r>
    </w:p>
    <w:p w14:paraId="1326D9C8" w14:textId="77777777" w:rsidR="00B5353B" w:rsidRPr="00A1082E" w:rsidRDefault="00B5353B" w:rsidP="00A1082E">
      <w:pPr>
        <w:numPr>
          <w:ilvl w:val="0"/>
          <w:numId w:val="35"/>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Accelerate the rollout of new EV and hybrid models, leveraging partnerships and in-house R&amp;D.</w:t>
      </w:r>
    </w:p>
    <w:p w14:paraId="547D81BB" w14:textId="77777777" w:rsidR="00B5353B" w:rsidRPr="00A1082E" w:rsidRDefault="00B5353B" w:rsidP="00A1082E">
      <w:pPr>
        <w:numPr>
          <w:ilvl w:val="0"/>
          <w:numId w:val="35"/>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Integrate digital platforms for sales, aftersales, and mobility services.</w:t>
      </w:r>
    </w:p>
    <w:p w14:paraId="412BCD11" w14:textId="77777777" w:rsidR="00B5353B" w:rsidRPr="00A1082E" w:rsidRDefault="00B5353B" w:rsidP="00A1082E">
      <w:pPr>
        <w:numPr>
          <w:ilvl w:val="0"/>
          <w:numId w:val="35"/>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Foster a culture of innovation and continuous learning via internal academies and open forums.</w:t>
      </w:r>
    </w:p>
    <w:p w14:paraId="494659B2" w14:textId="5A35D0A2"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Financial Plan</w:t>
      </w:r>
    </w:p>
    <w:p w14:paraId="2AEBD2F6" w14:textId="77777777"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JLR has committed over £2.5 billion annually to electrification and digital transformation initiatives (JLR, 2021b). The financial plan includes:</w:t>
      </w:r>
    </w:p>
    <w:p w14:paraId="34090448" w14:textId="77777777" w:rsidR="00B5353B" w:rsidRPr="00A1082E" w:rsidRDefault="00B5353B" w:rsidP="00A1082E">
      <w:pPr>
        <w:numPr>
          <w:ilvl w:val="0"/>
          <w:numId w:val="36"/>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Targeted investment in battery and AI technology R&amp;D.</w:t>
      </w:r>
    </w:p>
    <w:p w14:paraId="58F5FA9F" w14:textId="77777777" w:rsidR="00B5353B" w:rsidRPr="00A1082E" w:rsidRDefault="00B5353B" w:rsidP="00A1082E">
      <w:pPr>
        <w:numPr>
          <w:ilvl w:val="0"/>
          <w:numId w:val="36"/>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Capital allocation for upgrading manufacturing facilities to support EV production.</w:t>
      </w:r>
    </w:p>
    <w:p w14:paraId="6F9C9600" w14:textId="77777777" w:rsidR="00B5353B" w:rsidRPr="00A1082E" w:rsidRDefault="00B5353B" w:rsidP="00A1082E">
      <w:pPr>
        <w:numPr>
          <w:ilvl w:val="0"/>
          <w:numId w:val="36"/>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Pursuit of UK government grants, EU green financing, and strategic partnerships (UK Government, 2020).</w:t>
      </w:r>
    </w:p>
    <w:p w14:paraId="653381F2" w14:textId="77777777" w:rsidR="00B5353B" w:rsidRPr="00A1082E" w:rsidRDefault="00B5353B" w:rsidP="00A1082E">
      <w:pPr>
        <w:numPr>
          <w:ilvl w:val="0"/>
          <w:numId w:val="36"/>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Implementation of phased investment to manage risk and ensure return on investment, with regular financial reviews.</w:t>
      </w:r>
    </w:p>
    <w:p w14:paraId="55D8267E" w14:textId="77777777"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Cost savings will be achieved through process automation, supply chain optimisation, and digital sales channels, offsetting initial investments (Deloitte, 2022).</w:t>
      </w:r>
    </w:p>
    <w:p w14:paraId="7FDDC174" w14:textId="77777777" w:rsidR="00B5353B" w:rsidRPr="00A1082E" w:rsidRDefault="00B5353B" w:rsidP="00A1082E">
      <w:pPr>
        <w:spacing w:after="0" w:line="360" w:lineRule="auto"/>
        <w:rPr>
          <w:rFonts w:ascii="Arial" w:eastAsia="Times New Roman" w:hAnsi="Arial" w:cs="Arial"/>
          <w:kern w:val="0"/>
          <w:sz w:val="22"/>
          <w:szCs w:val="22"/>
          <w14:ligatures w14:val="none"/>
        </w:rPr>
      </w:pPr>
    </w:p>
    <w:p w14:paraId="05FE961C" w14:textId="60498770"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Communication Plan</w:t>
      </w:r>
    </w:p>
    <w:p w14:paraId="12D166A6" w14:textId="77777777" w:rsidR="00B5353B" w:rsidRPr="00A1082E" w:rsidRDefault="00B5353B" w:rsidP="00A1082E">
      <w:pPr>
        <w:numPr>
          <w:ilvl w:val="0"/>
          <w:numId w:val="37"/>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Internal:</w:t>
      </w:r>
      <w:r w:rsidRPr="00A1082E">
        <w:rPr>
          <w:rFonts w:ascii="Arial" w:eastAsia="Times New Roman" w:hAnsi="Arial" w:cs="Arial"/>
          <w:kern w:val="0"/>
          <w:sz w:val="22"/>
          <w:szCs w:val="22"/>
          <w14:ligatures w14:val="none"/>
        </w:rPr>
        <w:t xml:space="preserve"> Regular updates via intranet, digital town halls, newsletters, and workshops. Open channels for employee feedback (surveys, focus groups).</w:t>
      </w:r>
    </w:p>
    <w:p w14:paraId="065BA3CF" w14:textId="77777777" w:rsidR="00B5353B" w:rsidRPr="00A1082E" w:rsidRDefault="00B5353B" w:rsidP="00A1082E">
      <w:pPr>
        <w:numPr>
          <w:ilvl w:val="0"/>
          <w:numId w:val="37"/>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External:</w:t>
      </w:r>
      <w:r w:rsidRPr="00A1082E">
        <w:rPr>
          <w:rFonts w:ascii="Arial" w:eastAsia="Times New Roman" w:hAnsi="Arial" w:cs="Arial"/>
          <w:kern w:val="0"/>
          <w:sz w:val="22"/>
          <w:szCs w:val="22"/>
          <w14:ligatures w14:val="none"/>
        </w:rPr>
        <w:t xml:space="preserve"> Stakeholder briefings, investor reports, press releases, digital marketing campaigns, and customer sustainability reports.</w:t>
      </w:r>
    </w:p>
    <w:p w14:paraId="53C3D472" w14:textId="77777777" w:rsidR="00B5353B" w:rsidRPr="00A1082E" w:rsidRDefault="00B5353B" w:rsidP="00A1082E">
      <w:pPr>
        <w:numPr>
          <w:ilvl w:val="0"/>
          <w:numId w:val="37"/>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lastRenderedPageBreak/>
        <w:t>Engagement:</w:t>
      </w:r>
      <w:r w:rsidRPr="00A1082E">
        <w:rPr>
          <w:rFonts w:ascii="Arial" w:eastAsia="Times New Roman" w:hAnsi="Arial" w:cs="Arial"/>
          <w:kern w:val="0"/>
          <w:sz w:val="22"/>
          <w:szCs w:val="22"/>
          <w14:ligatures w14:val="none"/>
        </w:rPr>
        <w:t xml:space="preserve"> Two-way communication platforms to identify resistance, gather input, and celebrate achievements. Change champions and digital ambassadors will be appointed across departments (Kotter, 2012).</w:t>
      </w:r>
    </w:p>
    <w:p w14:paraId="65139F8C" w14:textId="77777777"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Stakeholder Engagement</w:t>
      </w:r>
    </w:p>
    <w:p w14:paraId="1D4019FC" w14:textId="00B61A17"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Engaging External Stakeholders Throughout the Transformation</w:t>
      </w:r>
    </w:p>
    <w:p w14:paraId="3F3191F1" w14:textId="77777777"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Suppliers:</w:t>
      </w:r>
    </w:p>
    <w:p w14:paraId="6BB8A9A2" w14:textId="77777777" w:rsidR="00B5353B" w:rsidRPr="00A1082E" w:rsidRDefault="00B5353B" w:rsidP="00A1082E">
      <w:pPr>
        <w:numPr>
          <w:ilvl w:val="0"/>
          <w:numId w:val="38"/>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Early Involvement:</w:t>
      </w:r>
      <w:r w:rsidRPr="00A1082E">
        <w:rPr>
          <w:rFonts w:ascii="Arial" w:eastAsia="Times New Roman" w:hAnsi="Arial" w:cs="Arial"/>
          <w:kern w:val="0"/>
          <w:sz w:val="22"/>
          <w:szCs w:val="22"/>
          <w14:ligatures w14:val="none"/>
        </w:rPr>
        <w:t xml:space="preserve"> JLR will involve key suppliers from the outset of the transformation process, particularly in areas such as electrification, battery technology, and digital integration. Early engagement ensures suppliers understand JLR’s strategic objectives and can align their own innovation and investment plans accordingly (Deloitte, 2022).</w:t>
      </w:r>
    </w:p>
    <w:p w14:paraId="265098F3" w14:textId="77777777" w:rsidR="00B5353B" w:rsidRPr="00A1082E" w:rsidRDefault="00B5353B" w:rsidP="00A1082E">
      <w:pPr>
        <w:numPr>
          <w:ilvl w:val="0"/>
          <w:numId w:val="38"/>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Collaborative Innovation:</w:t>
      </w:r>
      <w:r w:rsidRPr="00A1082E">
        <w:rPr>
          <w:rFonts w:ascii="Arial" w:eastAsia="Times New Roman" w:hAnsi="Arial" w:cs="Arial"/>
          <w:kern w:val="0"/>
          <w:sz w:val="22"/>
          <w:szCs w:val="22"/>
          <w14:ligatures w14:val="none"/>
        </w:rPr>
        <w:t xml:space="preserve"> JLR will foster open innovation workshops and technical forums with strategic suppliers to co-develop new EV components, lightweight materials, and digital platforms. These partnerships will help drive process improvements, ensure supply chain resilience, and accelerate the adoption of sustainable practices (JLR, 2023b).</w:t>
      </w:r>
    </w:p>
    <w:p w14:paraId="7D0867BC" w14:textId="77777777" w:rsidR="00B5353B" w:rsidRPr="00A1082E" w:rsidRDefault="00B5353B" w:rsidP="00A1082E">
      <w:pPr>
        <w:numPr>
          <w:ilvl w:val="0"/>
          <w:numId w:val="38"/>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Performance &amp; Sustainability Alignment:</w:t>
      </w:r>
      <w:r w:rsidRPr="00A1082E">
        <w:rPr>
          <w:rFonts w:ascii="Arial" w:eastAsia="Times New Roman" w:hAnsi="Arial" w:cs="Arial"/>
          <w:kern w:val="0"/>
          <w:sz w:val="22"/>
          <w:szCs w:val="22"/>
          <w14:ligatures w14:val="none"/>
        </w:rPr>
        <w:t xml:space="preserve"> Supplier contracts and scorecards will be updated to include digital capability, sustainability, and agility metrics. JLR will offer training and capability-building programs to help suppliers meet new technical and environmental standards.</w:t>
      </w:r>
    </w:p>
    <w:p w14:paraId="46807FBF" w14:textId="77777777" w:rsidR="00B5353B" w:rsidRPr="00A1082E" w:rsidRDefault="00B5353B" w:rsidP="00A1082E">
      <w:pPr>
        <w:numPr>
          <w:ilvl w:val="0"/>
          <w:numId w:val="38"/>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Regular Communication:</w:t>
      </w:r>
      <w:r w:rsidRPr="00A1082E">
        <w:rPr>
          <w:rFonts w:ascii="Arial" w:eastAsia="Times New Roman" w:hAnsi="Arial" w:cs="Arial"/>
          <w:kern w:val="0"/>
          <w:sz w:val="22"/>
          <w:szCs w:val="22"/>
          <w14:ligatures w14:val="none"/>
        </w:rPr>
        <w:t xml:space="preserve"> Quarterly supplier summits and digital communication platforms will provide updates on transformation progress, gather feedback, and address concerns. Dedicated supplier relationship managers will facilitate two-way communication and rapid issue resolution.</w:t>
      </w:r>
    </w:p>
    <w:p w14:paraId="788EAA50" w14:textId="77777777" w:rsidR="00B5353B" w:rsidRPr="00A1082E" w:rsidRDefault="00B5353B" w:rsidP="00A1082E">
      <w:pPr>
        <w:spacing w:after="0" w:line="360" w:lineRule="auto"/>
        <w:rPr>
          <w:rFonts w:ascii="Arial" w:eastAsia="Times New Roman" w:hAnsi="Arial" w:cs="Arial"/>
          <w:b/>
          <w:bCs/>
          <w:kern w:val="0"/>
          <w:sz w:val="22"/>
          <w:szCs w:val="22"/>
          <w14:ligatures w14:val="none"/>
        </w:rPr>
      </w:pPr>
    </w:p>
    <w:p w14:paraId="4AB1A451" w14:textId="3CDCAABB"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Customers:</w:t>
      </w:r>
    </w:p>
    <w:p w14:paraId="1BF9A0C7" w14:textId="77777777" w:rsidR="00B5353B" w:rsidRPr="00A1082E" w:rsidRDefault="00B5353B" w:rsidP="00A1082E">
      <w:pPr>
        <w:numPr>
          <w:ilvl w:val="0"/>
          <w:numId w:val="39"/>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Customer-Centric Product Development:</w:t>
      </w:r>
      <w:r w:rsidRPr="00A1082E">
        <w:rPr>
          <w:rFonts w:ascii="Arial" w:eastAsia="Times New Roman" w:hAnsi="Arial" w:cs="Arial"/>
          <w:kern w:val="0"/>
          <w:sz w:val="22"/>
          <w:szCs w:val="22"/>
          <w14:ligatures w14:val="none"/>
        </w:rPr>
        <w:t xml:space="preserve"> JLR will increase the use of digital channels (such as online configurators, virtual showrooms, and feedback portals) to involve customers in the design and development of new products and services, ensuring offerings align with evolving needs and expectations (PwC, 2023).</w:t>
      </w:r>
    </w:p>
    <w:p w14:paraId="5299B49B" w14:textId="77777777" w:rsidR="00B5353B" w:rsidRPr="00A1082E" w:rsidRDefault="00B5353B" w:rsidP="00A1082E">
      <w:pPr>
        <w:numPr>
          <w:ilvl w:val="0"/>
          <w:numId w:val="39"/>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Transparent Communication:</w:t>
      </w:r>
      <w:r w:rsidRPr="00A1082E">
        <w:rPr>
          <w:rFonts w:ascii="Arial" w:eastAsia="Times New Roman" w:hAnsi="Arial" w:cs="Arial"/>
          <w:kern w:val="0"/>
          <w:sz w:val="22"/>
          <w:szCs w:val="22"/>
          <w14:ligatures w14:val="none"/>
        </w:rPr>
        <w:t xml:space="preserve"> Customers will receive regular updates on sustainability milestones, new EV launches, and digital service enhancements through targeted email campaigns, social media, and dedicated microsites.</w:t>
      </w:r>
    </w:p>
    <w:p w14:paraId="6DB26EA1" w14:textId="77777777" w:rsidR="00B5353B" w:rsidRPr="00A1082E" w:rsidRDefault="00B5353B" w:rsidP="00A1082E">
      <w:pPr>
        <w:numPr>
          <w:ilvl w:val="0"/>
          <w:numId w:val="39"/>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lastRenderedPageBreak/>
        <w:t>Feedback Mechanisms:</w:t>
      </w:r>
      <w:r w:rsidRPr="00A1082E">
        <w:rPr>
          <w:rFonts w:ascii="Arial" w:eastAsia="Times New Roman" w:hAnsi="Arial" w:cs="Arial"/>
          <w:kern w:val="0"/>
          <w:sz w:val="22"/>
          <w:szCs w:val="22"/>
          <w14:ligatures w14:val="none"/>
        </w:rPr>
        <w:t xml:space="preserve"> JLR will implement post-purchase surveys, online reviews, and customer advisory boards to gather continuous feedback, inform product improvements, and identify pain points. Insights from these channels will be integrated into the agile development cycle.</w:t>
      </w:r>
    </w:p>
    <w:p w14:paraId="714B0BE6" w14:textId="77777777" w:rsidR="00B5353B" w:rsidRPr="00A1082E" w:rsidRDefault="00B5353B" w:rsidP="00A1082E">
      <w:pPr>
        <w:numPr>
          <w:ilvl w:val="0"/>
          <w:numId w:val="39"/>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Loyalty and Education Programs:</w:t>
      </w:r>
      <w:r w:rsidRPr="00A1082E">
        <w:rPr>
          <w:rFonts w:ascii="Arial" w:eastAsia="Times New Roman" w:hAnsi="Arial" w:cs="Arial"/>
          <w:kern w:val="0"/>
          <w:sz w:val="22"/>
          <w:szCs w:val="22"/>
          <w14:ligatures w14:val="none"/>
        </w:rPr>
        <w:t xml:space="preserve"> Expanded loyalty programs and educational campaigns will help customers transition to EVs and digital mobility services, increasing satisfaction and brand loyalty.</w:t>
      </w:r>
    </w:p>
    <w:p w14:paraId="671468AB" w14:textId="77777777"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Engagement Principles:</w:t>
      </w:r>
    </w:p>
    <w:p w14:paraId="15005A8A" w14:textId="77777777" w:rsidR="00B5353B" w:rsidRPr="00A1082E" w:rsidRDefault="00B5353B" w:rsidP="00A1082E">
      <w:pPr>
        <w:numPr>
          <w:ilvl w:val="0"/>
          <w:numId w:val="40"/>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Two-Way Dialogue:</w:t>
      </w:r>
      <w:r w:rsidRPr="00A1082E">
        <w:rPr>
          <w:rFonts w:ascii="Arial" w:eastAsia="Times New Roman" w:hAnsi="Arial" w:cs="Arial"/>
          <w:kern w:val="0"/>
          <w:sz w:val="22"/>
          <w:szCs w:val="22"/>
          <w14:ligatures w14:val="none"/>
        </w:rPr>
        <w:t xml:space="preserve"> Both suppliers and customers will have opportunities to provide input and feedback, with JLR acting on this information to co-create value.</w:t>
      </w:r>
    </w:p>
    <w:p w14:paraId="499E219F" w14:textId="77777777" w:rsidR="00B5353B" w:rsidRPr="00A1082E" w:rsidRDefault="00B5353B" w:rsidP="00A1082E">
      <w:pPr>
        <w:numPr>
          <w:ilvl w:val="0"/>
          <w:numId w:val="40"/>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Transparency:</w:t>
      </w:r>
      <w:r w:rsidRPr="00A1082E">
        <w:rPr>
          <w:rFonts w:ascii="Arial" w:eastAsia="Times New Roman" w:hAnsi="Arial" w:cs="Arial"/>
          <w:kern w:val="0"/>
          <w:sz w:val="22"/>
          <w:szCs w:val="22"/>
          <w14:ligatures w14:val="none"/>
        </w:rPr>
        <w:t xml:space="preserve"> JLR will be open about challenges, timelines, and progress, building trust and long-term partnership.</w:t>
      </w:r>
    </w:p>
    <w:p w14:paraId="33423ACB" w14:textId="77777777" w:rsidR="00A1082E" w:rsidRPr="00A1082E" w:rsidRDefault="00B5353B" w:rsidP="00A1082E">
      <w:pPr>
        <w:numPr>
          <w:ilvl w:val="0"/>
          <w:numId w:val="40"/>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Adaptability:</w:t>
      </w:r>
      <w:r w:rsidRPr="00A1082E">
        <w:rPr>
          <w:rFonts w:ascii="Arial" w:eastAsia="Times New Roman" w:hAnsi="Arial" w:cs="Arial"/>
          <w:kern w:val="0"/>
          <w:sz w:val="22"/>
          <w:szCs w:val="22"/>
          <w14:ligatures w14:val="none"/>
        </w:rPr>
        <w:t xml:space="preserve"> Engagement strategies will be regularly reviewed and refined based on stakeholder responses and changing market conditions.</w:t>
      </w:r>
    </w:p>
    <w:p w14:paraId="123F77EA" w14:textId="0ED6564E"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Evaluation Plan</w:t>
      </w:r>
    </w:p>
    <w:p w14:paraId="27E81391" w14:textId="21F78CF6" w:rsidR="00B5353B" w:rsidRPr="00A1082E" w:rsidRDefault="00A1082E" w:rsidP="00A1082E">
      <w:pPr>
        <w:numPr>
          <w:ilvl w:val="0"/>
          <w:numId w:val="41"/>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KPIs: The selected KPIs are directly aligned with JLR’s overarching strategic objectives. Revenue growth from EVs and digital channels is a primary indicator of progress towards the company’s digital transformation and product innovation goals, demonstrating financial returns on investments in electrification and online sales. An increase in market share within the EV segment is linked to the objective of strengthening competitive positioning and capturing evolving consumer demand for sustainable mobility. Digital customer engagement metrics (such as NPS and online sales) are used to assess progress in enhancing the digital customer experience, supporting the strategy of customer-centric digitalisation. Employee upskilling completion rates are tied to the objective of building workforce capability, which is essential for implementing new technologies and sustaining organisational change. Achieving sustainability targets (e.g., CO2 emissions reduction) provides measurable evidence of progress towards JLR’s sustainability and net-zero ambitions, ensuring alignment with both environmental strategy and regulatory compliance requirements.</w:t>
      </w:r>
    </w:p>
    <w:p w14:paraId="0D436710" w14:textId="1CFF1C0F" w:rsidR="00B5353B" w:rsidRPr="00A1082E" w:rsidRDefault="00A1082E" w:rsidP="00A1082E">
      <w:pPr>
        <w:numPr>
          <w:ilvl w:val="0"/>
          <w:numId w:val="41"/>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Review Process</w:t>
      </w:r>
      <w:r w:rsidRPr="00A1082E">
        <w:rPr>
          <w:rFonts w:ascii="Arial" w:eastAsia="Times New Roman" w:hAnsi="Arial" w:cs="Arial"/>
          <w:kern w:val="0"/>
          <w:sz w:val="22"/>
          <w:szCs w:val="22"/>
          <w14:ligatures w14:val="none"/>
        </w:rPr>
        <w:t xml:space="preserve">: Progress will be assessed through formal quarterly reviews to evaluate the achievement of short-term KPIs, and through comprehensive annual strategic evaluations to re-examine long-term objectives and overall alignment with the transformation plan. Throughout the year, continuous feedback loops (including employee and customer surveys and performance dashboards) will enable timely </w:t>
      </w:r>
      <w:r w:rsidRPr="00A1082E">
        <w:rPr>
          <w:rFonts w:ascii="Arial" w:eastAsia="Times New Roman" w:hAnsi="Arial" w:cs="Arial"/>
          <w:kern w:val="0"/>
          <w:sz w:val="22"/>
          <w:szCs w:val="22"/>
          <w14:ligatures w14:val="none"/>
        </w:rPr>
        <w:lastRenderedPageBreak/>
        <w:t>identification of areas for improvement and support interim adjustments to strategies between scheduled reviews.</w:t>
      </w:r>
    </w:p>
    <w:p w14:paraId="09A33C75" w14:textId="77777777" w:rsidR="00A1082E" w:rsidRPr="00A1082E" w:rsidRDefault="00B5353B" w:rsidP="00A1082E">
      <w:pPr>
        <w:numPr>
          <w:ilvl w:val="0"/>
          <w:numId w:val="41"/>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Continuous Improvement:</w:t>
      </w:r>
      <w:r w:rsidRPr="00A1082E">
        <w:rPr>
          <w:rFonts w:ascii="Arial" w:eastAsia="Times New Roman" w:hAnsi="Arial" w:cs="Arial"/>
          <w:kern w:val="0"/>
          <w:sz w:val="22"/>
          <w:szCs w:val="22"/>
          <w14:ligatures w14:val="none"/>
        </w:rPr>
        <w:t xml:space="preserve"> Lessons learned will be incorporated into future change cycles, with adjustments based on evaluation outcomes (JLR, 2022a).</w:t>
      </w:r>
    </w:p>
    <w:p w14:paraId="34660F5D" w14:textId="5653038F"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Timeline</w:t>
      </w:r>
    </w:p>
    <w:p w14:paraId="4A683DD3" w14:textId="77777777" w:rsidR="00B5353B" w:rsidRPr="00A1082E" w:rsidRDefault="00B5353B" w:rsidP="00A1082E">
      <w:pPr>
        <w:numPr>
          <w:ilvl w:val="0"/>
          <w:numId w:val="42"/>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Short-Term (0–6 months):</w:t>
      </w:r>
      <w:r w:rsidRPr="00A1082E">
        <w:rPr>
          <w:rFonts w:ascii="Arial" w:eastAsia="Times New Roman" w:hAnsi="Arial" w:cs="Arial"/>
          <w:kern w:val="0"/>
          <w:sz w:val="22"/>
          <w:szCs w:val="22"/>
          <w14:ligatures w14:val="none"/>
        </w:rPr>
        <w:t xml:space="preserve"> Launch digital and sustainability training, pilot new EV models, initial AI integration in manufacturing.</w:t>
      </w:r>
    </w:p>
    <w:p w14:paraId="1C1895BB" w14:textId="77777777" w:rsidR="00B5353B" w:rsidRPr="00A1082E" w:rsidRDefault="00B5353B" w:rsidP="00A1082E">
      <w:pPr>
        <w:numPr>
          <w:ilvl w:val="0"/>
          <w:numId w:val="42"/>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Medium-Term (6–18 months):</w:t>
      </w:r>
      <w:r w:rsidRPr="00A1082E">
        <w:rPr>
          <w:rFonts w:ascii="Arial" w:eastAsia="Times New Roman" w:hAnsi="Arial" w:cs="Arial"/>
          <w:kern w:val="0"/>
          <w:sz w:val="22"/>
          <w:szCs w:val="22"/>
          <w14:ligatures w14:val="none"/>
        </w:rPr>
        <w:t xml:space="preserve"> Full-scale rollout of EV and hybrid models, expansion of digital sales platforms, supply chain optimisation.</w:t>
      </w:r>
    </w:p>
    <w:p w14:paraId="033E4251" w14:textId="77777777" w:rsidR="00A1082E" w:rsidRPr="00A1082E" w:rsidRDefault="00B5353B" w:rsidP="00A1082E">
      <w:pPr>
        <w:numPr>
          <w:ilvl w:val="0"/>
          <w:numId w:val="42"/>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Long-Term (18–36 months):</w:t>
      </w:r>
      <w:r w:rsidRPr="00A1082E">
        <w:rPr>
          <w:rFonts w:ascii="Arial" w:eastAsia="Times New Roman" w:hAnsi="Arial" w:cs="Arial"/>
          <w:kern w:val="0"/>
          <w:sz w:val="22"/>
          <w:szCs w:val="22"/>
          <w14:ligatures w14:val="none"/>
        </w:rPr>
        <w:t xml:space="preserve"> Continuous improvement, embedding of digital culture, achievement of interim sustainability targets, and review of net-zero progress.</w:t>
      </w:r>
    </w:p>
    <w:p w14:paraId="66386DF8" w14:textId="0682DEEB"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Risk Management</w:t>
      </w:r>
    </w:p>
    <w:p w14:paraId="1DDFA33B" w14:textId="77777777" w:rsidR="00B5353B" w:rsidRPr="00A1082E" w:rsidRDefault="00B5353B" w:rsidP="00A1082E">
      <w:pPr>
        <w:numPr>
          <w:ilvl w:val="0"/>
          <w:numId w:val="43"/>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Employee Resistance:</w:t>
      </w:r>
      <w:r w:rsidRPr="00A1082E">
        <w:rPr>
          <w:rFonts w:ascii="Arial" w:eastAsia="Times New Roman" w:hAnsi="Arial" w:cs="Arial"/>
          <w:kern w:val="0"/>
          <w:sz w:val="22"/>
          <w:szCs w:val="22"/>
          <w14:ligatures w14:val="none"/>
        </w:rPr>
        <w:t xml:space="preserve"> Mitigated through engagement strategies, upskilling, and clear communication.</w:t>
      </w:r>
    </w:p>
    <w:p w14:paraId="2785C3A2" w14:textId="77777777" w:rsidR="00B5353B" w:rsidRPr="00A1082E" w:rsidRDefault="00B5353B" w:rsidP="00A1082E">
      <w:pPr>
        <w:numPr>
          <w:ilvl w:val="0"/>
          <w:numId w:val="43"/>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Cybersecurity:</w:t>
      </w:r>
      <w:r w:rsidRPr="00A1082E">
        <w:rPr>
          <w:rFonts w:ascii="Arial" w:eastAsia="Times New Roman" w:hAnsi="Arial" w:cs="Arial"/>
          <w:kern w:val="0"/>
          <w:sz w:val="22"/>
          <w:szCs w:val="22"/>
          <w14:ligatures w14:val="none"/>
        </w:rPr>
        <w:t xml:space="preserve"> Strengthened IT protocols and regular audits.</w:t>
      </w:r>
    </w:p>
    <w:p w14:paraId="51AEF657" w14:textId="77777777" w:rsidR="00B5353B" w:rsidRPr="00A1082E" w:rsidRDefault="00B5353B" w:rsidP="00A1082E">
      <w:pPr>
        <w:numPr>
          <w:ilvl w:val="0"/>
          <w:numId w:val="43"/>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Regulatory Risks:</w:t>
      </w:r>
      <w:r w:rsidRPr="00A1082E">
        <w:rPr>
          <w:rFonts w:ascii="Arial" w:eastAsia="Times New Roman" w:hAnsi="Arial" w:cs="Arial"/>
          <w:kern w:val="0"/>
          <w:sz w:val="22"/>
          <w:szCs w:val="22"/>
          <w14:ligatures w14:val="none"/>
        </w:rPr>
        <w:t xml:space="preserve"> Ongoing monitoring of legal requirements and proactive compliance.</w:t>
      </w:r>
    </w:p>
    <w:p w14:paraId="402D554D" w14:textId="77777777" w:rsidR="00B5353B" w:rsidRPr="00A1082E" w:rsidRDefault="00B5353B" w:rsidP="00A1082E">
      <w:pPr>
        <w:numPr>
          <w:ilvl w:val="0"/>
          <w:numId w:val="43"/>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Financial Risks:</w:t>
      </w:r>
      <w:r w:rsidRPr="00A1082E">
        <w:rPr>
          <w:rFonts w:ascii="Arial" w:eastAsia="Times New Roman" w:hAnsi="Arial" w:cs="Arial"/>
          <w:kern w:val="0"/>
          <w:sz w:val="22"/>
          <w:szCs w:val="22"/>
          <w14:ligatures w14:val="none"/>
        </w:rPr>
        <w:t xml:space="preserve"> Phased investment approach and regular oversight to control cost overruns and maximise ROI.</w:t>
      </w:r>
    </w:p>
    <w:p w14:paraId="1C083E18" w14:textId="77777777" w:rsidR="00A1082E" w:rsidRPr="00A1082E" w:rsidRDefault="00B5353B" w:rsidP="00A1082E">
      <w:pPr>
        <w:numPr>
          <w:ilvl w:val="0"/>
          <w:numId w:val="43"/>
        </w:num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Market Risks:</w:t>
      </w:r>
      <w:r w:rsidRPr="00A1082E">
        <w:rPr>
          <w:rFonts w:ascii="Arial" w:eastAsia="Times New Roman" w:hAnsi="Arial" w:cs="Arial"/>
          <w:kern w:val="0"/>
          <w:sz w:val="22"/>
          <w:szCs w:val="22"/>
          <w14:ligatures w14:val="none"/>
        </w:rPr>
        <w:t xml:space="preserve"> Scenario planning and agile response to shifts in consumer demand or technological disruption (Deloitte, 2022).</w:t>
      </w:r>
    </w:p>
    <w:p w14:paraId="25259890" w14:textId="0342EE4C"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t>Conclusion</w:t>
      </w:r>
    </w:p>
    <w:p w14:paraId="2E5A8B8E" w14:textId="77777777"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In summary, JLR is at a key moment as technology and industry trends change. By using a mix of Lewin, Kotter, and ADKAR models, along with transformational leadership and a focus on innovation, the company is well placed to move forward with its electric and digital mobility strategies.</w:t>
      </w:r>
    </w:p>
    <w:p w14:paraId="62A885C0" w14:textId="66AE1AD6" w:rsidR="00B5353B" w:rsidRPr="00A1082E" w:rsidRDefault="00A1082E"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 JLR’s main priorities are to accelerate digital transformation and sustainability, investing in </w:t>
      </w:r>
      <w:r w:rsidR="00B5353B" w:rsidRPr="00A1082E">
        <w:rPr>
          <w:rFonts w:ascii="Arial" w:eastAsia="Times New Roman" w:hAnsi="Arial" w:cs="Arial"/>
          <w:kern w:val="0"/>
          <w:sz w:val="22"/>
          <w:szCs w:val="22"/>
          <w14:ligatures w14:val="none"/>
        </w:rPr>
        <w:t>new technology and employee skills, and keeping employees involved in ongoing improvements.</w:t>
      </w:r>
    </w:p>
    <w:p w14:paraId="7DEBEE2C" w14:textId="77777777" w:rsidR="00A1082E"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By focusing on adapting early and making decisions based on evidence, JLR aims to stay competitive and set an example for the industry as it faces future challenges and opportunities.</w:t>
      </w:r>
    </w:p>
    <w:p w14:paraId="79F80AB2" w14:textId="77777777" w:rsidR="00A1082E" w:rsidRPr="00A1082E" w:rsidRDefault="00A1082E" w:rsidP="00A1082E">
      <w:pPr>
        <w:spacing w:after="0" w:line="360" w:lineRule="auto"/>
        <w:rPr>
          <w:rFonts w:ascii="Arial" w:eastAsia="Times New Roman" w:hAnsi="Arial" w:cs="Arial"/>
          <w:kern w:val="0"/>
          <w:sz w:val="22"/>
          <w:szCs w:val="22"/>
          <w14:ligatures w14:val="none"/>
        </w:rPr>
      </w:pPr>
    </w:p>
    <w:p w14:paraId="4084FD9F" w14:textId="7FD859E1" w:rsidR="00B5353B" w:rsidRPr="00A1082E" w:rsidRDefault="00B5353B" w:rsidP="00A1082E">
      <w:pPr>
        <w:spacing w:after="0" w:line="360" w:lineRule="auto"/>
        <w:rPr>
          <w:rFonts w:ascii="Arial" w:eastAsia="Times New Roman" w:hAnsi="Arial" w:cs="Arial"/>
          <w:kern w:val="0"/>
          <w:sz w:val="22"/>
          <w:szCs w:val="22"/>
          <w14:ligatures w14:val="none"/>
        </w:rPr>
      </w:pPr>
      <w:r w:rsidRPr="00A1082E">
        <w:rPr>
          <w:rFonts w:ascii="Arial" w:eastAsia="Times New Roman" w:hAnsi="Arial" w:cs="Arial"/>
          <w:b/>
          <w:bCs/>
          <w:kern w:val="0"/>
          <w:sz w:val="22"/>
          <w:szCs w:val="22"/>
          <w14:ligatures w14:val="none"/>
        </w:rPr>
        <w:lastRenderedPageBreak/>
        <w:t>References</w:t>
      </w:r>
    </w:p>
    <w:p w14:paraId="49028332" w14:textId="77777777"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Burnes, B. (2017) </w:t>
      </w:r>
      <w:r w:rsidRPr="00A1082E">
        <w:rPr>
          <w:rFonts w:ascii="Arial" w:eastAsia="Times New Roman" w:hAnsi="Arial" w:cs="Arial"/>
          <w:i/>
          <w:iCs/>
          <w:kern w:val="0"/>
          <w:sz w:val="22"/>
          <w:szCs w:val="22"/>
          <w14:ligatures w14:val="none"/>
        </w:rPr>
        <w:t>Managing Change</w:t>
      </w:r>
      <w:r w:rsidRPr="00A1082E">
        <w:rPr>
          <w:rFonts w:ascii="Arial" w:eastAsia="Times New Roman" w:hAnsi="Arial" w:cs="Arial"/>
          <w:kern w:val="0"/>
          <w:sz w:val="22"/>
          <w:szCs w:val="22"/>
          <w14:ligatures w14:val="none"/>
        </w:rPr>
        <w:t>. 7th edn. Pearson.</w:t>
      </w:r>
    </w:p>
    <w:p w14:paraId="006FE51E" w14:textId="77777777"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Cameron, E. &amp; Green, M. (2019) </w:t>
      </w:r>
      <w:r w:rsidRPr="00A1082E">
        <w:rPr>
          <w:rFonts w:ascii="Arial" w:eastAsia="Times New Roman" w:hAnsi="Arial" w:cs="Arial"/>
          <w:i/>
          <w:iCs/>
          <w:kern w:val="0"/>
          <w:sz w:val="22"/>
          <w:szCs w:val="22"/>
          <w14:ligatures w14:val="none"/>
        </w:rPr>
        <w:t>Making Sense of Change Management: A Complete Guide to the Models, Tools and Techniques of Organisational Change</w:t>
      </w:r>
      <w:r w:rsidRPr="00A1082E">
        <w:rPr>
          <w:rFonts w:ascii="Arial" w:eastAsia="Times New Roman" w:hAnsi="Arial" w:cs="Arial"/>
          <w:kern w:val="0"/>
          <w:sz w:val="22"/>
          <w:szCs w:val="22"/>
          <w14:ligatures w14:val="none"/>
        </w:rPr>
        <w:t>. 5th edn. Kogan Page.</w:t>
      </w:r>
    </w:p>
    <w:p w14:paraId="5FB55C1B" w14:textId="77777777"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Deloitte (2022) </w:t>
      </w:r>
      <w:r w:rsidRPr="00A1082E">
        <w:rPr>
          <w:rFonts w:ascii="Arial" w:eastAsia="Times New Roman" w:hAnsi="Arial" w:cs="Arial"/>
          <w:i/>
          <w:iCs/>
          <w:kern w:val="0"/>
          <w:sz w:val="22"/>
          <w:szCs w:val="22"/>
          <w14:ligatures w14:val="none"/>
        </w:rPr>
        <w:t>Digital transformation in the automotive industry</w:t>
      </w:r>
      <w:r w:rsidRPr="00A1082E">
        <w:rPr>
          <w:rFonts w:ascii="Arial" w:eastAsia="Times New Roman" w:hAnsi="Arial" w:cs="Arial"/>
          <w:kern w:val="0"/>
          <w:sz w:val="22"/>
          <w:szCs w:val="22"/>
          <w14:ligatures w14:val="none"/>
        </w:rPr>
        <w:t xml:space="preserve">. Available at: </w:t>
      </w:r>
      <w:hyperlink r:id="rId7" w:history="1">
        <w:r w:rsidRPr="00A1082E">
          <w:rPr>
            <w:rFonts w:ascii="Arial" w:eastAsia="Times New Roman" w:hAnsi="Arial" w:cs="Arial"/>
            <w:color w:val="0000FF"/>
            <w:kern w:val="0"/>
            <w:sz w:val="22"/>
            <w:szCs w:val="22"/>
            <w:u w:val="single"/>
            <w14:ligatures w14:val="none"/>
          </w:rPr>
          <w:t>https://www2.deloitte.com/uk/en/pages/manufacturing/articles/digital-transformation-automotive.html</w:t>
        </w:r>
      </w:hyperlink>
    </w:p>
    <w:p w14:paraId="4B9B5818" w14:textId="77777777"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Forbes (2023) ‘How Jaguar Land Rover is Reimagining the Future’. Available at: </w:t>
      </w:r>
      <w:hyperlink r:id="rId8" w:history="1">
        <w:r w:rsidRPr="00A1082E">
          <w:rPr>
            <w:rFonts w:ascii="Arial" w:eastAsia="Times New Roman" w:hAnsi="Arial" w:cs="Arial"/>
            <w:color w:val="0000FF"/>
            <w:kern w:val="0"/>
            <w:sz w:val="22"/>
            <w:szCs w:val="22"/>
            <w:u w:val="single"/>
            <w14:ligatures w14:val="none"/>
          </w:rPr>
          <w:t>https://www.forbes.com/sites/jlr-reimagine</w:t>
        </w:r>
      </w:hyperlink>
    </w:p>
    <w:p w14:paraId="218F5F52" w14:textId="77777777"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Gill, R. (2011) </w:t>
      </w:r>
      <w:r w:rsidRPr="00A1082E">
        <w:rPr>
          <w:rFonts w:ascii="Arial" w:eastAsia="Times New Roman" w:hAnsi="Arial" w:cs="Arial"/>
          <w:i/>
          <w:iCs/>
          <w:kern w:val="0"/>
          <w:sz w:val="22"/>
          <w:szCs w:val="22"/>
          <w14:ligatures w14:val="none"/>
        </w:rPr>
        <w:t>Theory and Practice of Leadership</w:t>
      </w:r>
      <w:r w:rsidRPr="00A1082E">
        <w:rPr>
          <w:rFonts w:ascii="Arial" w:eastAsia="Times New Roman" w:hAnsi="Arial" w:cs="Arial"/>
          <w:kern w:val="0"/>
          <w:sz w:val="22"/>
          <w:szCs w:val="22"/>
          <w14:ligatures w14:val="none"/>
        </w:rPr>
        <w:t>. 2nd edn. Sage.</w:t>
      </w:r>
    </w:p>
    <w:p w14:paraId="14489506" w14:textId="77777777"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Hiatt, J. (2006) </w:t>
      </w:r>
      <w:r w:rsidRPr="00A1082E">
        <w:rPr>
          <w:rFonts w:ascii="Arial" w:eastAsia="Times New Roman" w:hAnsi="Arial" w:cs="Arial"/>
          <w:i/>
          <w:iCs/>
          <w:kern w:val="0"/>
          <w:sz w:val="22"/>
          <w:szCs w:val="22"/>
          <w14:ligatures w14:val="none"/>
        </w:rPr>
        <w:t>ADKAR: A Model for Change in Business, Government and Our Community</w:t>
      </w:r>
      <w:r w:rsidRPr="00A1082E">
        <w:rPr>
          <w:rFonts w:ascii="Arial" w:eastAsia="Times New Roman" w:hAnsi="Arial" w:cs="Arial"/>
          <w:kern w:val="0"/>
          <w:sz w:val="22"/>
          <w:szCs w:val="22"/>
          <w14:ligatures w14:val="none"/>
        </w:rPr>
        <w:t>. Prosci Learning Centre Publications.</w:t>
      </w:r>
    </w:p>
    <w:p w14:paraId="3F89BE8D" w14:textId="77777777"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JLR (2021a) </w:t>
      </w:r>
      <w:r w:rsidRPr="00A1082E">
        <w:rPr>
          <w:rFonts w:ascii="Arial" w:eastAsia="Times New Roman" w:hAnsi="Arial" w:cs="Arial"/>
          <w:i/>
          <w:iCs/>
          <w:kern w:val="0"/>
          <w:sz w:val="22"/>
          <w:szCs w:val="22"/>
          <w14:ligatures w14:val="none"/>
        </w:rPr>
        <w:t>Reimagine Strategy</w:t>
      </w:r>
      <w:r w:rsidRPr="00A1082E">
        <w:rPr>
          <w:rFonts w:ascii="Arial" w:eastAsia="Times New Roman" w:hAnsi="Arial" w:cs="Arial"/>
          <w:kern w:val="0"/>
          <w:sz w:val="22"/>
          <w:szCs w:val="22"/>
          <w14:ligatures w14:val="none"/>
        </w:rPr>
        <w:t xml:space="preserve">. Available at: </w:t>
      </w:r>
      <w:hyperlink r:id="rId9" w:history="1">
        <w:r w:rsidRPr="00A1082E">
          <w:rPr>
            <w:rFonts w:ascii="Arial" w:eastAsia="Times New Roman" w:hAnsi="Arial" w:cs="Arial"/>
            <w:color w:val="0000FF"/>
            <w:kern w:val="0"/>
            <w:sz w:val="22"/>
            <w:szCs w:val="22"/>
            <w:u w:val="single"/>
            <w14:ligatures w14:val="none"/>
          </w:rPr>
          <w:t>https://www.jaguarlandrover.com/reimagine</w:t>
        </w:r>
      </w:hyperlink>
    </w:p>
    <w:p w14:paraId="226009FB" w14:textId="77777777"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JLR (2021b) </w:t>
      </w:r>
      <w:r w:rsidRPr="00A1082E">
        <w:rPr>
          <w:rFonts w:ascii="Arial" w:eastAsia="Times New Roman" w:hAnsi="Arial" w:cs="Arial"/>
          <w:i/>
          <w:iCs/>
          <w:kern w:val="0"/>
          <w:sz w:val="22"/>
          <w:szCs w:val="22"/>
          <w14:ligatures w14:val="none"/>
        </w:rPr>
        <w:t>Annual Report 2021</w:t>
      </w:r>
      <w:r w:rsidRPr="00A1082E">
        <w:rPr>
          <w:rFonts w:ascii="Arial" w:eastAsia="Times New Roman" w:hAnsi="Arial" w:cs="Arial"/>
          <w:kern w:val="0"/>
          <w:sz w:val="22"/>
          <w:szCs w:val="22"/>
          <w14:ligatures w14:val="none"/>
        </w:rPr>
        <w:t xml:space="preserve">. Available at: </w:t>
      </w:r>
      <w:hyperlink r:id="rId10" w:history="1">
        <w:r w:rsidRPr="00A1082E">
          <w:rPr>
            <w:rFonts w:ascii="Arial" w:eastAsia="Times New Roman" w:hAnsi="Arial" w:cs="Arial"/>
            <w:color w:val="0000FF"/>
            <w:kern w:val="0"/>
            <w:sz w:val="22"/>
            <w:szCs w:val="22"/>
            <w:u w:val="single"/>
            <w14:ligatures w14:val="none"/>
          </w:rPr>
          <w:t>https://www.jaguarlandrover.com/annual-report-2021</w:t>
        </w:r>
      </w:hyperlink>
    </w:p>
    <w:p w14:paraId="596BA518" w14:textId="77777777"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JLR (2022a) </w:t>
      </w:r>
      <w:r w:rsidRPr="00A1082E">
        <w:rPr>
          <w:rFonts w:ascii="Arial" w:eastAsia="Times New Roman" w:hAnsi="Arial" w:cs="Arial"/>
          <w:i/>
          <w:iCs/>
          <w:kern w:val="0"/>
          <w:sz w:val="22"/>
          <w:szCs w:val="22"/>
          <w14:ligatures w14:val="none"/>
        </w:rPr>
        <w:t>Learning Academy</w:t>
      </w:r>
      <w:r w:rsidRPr="00A1082E">
        <w:rPr>
          <w:rFonts w:ascii="Arial" w:eastAsia="Times New Roman" w:hAnsi="Arial" w:cs="Arial"/>
          <w:kern w:val="0"/>
          <w:sz w:val="22"/>
          <w:szCs w:val="22"/>
          <w14:ligatures w14:val="none"/>
        </w:rPr>
        <w:t xml:space="preserve">. Available at: </w:t>
      </w:r>
      <w:hyperlink r:id="rId11" w:history="1">
        <w:r w:rsidRPr="00A1082E">
          <w:rPr>
            <w:rFonts w:ascii="Arial" w:eastAsia="Times New Roman" w:hAnsi="Arial" w:cs="Arial"/>
            <w:color w:val="0000FF"/>
            <w:kern w:val="0"/>
            <w:sz w:val="22"/>
            <w:szCs w:val="22"/>
            <w:u w:val="single"/>
            <w14:ligatures w14:val="none"/>
          </w:rPr>
          <w:t>https://www.jaguarlandrover.com/learning</w:t>
        </w:r>
      </w:hyperlink>
    </w:p>
    <w:p w14:paraId="11A96B6E" w14:textId="77777777"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JLR (2023a) </w:t>
      </w:r>
      <w:r w:rsidRPr="00A1082E">
        <w:rPr>
          <w:rFonts w:ascii="Arial" w:eastAsia="Times New Roman" w:hAnsi="Arial" w:cs="Arial"/>
          <w:i/>
          <w:iCs/>
          <w:kern w:val="0"/>
          <w:sz w:val="22"/>
          <w:szCs w:val="22"/>
          <w14:ligatures w14:val="none"/>
        </w:rPr>
        <w:t>Company Overview</w:t>
      </w:r>
      <w:r w:rsidRPr="00A1082E">
        <w:rPr>
          <w:rFonts w:ascii="Arial" w:eastAsia="Times New Roman" w:hAnsi="Arial" w:cs="Arial"/>
          <w:kern w:val="0"/>
          <w:sz w:val="22"/>
          <w:szCs w:val="22"/>
          <w14:ligatures w14:val="none"/>
        </w:rPr>
        <w:t xml:space="preserve">. Available at: </w:t>
      </w:r>
      <w:hyperlink r:id="rId12" w:history="1">
        <w:r w:rsidRPr="00A1082E">
          <w:rPr>
            <w:rFonts w:ascii="Arial" w:eastAsia="Times New Roman" w:hAnsi="Arial" w:cs="Arial"/>
            <w:color w:val="0000FF"/>
            <w:kern w:val="0"/>
            <w:sz w:val="22"/>
            <w:szCs w:val="22"/>
            <w:u w:val="single"/>
            <w14:ligatures w14:val="none"/>
          </w:rPr>
          <w:t>https://www.jaguarlandrover.com/about</w:t>
        </w:r>
      </w:hyperlink>
    </w:p>
    <w:p w14:paraId="2B8B090B" w14:textId="77777777"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JLR (2023b) </w:t>
      </w:r>
      <w:r w:rsidRPr="00A1082E">
        <w:rPr>
          <w:rFonts w:ascii="Arial" w:eastAsia="Times New Roman" w:hAnsi="Arial" w:cs="Arial"/>
          <w:i/>
          <w:iCs/>
          <w:kern w:val="0"/>
          <w:sz w:val="22"/>
          <w:szCs w:val="22"/>
          <w14:ligatures w14:val="none"/>
        </w:rPr>
        <w:t>Sustainability Commitments</w:t>
      </w:r>
      <w:r w:rsidRPr="00A1082E">
        <w:rPr>
          <w:rFonts w:ascii="Arial" w:eastAsia="Times New Roman" w:hAnsi="Arial" w:cs="Arial"/>
          <w:kern w:val="0"/>
          <w:sz w:val="22"/>
          <w:szCs w:val="22"/>
          <w14:ligatures w14:val="none"/>
        </w:rPr>
        <w:t xml:space="preserve">. Available at: </w:t>
      </w:r>
      <w:hyperlink r:id="rId13" w:history="1">
        <w:r w:rsidRPr="00A1082E">
          <w:rPr>
            <w:rFonts w:ascii="Arial" w:eastAsia="Times New Roman" w:hAnsi="Arial" w:cs="Arial"/>
            <w:color w:val="0000FF"/>
            <w:kern w:val="0"/>
            <w:sz w:val="22"/>
            <w:szCs w:val="22"/>
            <w:u w:val="single"/>
            <w14:ligatures w14:val="none"/>
          </w:rPr>
          <w:t>https://www.jaguarlandrover.com/sustainability</w:t>
        </w:r>
      </w:hyperlink>
    </w:p>
    <w:p w14:paraId="0FE6B9AD" w14:textId="55A862F2"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JLR (2023c) </w:t>
      </w:r>
      <w:r w:rsidRPr="00A1082E">
        <w:rPr>
          <w:rFonts w:ascii="Arial" w:eastAsia="Times New Roman" w:hAnsi="Arial" w:cs="Arial"/>
          <w:i/>
          <w:iCs/>
          <w:kern w:val="0"/>
          <w:sz w:val="22"/>
          <w:szCs w:val="22"/>
          <w14:ligatures w14:val="none"/>
        </w:rPr>
        <w:t>Leadership Team</w:t>
      </w:r>
      <w:r w:rsidRPr="00A1082E">
        <w:rPr>
          <w:rFonts w:ascii="Arial" w:eastAsia="Times New Roman" w:hAnsi="Arial" w:cs="Arial"/>
          <w:kern w:val="0"/>
          <w:sz w:val="22"/>
          <w:szCs w:val="22"/>
          <w14:ligatures w14:val="none"/>
        </w:rPr>
        <w:t xml:space="preserve">. Available at: </w:t>
      </w:r>
      <w:hyperlink r:id="rId14" w:history="1">
        <w:r w:rsidR="00A1082E" w:rsidRPr="00A1082E">
          <w:rPr>
            <w:rStyle w:val="Hyperlink"/>
            <w:rFonts w:ascii="Arial" w:eastAsia="Times New Roman" w:hAnsi="Arial" w:cs="Arial"/>
            <w:kern w:val="0"/>
            <w:sz w:val="22"/>
            <w:szCs w:val="22"/>
            <w14:ligatures w14:val="none"/>
          </w:rPr>
          <w:t>https://www.jaguarlandrover.com/leadership</w:t>
        </w:r>
      </w:hyperlink>
    </w:p>
    <w:p w14:paraId="216DCAB0" w14:textId="77777777"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Kotter, J.P. (2012) </w:t>
      </w:r>
      <w:r w:rsidRPr="00A1082E">
        <w:rPr>
          <w:rFonts w:ascii="Arial" w:eastAsia="Times New Roman" w:hAnsi="Arial" w:cs="Arial"/>
          <w:i/>
          <w:iCs/>
          <w:kern w:val="0"/>
          <w:sz w:val="22"/>
          <w:szCs w:val="22"/>
          <w14:ligatures w14:val="none"/>
        </w:rPr>
        <w:t>Leading Change</w:t>
      </w:r>
      <w:r w:rsidRPr="00A1082E">
        <w:rPr>
          <w:rFonts w:ascii="Arial" w:eastAsia="Times New Roman" w:hAnsi="Arial" w:cs="Arial"/>
          <w:kern w:val="0"/>
          <w:sz w:val="22"/>
          <w:szCs w:val="22"/>
          <w14:ligatures w14:val="none"/>
        </w:rPr>
        <w:t>. Harvard Business Review Press.</w:t>
      </w:r>
    </w:p>
    <w:p w14:paraId="0C057531" w14:textId="77777777"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McKinsey (2022) </w:t>
      </w:r>
      <w:r w:rsidRPr="00A1082E">
        <w:rPr>
          <w:rFonts w:ascii="Arial" w:eastAsia="Times New Roman" w:hAnsi="Arial" w:cs="Arial"/>
          <w:i/>
          <w:iCs/>
          <w:kern w:val="0"/>
          <w:sz w:val="22"/>
          <w:szCs w:val="22"/>
          <w14:ligatures w14:val="none"/>
        </w:rPr>
        <w:t>Automotive Sector: Future Trends</w:t>
      </w:r>
      <w:r w:rsidRPr="00A1082E">
        <w:rPr>
          <w:rFonts w:ascii="Arial" w:eastAsia="Times New Roman" w:hAnsi="Arial" w:cs="Arial"/>
          <w:kern w:val="0"/>
          <w:sz w:val="22"/>
          <w:szCs w:val="22"/>
          <w14:ligatures w14:val="none"/>
        </w:rPr>
        <w:t xml:space="preserve">. Available at: </w:t>
      </w:r>
      <w:hyperlink r:id="rId15" w:history="1">
        <w:r w:rsidRPr="00A1082E">
          <w:rPr>
            <w:rFonts w:ascii="Arial" w:eastAsia="Times New Roman" w:hAnsi="Arial" w:cs="Arial"/>
            <w:color w:val="0000FF"/>
            <w:kern w:val="0"/>
            <w:sz w:val="22"/>
            <w:szCs w:val="22"/>
            <w:u w:val="single"/>
            <w14:ligatures w14:val="none"/>
          </w:rPr>
          <w:t>https://www.mckinsey.com/industries/automotive-and-assembly/our-insights</w:t>
        </w:r>
      </w:hyperlink>
    </w:p>
    <w:p w14:paraId="486D9591" w14:textId="77777777"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PwC (2023) </w:t>
      </w:r>
      <w:r w:rsidRPr="00A1082E">
        <w:rPr>
          <w:rFonts w:ascii="Arial" w:eastAsia="Times New Roman" w:hAnsi="Arial" w:cs="Arial"/>
          <w:i/>
          <w:iCs/>
          <w:kern w:val="0"/>
          <w:sz w:val="22"/>
          <w:szCs w:val="22"/>
          <w14:ligatures w14:val="none"/>
        </w:rPr>
        <w:t>Automotive Industry Trends 2023</w:t>
      </w:r>
      <w:r w:rsidRPr="00A1082E">
        <w:rPr>
          <w:rFonts w:ascii="Arial" w:eastAsia="Times New Roman" w:hAnsi="Arial" w:cs="Arial"/>
          <w:kern w:val="0"/>
          <w:sz w:val="22"/>
          <w:szCs w:val="22"/>
          <w14:ligatures w14:val="none"/>
        </w:rPr>
        <w:t xml:space="preserve">. Available at: </w:t>
      </w:r>
      <w:hyperlink r:id="rId16" w:history="1">
        <w:r w:rsidRPr="00A1082E">
          <w:rPr>
            <w:rFonts w:ascii="Arial" w:eastAsia="Times New Roman" w:hAnsi="Arial" w:cs="Arial"/>
            <w:color w:val="0000FF"/>
            <w:kern w:val="0"/>
            <w:sz w:val="22"/>
            <w:szCs w:val="22"/>
            <w:u w:val="single"/>
            <w14:ligatures w14:val="none"/>
          </w:rPr>
          <w:t>https://www.pwc.com/automotive-trends</w:t>
        </w:r>
      </w:hyperlink>
    </w:p>
    <w:p w14:paraId="2F0FC16E" w14:textId="77777777"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Reuters (2022) ‘JLR Hit by Chip Crisis’. Available at: </w:t>
      </w:r>
      <w:hyperlink r:id="rId17" w:history="1">
        <w:r w:rsidRPr="00A1082E">
          <w:rPr>
            <w:rFonts w:ascii="Arial" w:eastAsia="Times New Roman" w:hAnsi="Arial" w:cs="Arial"/>
            <w:color w:val="0000FF"/>
            <w:kern w:val="0"/>
            <w:sz w:val="22"/>
            <w:szCs w:val="22"/>
            <w:u w:val="single"/>
            <w14:ligatures w14:val="none"/>
          </w:rPr>
          <w:t>https://www.reuters.com/business/autos-transportation/jlr-chip-shortage</w:t>
        </w:r>
      </w:hyperlink>
    </w:p>
    <w:p w14:paraId="0A7C6611" w14:textId="77777777"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Smith, M. &amp; Lewis, M. (2020) ‘Cultural Change in UK Manufacturers: The JLR Case’, </w:t>
      </w:r>
      <w:r w:rsidRPr="00A1082E">
        <w:rPr>
          <w:rFonts w:ascii="Arial" w:eastAsia="Times New Roman" w:hAnsi="Arial" w:cs="Arial"/>
          <w:i/>
          <w:iCs/>
          <w:kern w:val="0"/>
          <w:sz w:val="22"/>
          <w:szCs w:val="22"/>
          <w14:ligatures w14:val="none"/>
        </w:rPr>
        <w:t>Journal of Change Management</w:t>
      </w:r>
      <w:r w:rsidRPr="00A1082E">
        <w:rPr>
          <w:rFonts w:ascii="Arial" w:eastAsia="Times New Roman" w:hAnsi="Arial" w:cs="Arial"/>
          <w:kern w:val="0"/>
          <w:sz w:val="22"/>
          <w:szCs w:val="22"/>
          <w14:ligatures w14:val="none"/>
        </w:rPr>
        <w:t>, 48(3), pp. 230–244.</w:t>
      </w:r>
    </w:p>
    <w:p w14:paraId="61644A21" w14:textId="77777777"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Statista (2024) </w:t>
      </w:r>
      <w:r w:rsidRPr="00A1082E">
        <w:rPr>
          <w:rFonts w:ascii="Arial" w:eastAsia="Times New Roman" w:hAnsi="Arial" w:cs="Arial"/>
          <w:i/>
          <w:iCs/>
          <w:kern w:val="0"/>
          <w:sz w:val="22"/>
          <w:szCs w:val="22"/>
          <w14:ligatures w14:val="none"/>
        </w:rPr>
        <w:t>JLR Global Sales 2012–2023</w:t>
      </w:r>
      <w:r w:rsidRPr="00A1082E">
        <w:rPr>
          <w:rFonts w:ascii="Arial" w:eastAsia="Times New Roman" w:hAnsi="Arial" w:cs="Arial"/>
          <w:kern w:val="0"/>
          <w:sz w:val="22"/>
          <w:szCs w:val="22"/>
          <w14:ligatures w14:val="none"/>
        </w:rPr>
        <w:t xml:space="preserve">. Available at: </w:t>
      </w:r>
      <w:hyperlink r:id="rId18" w:history="1">
        <w:r w:rsidRPr="00A1082E">
          <w:rPr>
            <w:rFonts w:ascii="Arial" w:eastAsia="Times New Roman" w:hAnsi="Arial" w:cs="Arial"/>
            <w:color w:val="0000FF"/>
            <w:kern w:val="0"/>
            <w:sz w:val="22"/>
            <w:szCs w:val="22"/>
            <w:u w:val="single"/>
            <w14:ligatures w14:val="none"/>
          </w:rPr>
          <w:t>https://www.statista.com/statistics/jlr-sales</w:t>
        </w:r>
      </w:hyperlink>
    </w:p>
    <w:p w14:paraId="5F7CB76B" w14:textId="77777777"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lastRenderedPageBreak/>
        <w:t xml:space="preserve">Tata Motors (2022) </w:t>
      </w:r>
      <w:r w:rsidRPr="00A1082E">
        <w:rPr>
          <w:rFonts w:ascii="Arial" w:eastAsia="Times New Roman" w:hAnsi="Arial" w:cs="Arial"/>
          <w:i/>
          <w:iCs/>
          <w:kern w:val="0"/>
          <w:sz w:val="22"/>
          <w:szCs w:val="22"/>
          <w14:ligatures w14:val="none"/>
        </w:rPr>
        <w:t>Annual Report</w:t>
      </w:r>
      <w:r w:rsidRPr="00A1082E">
        <w:rPr>
          <w:rFonts w:ascii="Arial" w:eastAsia="Times New Roman" w:hAnsi="Arial" w:cs="Arial"/>
          <w:kern w:val="0"/>
          <w:sz w:val="22"/>
          <w:szCs w:val="22"/>
          <w14:ligatures w14:val="none"/>
        </w:rPr>
        <w:t xml:space="preserve">. Available at: </w:t>
      </w:r>
      <w:hyperlink r:id="rId19" w:history="1">
        <w:r w:rsidRPr="00A1082E">
          <w:rPr>
            <w:rFonts w:ascii="Arial" w:eastAsia="Times New Roman" w:hAnsi="Arial" w:cs="Arial"/>
            <w:color w:val="0000FF"/>
            <w:kern w:val="0"/>
            <w:sz w:val="22"/>
            <w:szCs w:val="22"/>
            <w:u w:val="single"/>
            <w14:ligatures w14:val="none"/>
          </w:rPr>
          <w:t>https://www.tatamotors.com/investors/annual-reports</w:t>
        </w:r>
      </w:hyperlink>
    </w:p>
    <w:p w14:paraId="4E955F22" w14:textId="77777777" w:rsidR="00B5353B" w:rsidRPr="00A1082E" w:rsidRDefault="00B5353B" w:rsidP="00A1082E">
      <w:pPr>
        <w:spacing w:before="120" w:after="120" w:line="360" w:lineRule="auto"/>
        <w:rPr>
          <w:rFonts w:ascii="Arial" w:eastAsia="Times New Roman" w:hAnsi="Arial" w:cs="Arial"/>
          <w:kern w:val="0"/>
          <w:sz w:val="22"/>
          <w:szCs w:val="22"/>
          <w14:ligatures w14:val="none"/>
        </w:rPr>
      </w:pPr>
      <w:r w:rsidRPr="00A1082E">
        <w:rPr>
          <w:rFonts w:ascii="Arial" w:eastAsia="Times New Roman" w:hAnsi="Arial" w:cs="Arial"/>
          <w:kern w:val="0"/>
          <w:sz w:val="22"/>
          <w:szCs w:val="22"/>
          <w14:ligatures w14:val="none"/>
        </w:rPr>
        <w:t xml:space="preserve">UK Government (2020) ‘The Road to Zero: Ending the Sale of New Petrol and Diesel Cars’. Available at: </w:t>
      </w:r>
      <w:hyperlink r:id="rId20" w:history="1">
        <w:r w:rsidRPr="00A1082E">
          <w:rPr>
            <w:rFonts w:ascii="Arial" w:eastAsia="Times New Roman" w:hAnsi="Arial" w:cs="Arial"/>
            <w:color w:val="0000FF"/>
            <w:kern w:val="0"/>
            <w:sz w:val="22"/>
            <w:szCs w:val="22"/>
            <w:u w:val="single"/>
            <w14:ligatures w14:val="none"/>
          </w:rPr>
          <w:t>https://www.gov.uk/government/publications/road-to-zero</w:t>
        </w:r>
      </w:hyperlink>
    </w:p>
    <w:p w14:paraId="0947DB10" w14:textId="77777777" w:rsidR="007B411C" w:rsidRPr="00A1082E" w:rsidRDefault="007B411C" w:rsidP="00A1082E">
      <w:pPr>
        <w:spacing w:line="360" w:lineRule="auto"/>
        <w:rPr>
          <w:rFonts w:ascii="Arial" w:hAnsi="Arial" w:cs="Arial"/>
          <w:sz w:val="22"/>
          <w:szCs w:val="22"/>
        </w:rPr>
      </w:pPr>
    </w:p>
    <w:sectPr w:rsidR="007B411C" w:rsidRPr="00A1082E">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96353" w14:textId="77777777" w:rsidR="000C1405" w:rsidRDefault="000C1405" w:rsidP="00A1082E">
      <w:pPr>
        <w:spacing w:after="0" w:line="240" w:lineRule="auto"/>
      </w:pPr>
      <w:r>
        <w:separator/>
      </w:r>
    </w:p>
  </w:endnote>
  <w:endnote w:type="continuationSeparator" w:id="0">
    <w:p w14:paraId="3D455CFA" w14:textId="77777777" w:rsidR="000C1405" w:rsidRDefault="000C1405" w:rsidP="00A10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9458185"/>
      <w:docPartObj>
        <w:docPartGallery w:val="Page Numbers (Bottom of Page)"/>
        <w:docPartUnique/>
      </w:docPartObj>
    </w:sdtPr>
    <w:sdtEndPr>
      <w:rPr>
        <w:noProof/>
      </w:rPr>
    </w:sdtEndPr>
    <w:sdtContent>
      <w:p w14:paraId="399E39C5" w14:textId="028AD101" w:rsidR="00A1082E" w:rsidRDefault="00A108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B8DB4D" w14:textId="77777777" w:rsidR="00A1082E" w:rsidRDefault="00A108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36AD2" w14:textId="77777777" w:rsidR="000C1405" w:rsidRDefault="000C1405" w:rsidP="00A1082E">
      <w:pPr>
        <w:spacing w:after="0" w:line="240" w:lineRule="auto"/>
      </w:pPr>
      <w:r>
        <w:separator/>
      </w:r>
    </w:p>
  </w:footnote>
  <w:footnote w:type="continuationSeparator" w:id="0">
    <w:p w14:paraId="0649896B" w14:textId="77777777" w:rsidR="000C1405" w:rsidRDefault="000C1405" w:rsidP="00A108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74D0E"/>
    <w:multiLevelType w:val="multilevel"/>
    <w:tmpl w:val="B7943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32937"/>
    <w:multiLevelType w:val="multilevel"/>
    <w:tmpl w:val="CF52F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1814D7"/>
    <w:multiLevelType w:val="multilevel"/>
    <w:tmpl w:val="75B41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942E29"/>
    <w:multiLevelType w:val="multilevel"/>
    <w:tmpl w:val="3EE67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2F5671"/>
    <w:multiLevelType w:val="multilevel"/>
    <w:tmpl w:val="046AC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E8164E"/>
    <w:multiLevelType w:val="multilevel"/>
    <w:tmpl w:val="C67E6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00002E"/>
    <w:multiLevelType w:val="multilevel"/>
    <w:tmpl w:val="445E1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B322AC"/>
    <w:multiLevelType w:val="multilevel"/>
    <w:tmpl w:val="CE867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8970CC"/>
    <w:multiLevelType w:val="multilevel"/>
    <w:tmpl w:val="28580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D60838"/>
    <w:multiLevelType w:val="multilevel"/>
    <w:tmpl w:val="DC5E8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2E13C2"/>
    <w:multiLevelType w:val="multilevel"/>
    <w:tmpl w:val="46BAA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50350E"/>
    <w:multiLevelType w:val="multilevel"/>
    <w:tmpl w:val="3EA0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AE5239"/>
    <w:multiLevelType w:val="multilevel"/>
    <w:tmpl w:val="4F003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0011C6"/>
    <w:multiLevelType w:val="multilevel"/>
    <w:tmpl w:val="2886F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F74408"/>
    <w:multiLevelType w:val="multilevel"/>
    <w:tmpl w:val="75DAC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A94160"/>
    <w:multiLevelType w:val="hybridMultilevel"/>
    <w:tmpl w:val="6780F2DA"/>
    <w:lvl w:ilvl="0" w:tplc="5C463F08">
      <w:start w:val="7"/>
      <w:numFmt w:val="decimal"/>
      <w:lvlText w:val="%1."/>
      <w:lvlJc w:val="left"/>
      <w:pPr>
        <w:ind w:left="785" w:hanging="360"/>
      </w:pPr>
      <w:rPr>
        <w:rFonts w:hint="default"/>
        <w:b w:val="0"/>
        <w:bCs/>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6" w15:restartNumberingAfterBreak="0">
    <w:nsid w:val="42212658"/>
    <w:multiLevelType w:val="multilevel"/>
    <w:tmpl w:val="751AC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EB3723"/>
    <w:multiLevelType w:val="multilevel"/>
    <w:tmpl w:val="130C1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F62937"/>
    <w:multiLevelType w:val="multilevel"/>
    <w:tmpl w:val="C5B64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AB59DD"/>
    <w:multiLevelType w:val="multilevel"/>
    <w:tmpl w:val="99E44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8743E7"/>
    <w:multiLevelType w:val="multilevel"/>
    <w:tmpl w:val="A498C5F8"/>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A8A57D4"/>
    <w:multiLevelType w:val="multilevel"/>
    <w:tmpl w:val="4808E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B80643"/>
    <w:multiLevelType w:val="multilevel"/>
    <w:tmpl w:val="E10C2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F83017"/>
    <w:multiLevelType w:val="multilevel"/>
    <w:tmpl w:val="55200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3308FA"/>
    <w:multiLevelType w:val="multilevel"/>
    <w:tmpl w:val="FA80A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675714"/>
    <w:multiLevelType w:val="multilevel"/>
    <w:tmpl w:val="E05CE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E1712C"/>
    <w:multiLevelType w:val="multilevel"/>
    <w:tmpl w:val="C74C3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474529"/>
    <w:multiLevelType w:val="multilevel"/>
    <w:tmpl w:val="EF6A7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A24CE3"/>
    <w:multiLevelType w:val="multilevel"/>
    <w:tmpl w:val="D3608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BC3E5A"/>
    <w:multiLevelType w:val="multilevel"/>
    <w:tmpl w:val="8A882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A0486B"/>
    <w:multiLevelType w:val="multilevel"/>
    <w:tmpl w:val="D58AB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462E68"/>
    <w:multiLevelType w:val="multilevel"/>
    <w:tmpl w:val="F8767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FB328F"/>
    <w:multiLevelType w:val="multilevel"/>
    <w:tmpl w:val="9D843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F476AF"/>
    <w:multiLevelType w:val="multilevel"/>
    <w:tmpl w:val="E9C0F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B233AD"/>
    <w:multiLevelType w:val="multilevel"/>
    <w:tmpl w:val="4D58A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CF3DBD"/>
    <w:multiLevelType w:val="multilevel"/>
    <w:tmpl w:val="6C788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0C2B38"/>
    <w:multiLevelType w:val="multilevel"/>
    <w:tmpl w:val="9544C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CB0F7F"/>
    <w:multiLevelType w:val="multilevel"/>
    <w:tmpl w:val="54C2E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391646"/>
    <w:multiLevelType w:val="multilevel"/>
    <w:tmpl w:val="66CE5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96369B"/>
    <w:multiLevelType w:val="multilevel"/>
    <w:tmpl w:val="3ACE6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8168E5"/>
    <w:multiLevelType w:val="multilevel"/>
    <w:tmpl w:val="D2A22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2E3165"/>
    <w:multiLevelType w:val="multilevel"/>
    <w:tmpl w:val="76066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BA36F2"/>
    <w:multiLevelType w:val="multilevel"/>
    <w:tmpl w:val="30A22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9A2122"/>
    <w:multiLevelType w:val="multilevel"/>
    <w:tmpl w:val="A498C5F8"/>
    <w:styleLink w:val="CurrentList1"/>
    <w:lvl w:ilvl="0">
      <w:start w:val="1"/>
      <w:numFmt w:val="decimal"/>
      <w:lvlText w:val="%1."/>
      <w:lvlJc w:val="left"/>
      <w:pPr>
        <w:tabs>
          <w:tab w:val="num" w:pos="720"/>
        </w:tabs>
        <w:ind w:left="720" w:hanging="36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79297A36"/>
    <w:multiLevelType w:val="multilevel"/>
    <w:tmpl w:val="563A8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C66F24"/>
    <w:multiLevelType w:val="multilevel"/>
    <w:tmpl w:val="F91A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57306">
    <w:abstractNumId w:val="2"/>
  </w:num>
  <w:num w:numId="2" w16cid:durableId="940067216">
    <w:abstractNumId w:val="5"/>
  </w:num>
  <w:num w:numId="3" w16cid:durableId="1485270802">
    <w:abstractNumId w:val="32"/>
  </w:num>
  <w:num w:numId="4" w16cid:durableId="883443304">
    <w:abstractNumId w:val="18"/>
  </w:num>
  <w:num w:numId="5" w16cid:durableId="1214537689">
    <w:abstractNumId w:val="21"/>
  </w:num>
  <w:num w:numId="6" w16cid:durableId="1881823563">
    <w:abstractNumId w:val="31"/>
  </w:num>
  <w:num w:numId="7" w16cid:durableId="289285618">
    <w:abstractNumId w:val="37"/>
  </w:num>
  <w:num w:numId="8" w16cid:durableId="1359046179">
    <w:abstractNumId w:val="40"/>
  </w:num>
  <w:num w:numId="9" w16cid:durableId="142360532">
    <w:abstractNumId w:val="4"/>
  </w:num>
  <w:num w:numId="10" w16cid:durableId="446581972">
    <w:abstractNumId w:val="30"/>
  </w:num>
  <w:num w:numId="11" w16cid:durableId="933899668">
    <w:abstractNumId w:val="20"/>
  </w:num>
  <w:num w:numId="12" w16cid:durableId="407196976">
    <w:abstractNumId w:val="19"/>
  </w:num>
  <w:num w:numId="13" w16cid:durableId="206570576">
    <w:abstractNumId w:val="38"/>
  </w:num>
  <w:num w:numId="14" w16cid:durableId="1567187066">
    <w:abstractNumId w:val="12"/>
  </w:num>
  <w:num w:numId="15" w16cid:durableId="1859461555">
    <w:abstractNumId w:val="41"/>
  </w:num>
  <w:num w:numId="16" w16cid:durableId="898131062">
    <w:abstractNumId w:val="1"/>
  </w:num>
  <w:num w:numId="17" w16cid:durableId="2111462831">
    <w:abstractNumId w:val="29"/>
  </w:num>
  <w:num w:numId="18" w16cid:durableId="152765953">
    <w:abstractNumId w:val="23"/>
  </w:num>
  <w:num w:numId="19" w16cid:durableId="1800298270">
    <w:abstractNumId w:val="0"/>
  </w:num>
  <w:num w:numId="20" w16cid:durableId="1160929307">
    <w:abstractNumId w:val="25"/>
  </w:num>
  <w:num w:numId="21" w16cid:durableId="1812287384">
    <w:abstractNumId w:val="9"/>
  </w:num>
  <w:num w:numId="22" w16cid:durableId="2101676011">
    <w:abstractNumId w:val="16"/>
  </w:num>
  <w:num w:numId="23" w16cid:durableId="1713076058">
    <w:abstractNumId w:val="36"/>
  </w:num>
  <w:num w:numId="24" w16cid:durableId="323053054">
    <w:abstractNumId w:val="3"/>
  </w:num>
  <w:num w:numId="25" w16cid:durableId="1995833763">
    <w:abstractNumId w:val="6"/>
  </w:num>
  <w:num w:numId="26" w16cid:durableId="1268467814">
    <w:abstractNumId w:val="44"/>
  </w:num>
  <w:num w:numId="27" w16cid:durableId="1335299030">
    <w:abstractNumId w:val="8"/>
  </w:num>
  <w:num w:numId="28" w16cid:durableId="1115095438">
    <w:abstractNumId w:val="24"/>
  </w:num>
  <w:num w:numId="29" w16cid:durableId="501627720">
    <w:abstractNumId w:val="17"/>
  </w:num>
  <w:num w:numId="30" w16cid:durableId="328797499">
    <w:abstractNumId w:val="45"/>
  </w:num>
  <w:num w:numId="31" w16cid:durableId="293944838">
    <w:abstractNumId w:val="28"/>
  </w:num>
  <w:num w:numId="32" w16cid:durableId="1224100137">
    <w:abstractNumId w:val="14"/>
  </w:num>
  <w:num w:numId="33" w16cid:durableId="392196269">
    <w:abstractNumId w:val="35"/>
  </w:num>
  <w:num w:numId="34" w16cid:durableId="1929927220">
    <w:abstractNumId w:val="33"/>
  </w:num>
  <w:num w:numId="35" w16cid:durableId="1986545315">
    <w:abstractNumId w:val="26"/>
  </w:num>
  <w:num w:numId="36" w16cid:durableId="945776167">
    <w:abstractNumId w:val="10"/>
  </w:num>
  <w:num w:numId="37" w16cid:durableId="1020279293">
    <w:abstractNumId w:val="7"/>
  </w:num>
  <w:num w:numId="38" w16cid:durableId="2113931884">
    <w:abstractNumId w:val="39"/>
  </w:num>
  <w:num w:numId="39" w16cid:durableId="95255902">
    <w:abstractNumId w:val="42"/>
  </w:num>
  <w:num w:numId="40" w16cid:durableId="1280330538">
    <w:abstractNumId w:val="27"/>
  </w:num>
  <w:num w:numId="41" w16cid:durableId="360403470">
    <w:abstractNumId w:val="22"/>
  </w:num>
  <w:num w:numId="42" w16cid:durableId="560409985">
    <w:abstractNumId w:val="13"/>
  </w:num>
  <w:num w:numId="43" w16cid:durableId="1326594486">
    <w:abstractNumId w:val="34"/>
  </w:num>
  <w:num w:numId="44" w16cid:durableId="418675359">
    <w:abstractNumId w:val="11"/>
  </w:num>
  <w:num w:numId="45" w16cid:durableId="1255943799">
    <w:abstractNumId w:val="43"/>
  </w:num>
  <w:num w:numId="46" w16cid:durableId="9252634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377"/>
    <w:rsid w:val="000C1405"/>
    <w:rsid w:val="00166178"/>
    <w:rsid w:val="00193CDA"/>
    <w:rsid w:val="00474C5A"/>
    <w:rsid w:val="004F645D"/>
    <w:rsid w:val="00550BFA"/>
    <w:rsid w:val="00646F28"/>
    <w:rsid w:val="007B411C"/>
    <w:rsid w:val="00A1082E"/>
    <w:rsid w:val="00B5353B"/>
    <w:rsid w:val="00B80063"/>
    <w:rsid w:val="00DD3377"/>
    <w:rsid w:val="00E77111"/>
    <w:rsid w:val="00F51B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32BA4D"/>
  <w15:chartTrackingRefBased/>
  <w15:docId w15:val="{A39A1E18-CA47-473E-AEE0-D59B5F0B5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1"/>
        <w:lang w:val="en-GB" w:eastAsia="zh-CN" w:bidi="ar-SA"/>
        <w14:ligatures w14:val="standardContextual"/>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CDA"/>
  </w:style>
  <w:style w:type="paragraph" w:styleId="Heading1">
    <w:name w:val="heading 1"/>
    <w:basedOn w:val="Normal"/>
    <w:next w:val="Normal"/>
    <w:link w:val="Heading1Char"/>
    <w:uiPriority w:val="9"/>
    <w:qFormat/>
    <w:rsid w:val="00193CDA"/>
    <w:pPr>
      <w:keepNext/>
      <w:keepLines/>
      <w:spacing w:before="360" w:after="40" w:line="240" w:lineRule="auto"/>
      <w:outlineLvl w:val="0"/>
    </w:pPr>
    <w:rPr>
      <w:rFonts w:asciiTheme="majorHAnsi" w:eastAsiaTheme="majorEastAsia" w:hAnsiTheme="majorHAnsi" w:cstheme="majorBidi"/>
      <w:color w:val="AD2750" w:themeColor="accent6" w:themeShade="BF"/>
      <w:sz w:val="40"/>
      <w:szCs w:val="40"/>
    </w:rPr>
  </w:style>
  <w:style w:type="paragraph" w:styleId="Heading2">
    <w:name w:val="heading 2"/>
    <w:basedOn w:val="Normal"/>
    <w:next w:val="Normal"/>
    <w:link w:val="Heading2Char"/>
    <w:uiPriority w:val="9"/>
    <w:semiHidden/>
    <w:unhideWhenUsed/>
    <w:qFormat/>
    <w:rsid w:val="00193CDA"/>
    <w:pPr>
      <w:keepNext/>
      <w:keepLines/>
      <w:spacing w:before="80" w:after="0" w:line="240" w:lineRule="auto"/>
      <w:outlineLvl w:val="1"/>
    </w:pPr>
    <w:rPr>
      <w:rFonts w:asciiTheme="majorHAnsi" w:eastAsiaTheme="majorEastAsia" w:hAnsiTheme="majorHAnsi" w:cstheme="majorBidi"/>
      <w:color w:val="AD2750" w:themeColor="accent6" w:themeShade="BF"/>
      <w:sz w:val="28"/>
      <w:szCs w:val="28"/>
    </w:rPr>
  </w:style>
  <w:style w:type="paragraph" w:styleId="Heading3">
    <w:name w:val="heading 3"/>
    <w:basedOn w:val="Normal"/>
    <w:next w:val="Normal"/>
    <w:link w:val="Heading3Char"/>
    <w:uiPriority w:val="9"/>
    <w:semiHidden/>
    <w:unhideWhenUsed/>
    <w:qFormat/>
    <w:rsid w:val="00193CDA"/>
    <w:pPr>
      <w:keepNext/>
      <w:keepLines/>
      <w:spacing w:before="80" w:after="0" w:line="240" w:lineRule="auto"/>
      <w:outlineLvl w:val="2"/>
    </w:pPr>
    <w:rPr>
      <w:rFonts w:asciiTheme="majorHAnsi" w:eastAsiaTheme="majorEastAsia" w:hAnsiTheme="majorHAnsi" w:cstheme="majorBidi"/>
      <w:color w:val="AD2750" w:themeColor="accent6" w:themeShade="BF"/>
      <w:sz w:val="24"/>
      <w:szCs w:val="24"/>
    </w:rPr>
  </w:style>
  <w:style w:type="paragraph" w:styleId="Heading4">
    <w:name w:val="heading 4"/>
    <w:basedOn w:val="Normal"/>
    <w:next w:val="Normal"/>
    <w:link w:val="Heading4Char"/>
    <w:uiPriority w:val="9"/>
    <w:semiHidden/>
    <w:unhideWhenUsed/>
    <w:qFormat/>
    <w:rsid w:val="00193CDA"/>
    <w:pPr>
      <w:keepNext/>
      <w:keepLines/>
      <w:spacing w:before="80" w:after="0"/>
      <w:outlineLvl w:val="3"/>
    </w:pPr>
    <w:rPr>
      <w:rFonts w:asciiTheme="majorHAnsi" w:eastAsiaTheme="majorEastAsia" w:hAnsiTheme="majorHAnsi" w:cstheme="majorBidi"/>
      <w:color w:val="D54773" w:themeColor="accent6"/>
      <w:sz w:val="22"/>
      <w:szCs w:val="22"/>
    </w:rPr>
  </w:style>
  <w:style w:type="paragraph" w:styleId="Heading5">
    <w:name w:val="heading 5"/>
    <w:basedOn w:val="Normal"/>
    <w:next w:val="Normal"/>
    <w:link w:val="Heading5Char"/>
    <w:uiPriority w:val="9"/>
    <w:semiHidden/>
    <w:unhideWhenUsed/>
    <w:qFormat/>
    <w:rsid w:val="00193CDA"/>
    <w:pPr>
      <w:keepNext/>
      <w:keepLines/>
      <w:spacing w:before="40" w:after="0"/>
      <w:outlineLvl w:val="4"/>
    </w:pPr>
    <w:rPr>
      <w:rFonts w:asciiTheme="majorHAnsi" w:eastAsiaTheme="majorEastAsia" w:hAnsiTheme="majorHAnsi" w:cstheme="majorBidi"/>
      <w:i/>
      <w:iCs/>
      <w:color w:val="D54773" w:themeColor="accent6"/>
      <w:sz w:val="22"/>
      <w:szCs w:val="22"/>
    </w:rPr>
  </w:style>
  <w:style w:type="paragraph" w:styleId="Heading6">
    <w:name w:val="heading 6"/>
    <w:basedOn w:val="Normal"/>
    <w:next w:val="Normal"/>
    <w:link w:val="Heading6Char"/>
    <w:uiPriority w:val="9"/>
    <w:semiHidden/>
    <w:unhideWhenUsed/>
    <w:qFormat/>
    <w:rsid w:val="00193CDA"/>
    <w:pPr>
      <w:keepNext/>
      <w:keepLines/>
      <w:spacing w:before="40" w:after="0"/>
      <w:outlineLvl w:val="5"/>
    </w:pPr>
    <w:rPr>
      <w:rFonts w:asciiTheme="majorHAnsi" w:eastAsiaTheme="majorEastAsia" w:hAnsiTheme="majorHAnsi" w:cstheme="majorBidi"/>
      <w:color w:val="D54773" w:themeColor="accent6"/>
    </w:rPr>
  </w:style>
  <w:style w:type="paragraph" w:styleId="Heading7">
    <w:name w:val="heading 7"/>
    <w:basedOn w:val="Normal"/>
    <w:next w:val="Normal"/>
    <w:link w:val="Heading7Char"/>
    <w:uiPriority w:val="9"/>
    <w:semiHidden/>
    <w:unhideWhenUsed/>
    <w:qFormat/>
    <w:rsid w:val="00193CDA"/>
    <w:pPr>
      <w:keepNext/>
      <w:keepLines/>
      <w:spacing w:before="40" w:after="0"/>
      <w:outlineLvl w:val="6"/>
    </w:pPr>
    <w:rPr>
      <w:rFonts w:asciiTheme="majorHAnsi" w:eastAsiaTheme="majorEastAsia" w:hAnsiTheme="majorHAnsi" w:cstheme="majorBidi"/>
      <w:b/>
      <w:bCs/>
      <w:color w:val="D54773" w:themeColor="accent6"/>
    </w:rPr>
  </w:style>
  <w:style w:type="paragraph" w:styleId="Heading8">
    <w:name w:val="heading 8"/>
    <w:basedOn w:val="Normal"/>
    <w:next w:val="Normal"/>
    <w:link w:val="Heading8Char"/>
    <w:uiPriority w:val="9"/>
    <w:semiHidden/>
    <w:unhideWhenUsed/>
    <w:qFormat/>
    <w:rsid w:val="00193CDA"/>
    <w:pPr>
      <w:keepNext/>
      <w:keepLines/>
      <w:spacing w:before="40" w:after="0"/>
      <w:outlineLvl w:val="7"/>
    </w:pPr>
    <w:rPr>
      <w:rFonts w:asciiTheme="majorHAnsi" w:eastAsiaTheme="majorEastAsia" w:hAnsiTheme="majorHAnsi" w:cstheme="majorBidi"/>
      <w:b/>
      <w:bCs/>
      <w:i/>
      <w:iCs/>
      <w:color w:val="D54773" w:themeColor="accent6"/>
      <w:sz w:val="20"/>
      <w:szCs w:val="20"/>
    </w:rPr>
  </w:style>
  <w:style w:type="paragraph" w:styleId="Heading9">
    <w:name w:val="heading 9"/>
    <w:basedOn w:val="Normal"/>
    <w:next w:val="Normal"/>
    <w:link w:val="Heading9Char"/>
    <w:uiPriority w:val="9"/>
    <w:semiHidden/>
    <w:unhideWhenUsed/>
    <w:qFormat/>
    <w:rsid w:val="00193CDA"/>
    <w:pPr>
      <w:keepNext/>
      <w:keepLines/>
      <w:spacing w:before="40" w:after="0"/>
      <w:outlineLvl w:val="8"/>
    </w:pPr>
    <w:rPr>
      <w:rFonts w:asciiTheme="majorHAnsi" w:eastAsiaTheme="majorEastAsia" w:hAnsiTheme="majorHAnsi" w:cstheme="majorBidi"/>
      <w:i/>
      <w:iCs/>
      <w:color w:val="D54773"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CDA"/>
    <w:rPr>
      <w:rFonts w:asciiTheme="majorHAnsi" w:eastAsiaTheme="majorEastAsia" w:hAnsiTheme="majorHAnsi" w:cstheme="majorBidi"/>
      <w:color w:val="AD2750" w:themeColor="accent6" w:themeShade="BF"/>
      <w:sz w:val="40"/>
      <w:szCs w:val="40"/>
    </w:rPr>
  </w:style>
  <w:style w:type="character" w:customStyle="1" w:styleId="Heading2Char">
    <w:name w:val="Heading 2 Char"/>
    <w:basedOn w:val="DefaultParagraphFont"/>
    <w:link w:val="Heading2"/>
    <w:uiPriority w:val="9"/>
    <w:semiHidden/>
    <w:rsid w:val="00193CDA"/>
    <w:rPr>
      <w:rFonts w:asciiTheme="majorHAnsi" w:eastAsiaTheme="majorEastAsia" w:hAnsiTheme="majorHAnsi" w:cstheme="majorBidi"/>
      <w:color w:val="AD2750" w:themeColor="accent6" w:themeShade="BF"/>
      <w:sz w:val="28"/>
      <w:szCs w:val="28"/>
    </w:rPr>
  </w:style>
  <w:style w:type="character" w:customStyle="1" w:styleId="Heading3Char">
    <w:name w:val="Heading 3 Char"/>
    <w:basedOn w:val="DefaultParagraphFont"/>
    <w:link w:val="Heading3"/>
    <w:uiPriority w:val="9"/>
    <w:semiHidden/>
    <w:rsid w:val="00193CDA"/>
    <w:rPr>
      <w:rFonts w:asciiTheme="majorHAnsi" w:eastAsiaTheme="majorEastAsia" w:hAnsiTheme="majorHAnsi" w:cstheme="majorBidi"/>
      <w:color w:val="AD2750" w:themeColor="accent6" w:themeShade="BF"/>
      <w:sz w:val="24"/>
      <w:szCs w:val="24"/>
    </w:rPr>
  </w:style>
  <w:style w:type="character" w:customStyle="1" w:styleId="Heading4Char">
    <w:name w:val="Heading 4 Char"/>
    <w:basedOn w:val="DefaultParagraphFont"/>
    <w:link w:val="Heading4"/>
    <w:uiPriority w:val="9"/>
    <w:semiHidden/>
    <w:rsid w:val="00193CDA"/>
    <w:rPr>
      <w:rFonts w:asciiTheme="majorHAnsi" w:eastAsiaTheme="majorEastAsia" w:hAnsiTheme="majorHAnsi" w:cstheme="majorBidi"/>
      <w:color w:val="D54773" w:themeColor="accent6"/>
      <w:sz w:val="22"/>
      <w:szCs w:val="22"/>
    </w:rPr>
  </w:style>
  <w:style w:type="character" w:customStyle="1" w:styleId="Heading5Char">
    <w:name w:val="Heading 5 Char"/>
    <w:basedOn w:val="DefaultParagraphFont"/>
    <w:link w:val="Heading5"/>
    <w:uiPriority w:val="9"/>
    <w:semiHidden/>
    <w:rsid w:val="00193CDA"/>
    <w:rPr>
      <w:rFonts w:asciiTheme="majorHAnsi" w:eastAsiaTheme="majorEastAsia" w:hAnsiTheme="majorHAnsi" w:cstheme="majorBidi"/>
      <w:i/>
      <w:iCs/>
      <w:color w:val="D54773" w:themeColor="accent6"/>
      <w:sz w:val="22"/>
      <w:szCs w:val="22"/>
    </w:rPr>
  </w:style>
  <w:style w:type="character" w:customStyle="1" w:styleId="Heading6Char">
    <w:name w:val="Heading 6 Char"/>
    <w:basedOn w:val="DefaultParagraphFont"/>
    <w:link w:val="Heading6"/>
    <w:uiPriority w:val="9"/>
    <w:semiHidden/>
    <w:rsid w:val="00193CDA"/>
    <w:rPr>
      <w:rFonts w:asciiTheme="majorHAnsi" w:eastAsiaTheme="majorEastAsia" w:hAnsiTheme="majorHAnsi" w:cstheme="majorBidi"/>
      <w:color w:val="D54773" w:themeColor="accent6"/>
    </w:rPr>
  </w:style>
  <w:style w:type="character" w:customStyle="1" w:styleId="Heading7Char">
    <w:name w:val="Heading 7 Char"/>
    <w:basedOn w:val="DefaultParagraphFont"/>
    <w:link w:val="Heading7"/>
    <w:uiPriority w:val="9"/>
    <w:semiHidden/>
    <w:rsid w:val="00193CDA"/>
    <w:rPr>
      <w:rFonts w:asciiTheme="majorHAnsi" w:eastAsiaTheme="majorEastAsia" w:hAnsiTheme="majorHAnsi" w:cstheme="majorBidi"/>
      <w:b/>
      <w:bCs/>
      <w:color w:val="D54773" w:themeColor="accent6"/>
    </w:rPr>
  </w:style>
  <w:style w:type="character" w:customStyle="1" w:styleId="Heading8Char">
    <w:name w:val="Heading 8 Char"/>
    <w:basedOn w:val="DefaultParagraphFont"/>
    <w:link w:val="Heading8"/>
    <w:uiPriority w:val="9"/>
    <w:semiHidden/>
    <w:rsid w:val="00193CDA"/>
    <w:rPr>
      <w:rFonts w:asciiTheme="majorHAnsi" w:eastAsiaTheme="majorEastAsia" w:hAnsiTheme="majorHAnsi" w:cstheme="majorBidi"/>
      <w:b/>
      <w:bCs/>
      <w:i/>
      <w:iCs/>
      <w:color w:val="D54773" w:themeColor="accent6"/>
      <w:sz w:val="20"/>
      <w:szCs w:val="20"/>
    </w:rPr>
  </w:style>
  <w:style w:type="character" w:customStyle="1" w:styleId="Heading9Char">
    <w:name w:val="Heading 9 Char"/>
    <w:basedOn w:val="DefaultParagraphFont"/>
    <w:link w:val="Heading9"/>
    <w:uiPriority w:val="9"/>
    <w:semiHidden/>
    <w:rsid w:val="00193CDA"/>
    <w:rPr>
      <w:rFonts w:asciiTheme="majorHAnsi" w:eastAsiaTheme="majorEastAsia" w:hAnsiTheme="majorHAnsi" w:cstheme="majorBidi"/>
      <w:i/>
      <w:iCs/>
      <w:color w:val="D54773" w:themeColor="accent6"/>
      <w:sz w:val="20"/>
      <w:szCs w:val="20"/>
    </w:rPr>
  </w:style>
  <w:style w:type="paragraph" w:styleId="Caption">
    <w:name w:val="caption"/>
    <w:basedOn w:val="Normal"/>
    <w:next w:val="Normal"/>
    <w:uiPriority w:val="35"/>
    <w:semiHidden/>
    <w:unhideWhenUsed/>
    <w:qFormat/>
    <w:rsid w:val="00193CDA"/>
    <w:pPr>
      <w:spacing w:line="240" w:lineRule="auto"/>
    </w:pPr>
    <w:rPr>
      <w:b/>
      <w:bCs/>
      <w:smallCaps/>
      <w:color w:val="595959" w:themeColor="text1" w:themeTint="A6"/>
    </w:rPr>
  </w:style>
  <w:style w:type="paragraph" w:styleId="Title">
    <w:name w:val="Title"/>
    <w:basedOn w:val="Normal"/>
    <w:next w:val="Normal"/>
    <w:link w:val="TitleChar"/>
    <w:uiPriority w:val="10"/>
    <w:qFormat/>
    <w:rsid w:val="00193CDA"/>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193CDA"/>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193CDA"/>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193CDA"/>
    <w:rPr>
      <w:rFonts w:asciiTheme="majorHAnsi" w:eastAsiaTheme="majorEastAsia" w:hAnsiTheme="majorHAnsi" w:cstheme="majorBidi"/>
      <w:sz w:val="30"/>
      <w:szCs w:val="30"/>
    </w:rPr>
  </w:style>
  <w:style w:type="character" w:styleId="Strong">
    <w:name w:val="Strong"/>
    <w:basedOn w:val="DefaultParagraphFont"/>
    <w:uiPriority w:val="22"/>
    <w:qFormat/>
    <w:rsid w:val="00193CDA"/>
    <w:rPr>
      <w:b/>
      <w:bCs/>
    </w:rPr>
  </w:style>
  <w:style w:type="character" w:styleId="Emphasis">
    <w:name w:val="Emphasis"/>
    <w:basedOn w:val="DefaultParagraphFont"/>
    <w:uiPriority w:val="20"/>
    <w:qFormat/>
    <w:rsid w:val="00193CDA"/>
    <w:rPr>
      <w:i/>
      <w:iCs/>
      <w:color w:val="D54773" w:themeColor="accent6"/>
    </w:rPr>
  </w:style>
  <w:style w:type="paragraph" w:styleId="NoSpacing">
    <w:name w:val="No Spacing"/>
    <w:uiPriority w:val="1"/>
    <w:qFormat/>
    <w:rsid w:val="00193CDA"/>
    <w:pPr>
      <w:spacing w:after="0" w:line="240" w:lineRule="auto"/>
    </w:pPr>
  </w:style>
  <w:style w:type="paragraph" w:styleId="Quote">
    <w:name w:val="Quote"/>
    <w:basedOn w:val="Normal"/>
    <w:next w:val="Normal"/>
    <w:link w:val="QuoteChar"/>
    <w:uiPriority w:val="29"/>
    <w:qFormat/>
    <w:rsid w:val="00193CDA"/>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193CDA"/>
    <w:rPr>
      <w:i/>
      <w:iCs/>
      <w:color w:val="262626" w:themeColor="text1" w:themeTint="D9"/>
    </w:rPr>
  </w:style>
  <w:style w:type="paragraph" w:styleId="IntenseQuote">
    <w:name w:val="Intense Quote"/>
    <w:basedOn w:val="Normal"/>
    <w:next w:val="Normal"/>
    <w:link w:val="IntenseQuoteChar"/>
    <w:uiPriority w:val="30"/>
    <w:qFormat/>
    <w:rsid w:val="00193CDA"/>
    <w:pPr>
      <w:spacing w:before="160" w:after="160" w:line="264" w:lineRule="auto"/>
      <w:ind w:left="720" w:right="720"/>
      <w:jc w:val="center"/>
    </w:pPr>
    <w:rPr>
      <w:rFonts w:asciiTheme="majorHAnsi" w:eastAsiaTheme="majorEastAsia" w:hAnsiTheme="majorHAnsi" w:cstheme="majorBidi"/>
      <w:i/>
      <w:iCs/>
      <w:color w:val="D54773" w:themeColor="accent6"/>
      <w:sz w:val="32"/>
      <w:szCs w:val="32"/>
    </w:rPr>
  </w:style>
  <w:style w:type="character" w:customStyle="1" w:styleId="IntenseQuoteChar">
    <w:name w:val="Intense Quote Char"/>
    <w:basedOn w:val="DefaultParagraphFont"/>
    <w:link w:val="IntenseQuote"/>
    <w:uiPriority w:val="30"/>
    <w:rsid w:val="00193CDA"/>
    <w:rPr>
      <w:rFonts w:asciiTheme="majorHAnsi" w:eastAsiaTheme="majorEastAsia" w:hAnsiTheme="majorHAnsi" w:cstheme="majorBidi"/>
      <w:i/>
      <w:iCs/>
      <w:color w:val="D54773" w:themeColor="accent6"/>
      <w:sz w:val="32"/>
      <w:szCs w:val="32"/>
    </w:rPr>
  </w:style>
  <w:style w:type="character" w:styleId="SubtleEmphasis">
    <w:name w:val="Subtle Emphasis"/>
    <w:basedOn w:val="DefaultParagraphFont"/>
    <w:uiPriority w:val="19"/>
    <w:qFormat/>
    <w:rsid w:val="00193CDA"/>
    <w:rPr>
      <w:i/>
      <w:iCs/>
    </w:rPr>
  </w:style>
  <w:style w:type="character" w:styleId="IntenseEmphasis">
    <w:name w:val="Intense Emphasis"/>
    <w:basedOn w:val="DefaultParagraphFont"/>
    <w:uiPriority w:val="21"/>
    <w:qFormat/>
    <w:rsid w:val="00193CDA"/>
    <w:rPr>
      <w:b/>
      <w:bCs/>
      <w:i/>
      <w:iCs/>
    </w:rPr>
  </w:style>
  <w:style w:type="character" w:styleId="SubtleReference">
    <w:name w:val="Subtle Reference"/>
    <w:basedOn w:val="DefaultParagraphFont"/>
    <w:uiPriority w:val="31"/>
    <w:qFormat/>
    <w:rsid w:val="00193CDA"/>
    <w:rPr>
      <w:smallCaps/>
      <w:color w:val="595959" w:themeColor="text1" w:themeTint="A6"/>
    </w:rPr>
  </w:style>
  <w:style w:type="character" w:styleId="IntenseReference">
    <w:name w:val="Intense Reference"/>
    <w:basedOn w:val="DefaultParagraphFont"/>
    <w:uiPriority w:val="32"/>
    <w:qFormat/>
    <w:rsid w:val="00193CDA"/>
    <w:rPr>
      <w:b/>
      <w:bCs/>
      <w:smallCaps/>
      <w:color w:val="D54773" w:themeColor="accent6"/>
    </w:rPr>
  </w:style>
  <w:style w:type="character" w:styleId="BookTitle">
    <w:name w:val="Book Title"/>
    <w:basedOn w:val="DefaultParagraphFont"/>
    <w:uiPriority w:val="33"/>
    <w:qFormat/>
    <w:rsid w:val="00193CDA"/>
    <w:rPr>
      <w:b/>
      <w:bCs/>
      <w:caps w:val="0"/>
      <w:smallCaps/>
      <w:spacing w:val="7"/>
      <w:sz w:val="21"/>
      <w:szCs w:val="21"/>
    </w:rPr>
  </w:style>
  <w:style w:type="paragraph" w:styleId="TOCHeading">
    <w:name w:val="TOC Heading"/>
    <w:basedOn w:val="Heading1"/>
    <w:next w:val="Normal"/>
    <w:uiPriority w:val="39"/>
    <w:semiHidden/>
    <w:unhideWhenUsed/>
    <w:qFormat/>
    <w:rsid w:val="00193CDA"/>
    <w:pPr>
      <w:outlineLvl w:val="9"/>
    </w:pPr>
  </w:style>
  <w:style w:type="paragraph" w:styleId="ListParagraph">
    <w:name w:val="List Paragraph"/>
    <w:basedOn w:val="Normal"/>
    <w:uiPriority w:val="34"/>
    <w:qFormat/>
    <w:rsid w:val="00DD3377"/>
    <w:pPr>
      <w:ind w:left="720"/>
      <w:contextualSpacing/>
    </w:pPr>
  </w:style>
  <w:style w:type="character" w:styleId="Hyperlink">
    <w:name w:val="Hyperlink"/>
    <w:basedOn w:val="DefaultParagraphFont"/>
    <w:uiPriority w:val="99"/>
    <w:unhideWhenUsed/>
    <w:rsid w:val="00A1082E"/>
    <w:rPr>
      <w:color w:val="6B9F25" w:themeColor="hyperlink"/>
      <w:u w:val="single"/>
    </w:rPr>
  </w:style>
  <w:style w:type="character" w:styleId="UnresolvedMention">
    <w:name w:val="Unresolved Mention"/>
    <w:basedOn w:val="DefaultParagraphFont"/>
    <w:uiPriority w:val="99"/>
    <w:semiHidden/>
    <w:unhideWhenUsed/>
    <w:rsid w:val="00A1082E"/>
    <w:rPr>
      <w:color w:val="605E5C"/>
      <w:shd w:val="clear" w:color="auto" w:fill="E1DFDD"/>
    </w:rPr>
  </w:style>
  <w:style w:type="paragraph" w:styleId="Header">
    <w:name w:val="header"/>
    <w:basedOn w:val="Normal"/>
    <w:link w:val="HeaderChar"/>
    <w:uiPriority w:val="99"/>
    <w:unhideWhenUsed/>
    <w:rsid w:val="00A108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82E"/>
  </w:style>
  <w:style w:type="paragraph" w:styleId="Footer">
    <w:name w:val="footer"/>
    <w:basedOn w:val="Normal"/>
    <w:link w:val="FooterChar"/>
    <w:uiPriority w:val="99"/>
    <w:unhideWhenUsed/>
    <w:rsid w:val="00A108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82E"/>
  </w:style>
  <w:style w:type="numbering" w:customStyle="1" w:styleId="CurrentList1">
    <w:name w:val="Current List1"/>
    <w:uiPriority w:val="99"/>
    <w:rsid w:val="00166178"/>
    <w:pPr>
      <w:numPr>
        <w:numId w:val="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jlr-reimagine" TargetMode="External"/><Relationship Id="rId13" Type="http://schemas.openxmlformats.org/officeDocument/2006/relationships/hyperlink" Target="https://www.jaguarlandrover.com/sustainability" TargetMode="External"/><Relationship Id="rId18" Type="http://schemas.openxmlformats.org/officeDocument/2006/relationships/hyperlink" Target="https://www.statista.com/statistics/jlr-sale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2.deloitte.com/uk/en/pages/manufacturing/articles/digital-transformation-automotive.html" TargetMode="External"/><Relationship Id="rId12" Type="http://schemas.openxmlformats.org/officeDocument/2006/relationships/hyperlink" Target="https://www.jaguarlandrover.com/about" TargetMode="External"/><Relationship Id="rId17" Type="http://schemas.openxmlformats.org/officeDocument/2006/relationships/hyperlink" Target="https://www.reuters.com/business/autos-transportation/jlr-chip-shortage" TargetMode="External"/><Relationship Id="rId2" Type="http://schemas.openxmlformats.org/officeDocument/2006/relationships/styles" Target="styles.xml"/><Relationship Id="rId16" Type="http://schemas.openxmlformats.org/officeDocument/2006/relationships/hyperlink" Target="https://www.pwc.com/automotive-trends" TargetMode="External"/><Relationship Id="rId20" Type="http://schemas.openxmlformats.org/officeDocument/2006/relationships/hyperlink" Target="https://www.gov.uk/government/publications/road-to-zer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aguarlandrover.com/learning" TargetMode="External"/><Relationship Id="rId5" Type="http://schemas.openxmlformats.org/officeDocument/2006/relationships/footnotes" Target="footnotes.xml"/><Relationship Id="rId15" Type="http://schemas.openxmlformats.org/officeDocument/2006/relationships/hyperlink" Target="https://www.mckinsey.com/industries/automotive-and-assembly/our-insights" TargetMode="External"/><Relationship Id="rId23" Type="http://schemas.openxmlformats.org/officeDocument/2006/relationships/theme" Target="theme/theme1.xml"/><Relationship Id="rId10" Type="http://schemas.openxmlformats.org/officeDocument/2006/relationships/hyperlink" Target="https://www.jaguarlandrover.com/annual-report-2021" TargetMode="External"/><Relationship Id="rId19" Type="http://schemas.openxmlformats.org/officeDocument/2006/relationships/hyperlink" Target="https://www.tatamotors.com/investors/annual-reports" TargetMode="External"/><Relationship Id="rId4" Type="http://schemas.openxmlformats.org/officeDocument/2006/relationships/webSettings" Target="webSettings.xml"/><Relationship Id="rId9" Type="http://schemas.openxmlformats.org/officeDocument/2006/relationships/hyperlink" Target="https://www.jaguarlandrover.com/reimagine" TargetMode="External"/><Relationship Id="rId14" Type="http://schemas.openxmlformats.org/officeDocument/2006/relationships/hyperlink" Target="https://www.jaguarlandrover.com/leadershi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579</TotalTime>
  <Pages>18</Pages>
  <Words>5025</Words>
  <Characters>28649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Stait (2221926)</dc:creator>
  <cp:keywords/>
  <dc:description/>
  <cp:lastModifiedBy>Katy Stait (2221926)</cp:lastModifiedBy>
  <cp:revision>2</cp:revision>
  <dcterms:created xsi:type="dcterms:W3CDTF">2026-07-24T23:16:00Z</dcterms:created>
  <dcterms:modified xsi:type="dcterms:W3CDTF">2026-07-27T11:46:00Z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41fa5401-c762-4101-b6a9-d8d351b6e2fa</vt:lpwstr>
  </property>
</Properties>
</file>