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742F0" w:rsidRDefault="0078685A" w:rsidP="0078685A">
      <w:pPr>
        <w:spacing w:after="0"/>
      </w:pPr>
      <w:r>
        <w:t>Name:</w:t>
      </w:r>
      <w:r>
        <w:tab/>
      </w:r>
      <w:r>
        <w:tab/>
      </w:r>
      <w:r>
        <w:tab/>
        <w:t>Tim Kirk</w:t>
      </w:r>
    </w:p>
    <w:p w:rsidR="0078685A" w:rsidRDefault="0078685A" w:rsidP="0078685A">
      <w:pPr>
        <w:spacing w:after="0"/>
      </w:pPr>
      <w:r>
        <w:t>Student Number:</w:t>
      </w:r>
      <w:r>
        <w:tab/>
        <w:t>1710839</w:t>
      </w:r>
    </w:p>
    <w:p w:rsidR="0078685A" w:rsidRDefault="0078685A" w:rsidP="0078685A">
      <w:pPr>
        <w:spacing w:after="0"/>
        <w:rPr>
          <w:rFonts w:ascii="Times New Roman" w:hAnsi="Times New Roman" w:cs="Times New Roman"/>
          <w:sz w:val="28"/>
          <w:szCs w:val="28"/>
        </w:rPr>
      </w:pPr>
      <w:r>
        <w:t>Module:</w:t>
      </w:r>
      <w:r>
        <w:tab/>
      </w:r>
      <w:r>
        <w:tab/>
        <w:t xml:space="preserve">HPAR4004 </w:t>
      </w:r>
    </w:p>
    <w:p w:rsidR="0078685A" w:rsidRDefault="0078685A" w:rsidP="007868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78685A" w:rsidRDefault="0078685A" w:rsidP="007868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78685A" w:rsidRDefault="0078685A" w:rsidP="0078685A">
      <w:pPr>
        <w:spacing w:after="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  <w:t xml:space="preserve">    </w:t>
      </w:r>
      <w:r w:rsidR="00F36AB7">
        <w:rPr>
          <w:rFonts w:ascii="Times New Roman" w:hAnsi="Times New Roman" w:cs="Times New Roman"/>
          <w:sz w:val="36"/>
          <w:szCs w:val="36"/>
        </w:rPr>
        <w:t xml:space="preserve">   </w:t>
      </w:r>
      <w:r>
        <w:rPr>
          <w:rFonts w:ascii="Times New Roman" w:hAnsi="Times New Roman" w:cs="Times New Roman"/>
          <w:sz w:val="36"/>
          <w:szCs w:val="36"/>
        </w:rPr>
        <w:t>Molluscan Analysis</w:t>
      </w:r>
    </w:p>
    <w:p w:rsidR="0078685A" w:rsidRDefault="0078685A" w:rsidP="0078685A">
      <w:pPr>
        <w:spacing w:after="0"/>
        <w:ind w:left="2880" w:firstLine="72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 </w:t>
      </w:r>
      <w:r w:rsidR="00F36AB7">
        <w:rPr>
          <w:rFonts w:ascii="Times New Roman" w:hAnsi="Times New Roman" w:cs="Times New Roman"/>
          <w:sz w:val="36"/>
          <w:szCs w:val="36"/>
        </w:rPr>
        <w:t xml:space="preserve">  </w:t>
      </w:r>
      <w:r>
        <w:rPr>
          <w:rFonts w:ascii="Times New Roman" w:hAnsi="Times New Roman" w:cs="Times New Roman"/>
          <w:sz w:val="36"/>
          <w:szCs w:val="36"/>
        </w:rPr>
        <w:t>Of</w:t>
      </w:r>
    </w:p>
    <w:p w:rsidR="00F36AB7" w:rsidRDefault="0078685A" w:rsidP="00F36AB7">
      <w:pPr>
        <w:spacing w:after="0"/>
        <w:ind w:left="720" w:firstLine="720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 xml:space="preserve">      </w:t>
      </w:r>
      <w:r w:rsidR="00F36AB7">
        <w:rPr>
          <w:rFonts w:ascii="Times New Roman" w:hAnsi="Times New Roman" w:cs="Times New Roman"/>
          <w:sz w:val="36"/>
          <w:szCs w:val="36"/>
        </w:rPr>
        <w:tab/>
        <w:t xml:space="preserve">   </w:t>
      </w:r>
      <w:r>
        <w:rPr>
          <w:rFonts w:ascii="Times New Roman" w:hAnsi="Times New Roman" w:cs="Times New Roman"/>
          <w:sz w:val="36"/>
          <w:szCs w:val="36"/>
        </w:rPr>
        <w:t>Easton Down Long Barrow,</w:t>
      </w:r>
    </w:p>
    <w:p w:rsidR="00F36AB7" w:rsidRPr="00F36AB7" w:rsidRDefault="00F36AB7" w:rsidP="00F36AB7">
      <w:pPr>
        <w:spacing w:after="0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36"/>
          <w:szCs w:val="36"/>
        </w:rPr>
        <w:t xml:space="preserve">      </w:t>
      </w:r>
      <w:r w:rsidR="0078685A">
        <w:rPr>
          <w:rFonts w:ascii="Times New Roman" w:hAnsi="Times New Roman" w:cs="Times New Roman"/>
          <w:sz w:val="36"/>
          <w:szCs w:val="36"/>
        </w:rPr>
        <w:t xml:space="preserve"> Bishops </w:t>
      </w:r>
      <w:proofErr w:type="spellStart"/>
      <w:r w:rsidR="0078685A">
        <w:rPr>
          <w:rFonts w:ascii="Times New Roman" w:hAnsi="Times New Roman" w:cs="Times New Roman"/>
          <w:sz w:val="36"/>
          <w:szCs w:val="36"/>
        </w:rPr>
        <w:t>Cannings</w:t>
      </w:r>
      <w:proofErr w:type="spellEnd"/>
      <w:r w:rsidR="0078685A">
        <w:rPr>
          <w:rFonts w:ascii="Times New Roman" w:hAnsi="Times New Roman" w:cs="Times New Roman"/>
          <w:sz w:val="36"/>
          <w:szCs w:val="36"/>
        </w:rPr>
        <w:t>,</w:t>
      </w:r>
      <w:r>
        <w:rPr>
          <w:rFonts w:ascii="Times New Roman" w:hAnsi="Times New Roman" w:cs="Times New Roman"/>
          <w:sz w:val="36"/>
          <w:szCs w:val="36"/>
        </w:rPr>
        <w:t xml:space="preserve"> nr. Devizes,</w:t>
      </w:r>
      <w:r w:rsidR="0078685A">
        <w:rPr>
          <w:rFonts w:ascii="Times New Roman" w:hAnsi="Times New Roman" w:cs="Times New Roman"/>
          <w:sz w:val="36"/>
          <w:szCs w:val="36"/>
        </w:rPr>
        <w:t xml:space="preserve"> Wiltshire</w:t>
      </w:r>
      <w:r w:rsidR="002B6CD7">
        <w:rPr>
          <w:rFonts w:ascii="Times New Roman" w:hAnsi="Times New Roman" w:cs="Times New Roman"/>
          <w:sz w:val="36"/>
          <w:szCs w:val="36"/>
        </w:rPr>
        <w:t>.</w:t>
      </w:r>
      <w:r>
        <w:rPr>
          <w:rFonts w:ascii="Times New Roman" w:hAnsi="Times New Roman" w:cs="Times New Roman"/>
          <w:sz w:val="36"/>
          <w:szCs w:val="36"/>
        </w:rPr>
        <w:t xml:space="preserve"> </w:t>
      </w:r>
    </w:p>
    <w:p w:rsidR="00F36AB7" w:rsidRPr="00F36AB7" w:rsidRDefault="00F36AB7" w:rsidP="00F36AB7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78685A" w:rsidRPr="00F36AB7" w:rsidRDefault="0078685A" w:rsidP="00F36AB7">
      <w:pPr>
        <w:spacing w:after="0"/>
        <w:rPr>
          <w:rFonts w:ascii="Times New Roman" w:hAnsi="Times New Roman" w:cs="Times New Roman"/>
          <w:sz w:val="28"/>
          <w:szCs w:val="28"/>
        </w:rPr>
      </w:pPr>
      <w:r w:rsidRPr="00F36AB7">
        <w:rPr>
          <w:rFonts w:ascii="Times New Roman" w:hAnsi="Times New Roman" w:cs="Times New Roman"/>
          <w:sz w:val="28"/>
          <w:szCs w:val="28"/>
        </w:rPr>
        <w:t xml:space="preserve"> </w:t>
      </w:r>
    </w:p>
    <w:p w:rsidR="0078685A" w:rsidRPr="00F36AB7" w:rsidRDefault="0078685A" w:rsidP="0078685A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78685A" w:rsidRDefault="005F2817" w:rsidP="0078685A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   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>
            <wp:extent cx="3743325" cy="280770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aston Down Long Barrow Cop. Chance 2008 source themodernantiquarian .com 67228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7752" cy="2818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F2817" w:rsidRDefault="00407531" w:rsidP="00407531">
      <w:pPr>
        <w:spacing w:after="0"/>
        <w:ind w:left="2160" w:firstLine="720"/>
        <w:rPr>
          <w:rFonts w:ascii="Times New Roman" w:hAnsi="Times New Roman" w:cs="Times New Roman"/>
        </w:rPr>
      </w:pPr>
      <w:r w:rsidRPr="00407531">
        <w:rPr>
          <w:rFonts w:ascii="Times New Roman" w:hAnsi="Times New Roman" w:cs="Times New Roman"/>
        </w:rPr>
        <w:t>(Photo: A. Brookes</w:t>
      </w:r>
      <w:r w:rsidR="00077B16">
        <w:rPr>
          <w:rFonts w:ascii="Times New Roman" w:hAnsi="Times New Roman" w:cs="Times New Roman"/>
        </w:rPr>
        <w:t>, 2011</w:t>
      </w:r>
      <w:r w:rsidRPr="00407531">
        <w:rPr>
          <w:rFonts w:ascii="Times New Roman" w:hAnsi="Times New Roman" w:cs="Times New Roman"/>
        </w:rPr>
        <w:t>.  Source: The Modern Antiquarian.com)</w:t>
      </w:r>
      <w:r>
        <w:rPr>
          <w:rFonts w:ascii="Times New Roman" w:hAnsi="Times New Roman" w:cs="Times New Roman"/>
        </w:rPr>
        <w:t xml:space="preserve"> </w:t>
      </w: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Easton Down Long Barrow is a Neolithic </w:t>
      </w:r>
      <w:r w:rsidR="00077B16">
        <w:rPr>
          <w:rFonts w:ascii="Times New Roman" w:hAnsi="Times New Roman" w:cs="Times New Roman"/>
          <w:sz w:val="28"/>
          <w:szCs w:val="28"/>
        </w:rPr>
        <w:t xml:space="preserve">long barrow </w:t>
      </w:r>
      <w:r>
        <w:rPr>
          <w:rFonts w:ascii="Times New Roman" w:hAnsi="Times New Roman" w:cs="Times New Roman"/>
          <w:sz w:val="28"/>
          <w:szCs w:val="28"/>
        </w:rPr>
        <w:t xml:space="preserve">located </w:t>
      </w:r>
      <w:r w:rsidR="002B6CD7">
        <w:rPr>
          <w:rFonts w:ascii="Times New Roman" w:hAnsi="Times New Roman" w:cs="Times New Roman"/>
          <w:sz w:val="28"/>
          <w:szCs w:val="28"/>
        </w:rPr>
        <w:t xml:space="preserve">some </w:t>
      </w:r>
      <w:r w:rsidR="00077B16">
        <w:rPr>
          <w:rFonts w:ascii="Times New Roman" w:hAnsi="Times New Roman" w:cs="Times New Roman"/>
          <w:sz w:val="28"/>
          <w:szCs w:val="28"/>
        </w:rPr>
        <w:t>four miles North-East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77B16">
        <w:rPr>
          <w:rFonts w:ascii="Times New Roman" w:hAnsi="Times New Roman" w:cs="Times New Roman"/>
          <w:sz w:val="28"/>
          <w:szCs w:val="28"/>
        </w:rPr>
        <w:t xml:space="preserve">of </w:t>
      </w:r>
      <w:r>
        <w:rPr>
          <w:rFonts w:ascii="Times New Roman" w:hAnsi="Times New Roman" w:cs="Times New Roman"/>
          <w:sz w:val="28"/>
          <w:szCs w:val="28"/>
        </w:rPr>
        <w:t xml:space="preserve">the </w:t>
      </w:r>
      <w:r w:rsidR="00077B16">
        <w:rPr>
          <w:rFonts w:ascii="Times New Roman" w:hAnsi="Times New Roman" w:cs="Times New Roman"/>
          <w:sz w:val="28"/>
          <w:szCs w:val="28"/>
        </w:rPr>
        <w:t>town of Devizes in Wiltshire (51</w:t>
      </w:r>
      <w:r w:rsidR="00077B16">
        <w:rPr>
          <w:rFonts w:ascii="Times New Roman" w:hAnsi="Times New Roman" w:cs="Times New Roman"/>
          <w:sz w:val="28"/>
          <w:szCs w:val="28"/>
          <w:vertAlign w:val="superscript"/>
        </w:rPr>
        <w:t>o</w:t>
      </w:r>
      <w:r w:rsidR="00077B16">
        <w:rPr>
          <w:rFonts w:ascii="Times New Roman" w:hAnsi="Times New Roman" w:cs="Times New Roman"/>
          <w:sz w:val="28"/>
          <w:szCs w:val="28"/>
        </w:rPr>
        <w:t>23’36” N 1</w:t>
      </w:r>
      <w:r w:rsidR="00077B16">
        <w:rPr>
          <w:rFonts w:ascii="Times New Roman" w:hAnsi="Times New Roman" w:cs="Times New Roman"/>
          <w:sz w:val="28"/>
          <w:szCs w:val="28"/>
          <w:vertAlign w:val="superscript"/>
        </w:rPr>
        <w:t>o</w:t>
      </w:r>
      <w:r w:rsidR="00077B16">
        <w:rPr>
          <w:rFonts w:ascii="Times New Roman" w:hAnsi="Times New Roman" w:cs="Times New Roman"/>
          <w:sz w:val="28"/>
          <w:szCs w:val="28"/>
        </w:rPr>
        <w:t xml:space="preserve">54’34”W). The </w:t>
      </w:r>
      <w:r>
        <w:rPr>
          <w:rFonts w:ascii="Times New Roman" w:hAnsi="Times New Roman" w:cs="Times New Roman"/>
          <w:sz w:val="28"/>
          <w:szCs w:val="28"/>
        </w:rPr>
        <w:t xml:space="preserve">barrow </w:t>
      </w:r>
      <w:r w:rsidR="00077B16">
        <w:rPr>
          <w:rFonts w:ascii="Times New Roman" w:hAnsi="Times New Roman" w:cs="Times New Roman"/>
          <w:sz w:val="28"/>
          <w:szCs w:val="28"/>
        </w:rPr>
        <w:t xml:space="preserve">was </w:t>
      </w:r>
      <w:r>
        <w:rPr>
          <w:rFonts w:ascii="Times New Roman" w:hAnsi="Times New Roman" w:cs="Times New Roman"/>
          <w:sz w:val="28"/>
          <w:szCs w:val="28"/>
        </w:rPr>
        <w:t>first excavated by Thurman in the 1860’s</w:t>
      </w:r>
      <w:r w:rsidR="00F36AB7">
        <w:rPr>
          <w:rFonts w:ascii="Times New Roman" w:hAnsi="Times New Roman" w:cs="Times New Roman"/>
          <w:sz w:val="28"/>
          <w:szCs w:val="28"/>
        </w:rPr>
        <w:t xml:space="preserve"> and</w:t>
      </w:r>
      <w:r>
        <w:rPr>
          <w:rFonts w:ascii="Times New Roman" w:hAnsi="Times New Roman" w:cs="Times New Roman"/>
          <w:sz w:val="28"/>
          <w:szCs w:val="28"/>
        </w:rPr>
        <w:t xml:space="preserve"> was found to contain two adult and two infant inhumations (Cope, 2011:2)</w:t>
      </w:r>
      <w:r w:rsidR="00077B16">
        <w:rPr>
          <w:rFonts w:ascii="Times New Roman" w:hAnsi="Times New Roman" w:cs="Times New Roman"/>
          <w:sz w:val="28"/>
          <w:szCs w:val="28"/>
        </w:rPr>
        <w:t xml:space="preserve">. </w:t>
      </w:r>
      <w:r>
        <w:rPr>
          <w:rFonts w:ascii="Times New Roman" w:hAnsi="Times New Roman" w:cs="Times New Roman"/>
          <w:sz w:val="28"/>
          <w:szCs w:val="28"/>
        </w:rPr>
        <w:t>The abov</w:t>
      </w:r>
      <w:r w:rsidR="00077B16">
        <w:rPr>
          <w:rFonts w:ascii="Times New Roman" w:hAnsi="Times New Roman" w:cs="Times New Roman"/>
          <w:sz w:val="28"/>
          <w:szCs w:val="28"/>
        </w:rPr>
        <w:t xml:space="preserve">e picture looks at the barrow from the Southwest. </w:t>
      </w:r>
      <w:r w:rsidR="00295F04">
        <w:rPr>
          <w:rFonts w:ascii="Times New Roman" w:hAnsi="Times New Roman" w:cs="Times New Roman"/>
          <w:sz w:val="28"/>
          <w:szCs w:val="28"/>
        </w:rPr>
        <w:t>The barrow</w:t>
      </w:r>
      <w:r w:rsidR="00077B16">
        <w:rPr>
          <w:rFonts w:ascii="Times New Roman" w:hAnsi="Times New Roman" w:cs="Times New Roman"/>
          <w:sz w:val="28"/>
          <w:szCs w:val="28"/>
        </w:rPr>
        <w:t xml:space="preserve"> is situated on top of a ridge among </w:t>
      </w:r>
      <w:r w:rsidR="001E581A">
        <w:rPr>
          <w:rFonts w:ascii="Times New Roman" w:hAnsi="Times New Roman" w:cs="Times New Roman"/>
          <w:sz w:val="28"/>
          <w:szCs w:val="28"/>
        </w:rPr>
        <w:t xml:space="preserve">a landscape of </w:t>
      </w:r>
      <w:r w:rsidR="00077B16">
        <w:rPr>
          <w:rFonts w:ascii="Times New Roman" w:hAnsi="Times New Roman" w:cs="Times New Roman"/>
          <w:sz w:val="28"/>
          <w:szCs w:val="28"/>
        </w:rPr>
        <w:t xml:space="preserve">other barrows and is on </w:t>
      </w:r>
      <w:r w:rsidR="001E581A">
        <w:rPr>
          <w:rFonts w:ascii="Times New Roman" w:hAnsi="Times New Roman" w:cs="Times New Roman"/>
          <w:sz w:val="28"/>
          <w:szCs w:val="28"/>
        </w:rPr>
        <w:t xml:space="preserve">a </w:t>
      </w:r>
      <w:r w:rsidR="00077B16">
        <w:rPr>
          <w:rFonts w:ascii="Times New Roman" w:hAnsi="Times New Roman" w:cs="Times New Roman"/>
          <w:sz w:val="28"/>
          <w:szCs w:val="28"/>
        </w:rPr>
        <w:t xml:space="preserve">predominantly chalk alluvium. </w:t>
      </w:r>
      <w:r w:rsidR="001733B8">
        <w:rPr>
          <w:rFonts w:ascii="Times New Roman" w:hAnsi="Times New Roman" w:cs="Times New Roman"/>
          <w:sz w:val="28"/>
          <w:szCs w:val="28"/>
        </w:rPr>
        <w:t>During</w:t>
      </w:r>
      <w:r w:rsidR="00077B16">
        <w:rPr>
          <w:rFonts w:ascii="Times New Roman" w:hAnsi="Times New Roman" w:cs="Times New Roman"/>
          <w:sz w:val="28"/>
          <w:szCs w:val="28"/>
        </w:rPr>
        <w:t xml:space="preserve"> 1991, a small excavation was carried out across the line of still visible ditches</w:t>
      </w:r>
      <w:r w:rsidR="0041030A">
        <w:rPr>
          <w:rFonts w:ascii="Times New Roman" w:hAnsi="Times New Roman" w:cs="Times New Roman"/>
          <w:sz w:val="28"/>
          <w:szCs w:val="28"/>
        </w:rPr>
        <w:t xml:space="preserve"> “aimed primarily at investigating the environmental sequence”</w:t>
      </w:r>
      <w:r w:rsidR="00077B16">
        <w:rPr>
          <w:rFonts w:ascii="Times New Roman" w:hAnsi="Times New Roman" w:cs="Times New Roman"/>
          <w:sz w:val="28"/>
          <w:szCs w:val="28"/>
        </w:rPr>
        <w:t xml:space="preserve"> </w:t>
      </w:r>
      <w:r w:rsidR="0041030A">
        <w:rPr>
          <w:rFonts w:ascii="Times New Roman" w:hAnsi="Times New Roman" w:cs="Times New Roman"/>
          <w:sz w:val="28"/>
          <w:szCs w:val="28"/>
        </w:rPr>
        <w:t>(Cope, 2011:2). As part of this</w:t>
      </w:r>
      <w:r w:rsidR="001733B8">
        <w:rPr>
          <w:rFonts w:ascii="Times New Roman" w:hAnsi="Times New Roman" w:cs="Times New Roman"/>
          <w:sz w:val="28"/>
          <w:szCs w:val="28"/>
        </w:rPr>
        <w:t xml:space="preserve"> excavation</w:t>
      </w:r>
      <w:r w:rsidR="0041030A">
        <w:rPr>
          <w:rFonts w:ascii="Times New Roman" w:hAnsi="Times New Roman" w:cs="Times New Roman"/>
          <w:sz w:val="28"/>
          <w:szCs w:val="28"/>
        </w:rPr>
        <w:t>, a series of molluscan samples were taken</w:t>
      </w:r>
      <w:r w:rsidR="00F85C5C">
        <w:rPr>
          <w:rFonts w:ascii="Times New Roman" w:hAnsi="Times New Roman" w:cs="Times New Roman"/>
          <w:sz w:val="28"/>
          <w:szCs w:val="28"/>
        </w:rPr>
        <w:t xml:space="preserve">, both from the ditch fill on each side of the barrow </w:t>
      </w:r>
      <w:r w:rsidR="00F36AB7">
        <w:rPr>
          <w:rFonts w:ascii="Times New Roman" w:hAnsi="Times New Roman" w:cs="Times New Roman"/>
          <w:sz w:val="28"/>
          <w:szCs w:val="28"/>
        </w:rPr>
        <w:t xml:space="preserve">and the original soil surface below the barrow </w:t>
      </w:r>
      <w:r w:rsidR="00F85C5C">
        <w:rPr>
          <w:rFonts w:ascii="Times New Roman" w:hAnsi="Times New Roman" w:cs="Times New Roman"/>
          <w:sz w:val="28"/>
          <w:szCs w:val="28"/>
        </w:rPr>
        <w:t>(see diagram, below):</w:t>
      </w: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85C5C" w:rsidRDefault="00F85C5C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85C5C" w:rsidRDefault="00F85C5C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85C5C" w:rsidRDefault="00F85C5C" w:rsidP="00F85C5C">
      <w:pPr>
        <w:spacing w:after="0"/>
        <w:ind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>
            <wp:extent cx="4294632" cy="734263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Easton Down map CCI06042019_000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4632" cy="7342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07531" w:rsidRPr="00F85C5C" w:rsidRDefault="00F85C5C" w:rsidP="00F85C5C">
      <w:pPr>
        <w:spacing w:after="0"/>
        <w:ind w:left="5040" w:firstLine="720"/>
        <w:rPr>
          <w:rFonts w:ascii="Times New Roman" w:hAnsi="Times New Roman" w:cs="Times New Roman"/>
          <w:sz w:val="28"/>
          <w:szCs w:val="28"/>
        </w:rPr>
      </w:pPr>
      <w:r w:rsidRPr="00F85C5C">
        <w:rPr>
          <w:rFonts w:ascii="Times New Roman" w:hAnsi="Times New Roman" w:cs="Times New Roman"/>
        </w:rPr>
        <w:t>(Source: Davies, 2008)</w:t>
      </w:r>
      <w:r>
        <w:rPr>
          <w:rFonts w:ascii="Times New Roman" w:hAnsi="Times New Roman" w:cs="Times New Roman"/>
        </w:rPr>
        <w:t xml:space="preserve"> </w:t>
      </w:r>
    </w:p>
    <w:p w:rsidR="00F85C5C" w:rsidRPr="00F85C5C" w:rsidRDefault="00F85C5C" w:rsidP="00F85C5C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85C5C" w:rsidRDefault="00F85C5C" w:rsidP="00F85C5C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molluscan diagram is reproduced below:</w:t>
      </w:r>
    </w:p>
    <w:p w:rsidR="00F85C5C" w:rsidRDefault="00F85C5C" w:rsidP="00F85C5C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85C5C" w:rsidRDefault="00F85C5C" w:rsidP="00F85C5C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lastRenderedPageBreak/>
        <w:drawing>
          <wp:inline distT="0" distB="0" distL="0" distR="0">
            <wp:extent cx="5731510" cy="298323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Easton Down Long Barrow CCI0604201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5C5C" w:rsidRDefault="00F85C5C" w:rsidP="00F36AB7">
      <w:pPr>
        <w:spacing w:after="0"/>
        <w:ind w:left="6480"/>
        <w:rPr>
          <w:rFonts w:ascii="Times New Roman" w:hAnsi="Times New Roman" w:cs="Times New Roman"/>
          <w:sz w:val="28"/>
          <w:szCs w:val="28"/>
        </w:rPr>
      </w:pPr>
      <w:r w:rsidRPr="00F36AB7">
        <w:rPr>
          <w:rFonts w:ascii="Times New Roman" w:hAnsi="Times New Roman" w:cs="Times New Roman"/>
        </w:rPr>
        <w:t>(Source: Davies, 2008)</w:t>
      </w:r>
      <w:r w:rsidR="00F36AB7">
        <w:rPr>
          <w:rFonts w:ascii="Times New Roman" w:hAnsi="Times New Roman" w:cs="Times New Roman"/>
        </w:rPr>
        <w:t xml:space="preserve"> </w:t>
      </w:r>
    </w:p>
    <w:p w:rsidR="00F36AB7" w:rsidRDefault="00F36AB7" w:rsidP="00F36AB7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36AB7" w:rsidRDefault="00F36AB7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Sample EDII was taken from the</w:t>
      </w:r>
      <w:r w:rsidR="0029443C">
        <w:rPr>
          <w:rFonts w:ascii="Times New Roman" w:hAnsi="Times New Roman" w:cs="Times New Roman"/>
          <w:sz w:val="28"/>
          <w:szCs w:val="28"/>
        </w:rPr>
        <w:t xml:space="preserve"> ditch fill (Trench A in the plan, above</w:t>
      </w:r>
      <w:r w:rsidR="001733B8">
        <w:rPr>
          <w:rFonts w:ascii="Times New Roman" w:hAnsi="Times New Roman" w:cs="Times New Roman"/>
          <w:sz w:val="28"/>
          <w:szCs w:val="28"/>
        </w:rPr>
        <w:t>)</w:t>
      </w:r>
      <w:r w:rsidR="0029443C">
        <w:rPr>
          <w:rFonts w:ascii="Times New Roman" w:hAnsi="Times New Roman" w:cs="Times New Roman"/>
          <w:sz w:val="28"/>
          <w:szCs w:val="28"/>
        </w:rPr>
        <w:t xml:space="preserve"> and shows the predominance first of the open-country species </w:t>
      </w:r>
      <w:proofErr w:type="spellStart"/>
      <w:r w:rsidR="0029443C" w:rsidRPr="00A60212">
        <w:rPr>
          <w:rFonts w:ascii="Times New Roman" w:hAnsi="Times New Roman" w:cs="Times New Roman"/>
          <w:i/>
          <w:sz w:val="28"/>
          <w:szCs w:val="28"/>
        </w:rPr>
        <w:t>Vallonia</w:t>
      </w:r>
      <w:proofErr w:type="spellEnd"/>
      <w:r w:rsidR="0029443C" w:rsidRPr="00A60212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A60212">
        <w:rPr>
          <w:rFonts w:ascii="Times New Roman" w:hAnsi="Times New Roman" w:cs="Times New Roman"/>
          <w:i/>
          <w:sz w:val="28"/>
          <w:szCs w:val="28"/>
        </w:rPr>
        <w:t>castata</w:t>
      </w:r>
      <w:proofErr w:type="spellEnd"/>
      <w:r w:rsidR="00A60212">
        <w:rPr>
          <w:rFonts w:ascii="Times New Roman" w:hAnsi="Times New Roman" w:cs="Times New Roman"/>
          <w:sz w:val="28"/>
          <w:szCs w:val="28"/>
        </w:rPr>
        <w:t xml:space="preserve">, then the woodland species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Carychium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tridentatum</w:t>
      </w:r>
      <w:proofErr w:type="spellEnd"/>
      <w:r w:rsidR="001733B8">
        <w:rPr>
          <w:rFonts w:ascii="Times New Roman" w:hAnsi="Times New Roman" w:cs="Times New Roman"/>
          <w:i/>
          <w:sz w:val="28"/>
          <w:szCs w:val="28"/>
        </w:rPr>
        <w:t xml:space="preserve">, </w:t>
      </w:r>
      <w:r w:rsidR="0029443C">
        <w:rPr>
          <w:rFonts w:ascii="Times New Roman" w:hAnsi="Times New Roman" w:cs="Times New Roman"/>
          <w:sz w:val="28"/>
          <w:szCs w:val="28"/>
        </w:rPr>
        <w:t xml:space="preserve">later followed by the predominance of the intermediate species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Trichia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hispidia</w:t>
      </w:r>
      <w:proofErr w:type="spellEnd"/>
      <w:r w:rsidR="0029443C">
        <w:rPr>
          <w:rFonts w:ascii="Times New Roman" w:hAnsi="Times New Roman" w:cs="Times New Roman"/>
          <w:sz w:val="28"/>
          <w:szCs w:val="28"/>
        </w:rPr>
        <w:t xml:space="preserve"> and </w:t>
      </w:r>
      <w:r w:rsidR="00A60212" w:rsidRPr="00A60212">
        <w:rPr>
          <w:rFonts w:ascii="Times New Roman" w:hAnsi="Times New Roman" w:cs="Times New Roman"/>
          <w:i/>
          <w:sz w:val="28"/>
          <w:szCs w:val="28"/>
        </w:rPr>
        <w:t xml:space="preserve">Discus </w:t>
      </w:r>
      <w:proofErr w:type="spellStart"/>
      <w:r w:rsidR="00A60212" w:rsidRPr="00A60212">
        <w:rPr>
          <w:rFonts w:ascii="Times New Roman" w:hAnsi="Times New Roman" w:cs="Times New Roman"/>
          <w:i/>
          <w:sz w:val="28"/>
          <w:szCs w:val="28"/>
        </w:rPr>
        <w:t>rotundatus</w:t>
      </w:r>
      <w:proofErr w:type="spellEnd"/>
      <w:r w:rsidR="00A60212" w:rsidRPr="00A60212">
        <w:rPr>
          <w:rFonts w:ascii="Times New Roman" w:hAnsi="Times New Roman" w:cs="Times New Roman"/>
          <w:i/>
          <w:sz w:val="28"/>
          <w:szCs w:val="28"/>
        </w:rPr>
        <w:t>,</w:t>
      </w:r>
      <w:r w:rsidR="00A60212">
        <w:rPr>
          <w:rFonts w:ascii="Times New Roman" w:hAnsi="Times New Roman" w:cs="Times New Roman"/>
          <w:sz w:val="28"/>
          <w:szCs w:val="28"/>
        </w:rPr>
        <w:t xml:space="preserve"> and finally </w:t>
      </w:r>
      <w:r w:rsidR="0029443C">
        <w:rPr>
          <w:rFonts w:ascii="Times New Roman" w:hAnsi="Times New Roman" w:cs="Times New Roman"/>
          <w:sz w:val="28"/>
          <w:szCs w:val="28"/>
        </w:rPr>
        <w:t>the open</w:t>
      </w:r>
      <w:r w:rsidR="00A60212">
        <w:rPr>
          <w:rFonts w:ascii="Times New Roman" w:hAnsi="Times New Roman" w:cs="Times New Roman"/>
          <w:sz w:val="28"/>
          <w:szCs w:val="28"/>
        </w:rPr>
        <w:t>-</w:t>
      </w:r>
      <w:r w:rsidR="0029443C">
        <w:rPr>
          <w:rFonts w:ascii="Times New Roman" w:hAnsi="Times New Roman" w:cs="Times New Roman"/>
          <w:sz w:val="28"/>
          <w:szCs w:val="28"/>
        </w:rPr>
        <w:t xml:space="preserve">country species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Vallonia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excentrica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,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Pupilla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muscorum</w:t>
      </w:r>
      <w:proofErr w:type="spellEnd"/>
      <w:r w:rsidR="0029443C">
        <w:rPr>
          <w:rFonts w:ascii="Times New Roman" w:hAnsi="Times New Roman" w:cs="Times New Roman"/>
          <w:sz w:val="28"/>
          <w:szCs w:val="28"/>
        </w:rPr>
        <w:t xml:space="preserve"> and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Helicella</w:t>
      </w:r>
      <w:proofErr w:type="spellEnd"/>
      <w:r w:rsidR="0029443C" w:rsidRPr="0029443C">
        <w:rPr>
          <w:rFonts w:ascii="Times New Roman" w:hAnsi="Times New Roman" w:cs="Times New Roman"/>
          <w:i/>
          <w:sz w:val="28"/>
          <w:szCs w:val="28"/>
        </w:rPr>
        <w:t xml:space="preserve"> </w:t>
      </w:r>
      <w:proofErr w:type="spellStart"/>
      <w:r w:rsidR="0029443C" w:rsidRPr="0029443C">
        <w:rPr>
          <w:rFonts w:ascii="Times New Roman" w:hAnsi="Times New Roman" w:cs="Times New Roman"/>
          <w:i/>
          <w:sz w:val="28"/>
          <w:szCs w:val="28"/>
        </w:rPr>
        <w:t>i</w:t>
      </w:r>
      <w:r w:rsidR="0029443C">
        <w:rPr>
          <w:rFonts w:ascii="Times New Roman" w:hAnsi="Times New Roman" w:cs="Times New Roman"/>
          <w:i/>
          <w:sz w:val="28"/>
          <w:szCs w:val="28"/>
        </w:rPr>
        <w:t>t</w:t>
      </w:r>
      <w:r w:rsidR="0029443C" w:rsidRPr="0029443C">
        <w:rPr>
          <w:rFonts w:ascii="Times New Roman" w:hAnsi="Times New Roman" w:cs="Times New Roman"/>
          <w:i/>
          <w:sz w:val="28"/>
          <w:szCs w:val="28"/>
        </w:rPr>
        <w:t>ala</w:t>
      </w:r>
      <w:proofErr w:type="spellEnd"/>
      <w:r w:rsidR="0029443C">
        <w:rPr>
          <w:rFonts w:ascii="Times New Roman" w:hAnsi="Times New Roman" w:cs="Times New Roman"/>
          <w:i/>
          <w:sz w:val="28"/>
          <w:szCs w:val="28"/>
        </w:rPr>
        <w:t xml:space="preserve">. </w:t>
      </w:r>
      <w:r w:rsidR="0029443C">
        <w:rPr>
          <w:rFonts w:ascii="Times New Roman" w:hAnsi="Times New Roman" w:cs="Times New Roman"/>
          <w:sz w:val="28"/>
          <w:szCs w:val="28"/>
        </w:rPr>
        <w:t xml:space="preserve">The overall percentages of species </w:t>
      </w:r>
      <w:r w:rsidR="00A60212">
        <w:rPr>
          <w:rFonts w:ascii="Times New Roman" w:hAnsi="Times New Roman" w:cs="Times New Roman"/>
          <w:sz w:val="28"/>
          <w:szCs w:val="28"/>
        </w:rPr>
        <w:t>shows a trend from open-country-to-woodland-to</w:t>
      </w:r>
      <w:r w:rsidR="001F201F">
        <w:rPr>
          <w:rFonts w:ascii="Times New Roman" w:hAnsi="Times New Roman" w:cs="Times New Roman"/>
          <w:sz w:val="28"/>
          <w:szCs w:val="28"/>
        </w:rPr>
        <w:t>-</w:t>
      </w:r>
      <w:r w:rsidR="00A60212">
        <w:rPr>
          <w:rFonts w:ascii="Times New Roman" w:hAnsi="Times New Roman" w:cs="Times New Roman"/>
          <w:sz w:val="28"/>
          <w:szCs w:val="28"/>
        </w:rPr>
        <w:t>open-country.</w:t>
      </w:r>
      <w:r w:rsidR="002D2D2D">
        <w:rPr>
          <w:rFonts w:ascii="Times New Roman" w:hAnsi="Times New Roman" w:cs="Times New Roman"/>
          <w:sz w:val="28"/>
          <w:szCs w:val="28"/>
        </w:rPr>
        <w:t xml:space="preserve"> The presence of </w:t>
      </w:r>
      <w:r w:rsidR="002D2D2D" w:rsidRPr="002D2D2D">
        <w:rPr>
          <w:rFonts w:ascii="Times New Roman" w:hAnsi="Times New Roman" w:cs="Times New Roman"/>
          <w:i/>
          <w:sz w:val="28"/>
          <w:szCs w:val="28"/>
        </w:rPr>
        <w:t xml:space="preserve">T. </w:t>
      </w:r>
      <w:proofErr w:type="spellStart"/>
      <w:r w:rsidR="002D2D2D" w:rsidRPr="002D2D2D">
        <w:rPr>
          <w:rFonts w:ascii="Times New Roman" w:hAnsi="Times New Roman" w:cs="Times New Roman"/>
          <w:i/>
          <w:sz w:val="28"/>
          <w:szCs w:val="28"/>
        </w:rPr>
        <w:t>hispidia</w:t>
      </w:r>
      <w:proofErr w:type="spellEnd"/>
      <w:r w:rsidR="002D2D2D">
        <w:rPr>
          <w:rFonts w:ascii="Times New Roman" w:hAnsi="Times New Roman" w:cs="Times New Roman"/>
          <w:sz w:val="28"/>
          <w:szCs w:val="28"/>
        </w:rPr>
        <w:t xml:space="preserve">, </w:t>
      </w:r>
      <w:r w:rsidR="002D2D2D" w:rsidRPr="002D2D2D">
        <w:rPr>
          <w:rFonts w:ascii="Times New Roman" w:hAnsi="Times New Roman" w:cs="Times New Roman"/>
          <w:i/>
          <w:sz w:val="28"/>
          <w:szCs w:val="28"/>
        </w:rPr>
        <w:t xml:space="preserve">V. </w:t>
      </w:r>
      <w:proofErr w:type="spellStart"/>
      <w:r w:rsidR="002D2D2D" w:rsidRPr="002D2D2D">
        <w:rPr>
          <w:rFonts w:ascii="Times New Roman" w:hAnsi="Times New Roman" w:cs="Times New Roman"/>
          <w:i/>
          <w:sz w:val="28"/>
          <w:szCs w:val="28"/>
        </w:rPr>
        <w:t>excentrica</w:t>
      </w:r>
      <w:proofErr w:type="spellEnd"/>
      <w:r w:rsidR="002D2D2D">
        <w:rPr>
          <w:rFonts w:ascii="Times New Roman" w:hAnsi="Times New Roman" w:cs="Times New Roman"/>
          <w:sz w:val="28"/>
          <w:szCs w:val="28"/>
        </w:rPr>
        <w:t xml:space="preserve"> and </w:t>
      </w:r>
      <w:r w:rsidR="002D2D2D" w:rsidRPr="002D2D2D">
        <w:rPr>
          <w:rFonts w:ascii="Times New Roman" w:hAnsi="Times New Roman" w:cs="Times New Roman"/>
          <w:i/>
          <w:sz w:val="28"/>
          <w:szCs w:val="28"/>
        </w:rPr>
        <w:t xml:space="preserve">H. </w:t>
      </w:r>
      <w:proofErr w:type="spellStart"/>
      <w:r w:rsidR="002D2D2D" w:rsidRPr="002D2D2D">
        <w:rPr>
          <w:rFonts w:ascii="Times New Roman" w:hAnsi="Times New Roman" w:cs="Times New Roman"/>
          <w:i/>
          <w:sz w:val="28"/>
          <w:szCs w:val="28"/>
        </w:rPr>
        <w:t>itala</w:t>
      </w:r>
      <w:proofErr w:type="spellEnd"/>
      <w:r w:rsidR="002D2D2D">
        <w:rPr>
          <w:rFonts w:ascii="Times New Roman" w:hAnsi="Times New Roman" w:cs="Times New Roman"/>
          <w:i/>
          <w:sz w:val="28"/>
          <w:szCs w:val="28"/>
        </w:rPr>
        <w:t xml:space="preserve"> </w:t>
      </w:r>
      <w:r w:rsidR="002D2D2D">
        <w:rPr>
          <w:rFonts w:ascii="Times New Roman" w:hAnsi="Times New Roman" w:cs="Times New Roman"/>
          <w:sz w:val="28"/>
          <w:szCs w:val="28"/>
        </w:rPr>
        <w:t>in the upper context</w:t>
      </w:r>
      <w:r w:rsidR="001F201F">
        <w:rPr>
          <w:rFonts w:ascii="Times New Roman" w:hAnsi="Times New Roman" w:cs="Times New Roman"/>
          <w:sz w:val="28"/>
          <w:szCs w:val="28"/>
        </w:rPr>
        <w:t>s</w:t>
      </w:r>
      <w:r w:rsidR="002D2D2D">
        <w:rPr>
          <w:rFonts w:ascii="Times New Roman" w:hAnsi="Times New Roman" w:cs="Times New Roman"/>
          <w:sz w:val="28"/>
          <w:szCs w:val="28"/>
        </w:rPr>
        <w:t xml:space="preserve"> appear to be indicative of a period of cultivation (Whittle et al, 1993: fig. 5.8)</w:t>
      </w:r>
      <w:r w:rsidR="001F201F">
        <w:rPr>
          <w:rFonts w:ascii="Times New Roman" w:hAnsi="Times New Roman" w:cs="Times New Roman"/>
          <w:sz w:val="28"/>
          <w:szCs w:val="28"/>
        </w:rPr>
        <w:t>.</w:t>
      </w:r>
    </w:p>
    <w:p w:rsidR="001F201F" w:rsidRDefault="001F201F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1F201F" w:rsidRDefault="00420C82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Radio-carbon </w:t>
      </w:r>
      <w:r w:rsidR="00CE4A29">
        <w:rPr>
          <w:rFonts w:ascii="Times New Roman" w:hAnsi="Times New Roman" w:cs="Times New Roman"/>
          <w:sz w:val="28"/>
          <w:szCs w:val="28"/>
        </w:rPr>
        <w:t xml:space="preserve">dating suggests a late date for the construction of the barrow of around the late-fourth millennium (Davies, 2008:71). A short open-country phase is suggested after the construction of the barrow followed by a long woodland period (contexts 150cm-80cm). This was followed by a clearance phase and then the </w:t>
      </w:r>
      <w:r w:rsidR="001E581A">
        <w:rPr>
          <w:rFonts w:ascii="Times New Roman" w:hAnsi="Times New Roman" w:cs="Times New Roman"/>
          <w:sz w:val="28"/>
          <w:szCs w:val="28"/>
        </w:rPr>
        <w:t xml:space="preserve">possible </w:t>
      </w:r>
      <w:r w:rsidR="00CE4A29">
        <w:rPr>
          <w:rFonts w:ascii="Times New Roman" w:hAnsi="Times New Roman" w:cs="Times New Roman"/>
          <w:sz w:val="28"/>
          <w:szCs w:val="28"/>
        </w:rPr>
        <w:t>period of cultivation. Davies suggests that the</w:t>
      </w:r>
      <w:r w:rsidR="00925D89">
        <w:rPr>
          <w:rFonts w:ascii="Times New Roman" w:hAnsi="Times New Roman" w:cs="Times New Roman"/>
          <w:sz w:val="28"/>
          <w:szCs w:val="28"/>
        </w:rPr>
        <w:t xml:space="preserve"> 79cm-65cm context is from the Early Bronze Age due to associated pottery finds and above this (context 57cm-47cm</w:t>
      </w:r>
      <w:r w:rsidR="002B6CD7">
        <w:rPr>
          <w:rFonts w:ascii="Times New Roman" w:hAnsi="Times New Roman" w:cs="Times New Roman"/>
          <w:sz w:val="28"/>
          <w:szCs w:val="28"/>
        </w:rPr>
        <w:t>,</w:t>
      </w:r>
      <w:r w:rsidR="00925D89">
        <w:rPr>
          <w:rFonts w:ascii="Times New Roman" w:hAnsi="Times New Roman" w:cs="Times New Roman"/>
          <w:sz w:val="28"/>
          <w:szCs w:val="28"/>
        </w:rPr>
        <w:t xml:space="preserve"> where there are few species </w:t>
      </w:r>
      <w:r w:rsidR="002B6CD7">
        <w:rPr>
          <w:rFonts w:ascii="Times New Roman" w:hAnsi="Times New Roman" w:cs="Times New Roman"/>
          <w:sz w:val="28"/>
          <w:szCs w:val="28"/>
        </w:rPr>
        <w:t xml:space="preserve">and </w:t>
      </w:r>
      <w:r w:rsidR="00925D89">
        <w:rPr>
          <w:rFonts w:ascii="Times New Roman" w:hAnsi="Times New Roman" w:cs="Times New Roman"/>
          <w:sz w:val="28"/>
          <w:szCs w:val="28"/>
        </w:rPr>
        <w:t>with low abundance) to the Late Bronze Age (Davies, 2008:73).</w:t>
      </w:r>
    </w:p>
    <w:p w:rsidR="00925D89" w:rsidRDefault="00925D89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925D89" w:rsidRDefault="00925D89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Davies goes on to discuss a further set of samples, however, taken from the stone-free surface level below the constructed mound. These samples, “EDI”</w:t>
      </w:r>
      <w:r w:rsidR="006C53BE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were taken in twenty-six 30cm</w:t>
      </w:r>
      <w:r>
        <w:rPr>
          <w:rFonts w:ascii="Times New Roman" w:hAnsi="Times New Roman" w:cs="Times New Roman"/>
          <w:sz w:val="28"/>
          <w:szCs w:val="28"/>
          <w:vertAlign w:val="superscript"/>
        </w:rPr>
        <w:t>2</w:t>
      </w:r>
      <w:r>
        <w:rPr>
          <w:rFonts w:ascii="Times New Roman" w:hAnsi="Times New Roman" w:cs="Times New Roman"/>
          <w:sz w:val="28"/>
          <w:szCs w:val="28"/>
        </w:rPr>
        <w:t xml:space="preserve"> sites taken laterally in the turf-line. A predominan</w:t>
      </w:r>
      <w:r w:rsidR="006C53BE">
        <w:rPr>
          <w:rFonts w:ascii="Times New Roman" w:hAnsi="Times New Roman" w:cs="Times New Roman"/>
          <w:sz w:val="28"/>
          <w:szCs w:val="28"/>
        </w:rPr>
        <w:t xml:space="preserve">ce of open-country species were found, but shade-loving species </w:t>
      </w:r>
      <w:r w:rsidR="006C53BE">
        <w:rPr>
          <w:rFonts w:ascii="Times New Roman" w:hAnsi="Times New Roman" w:cs="Times New Roman"/>
          <w:sz w:val="28"/>
          <w:szCs w:val="28"/>
        </w:rPr>
        <w:lastRenderedPageBreak/>
        <w:t>were an important component in samples taken from the south-west corner of this sample. Here, intermediate and shade species were more prevalent and Davies suggests that this may have been an area of environmental boundary (Davies, 2008:71-72).</w:t>
      </w:r>
      <w:r w:rsidR="004C103B">
        <w:rPr>
          <w:rFonts w:ascii="Times New Roman" w:hAnsi="Times New Roman" w:cs="Times New Roman"/>
          <w:sz w:val="28"/>
          <w:szCs w:val="28"/>
        </w:rPr>
        <w:t xml:space="preserve"> This interpretation is based on work carried out b</w:t>
      </w:r>
      <w:r w:rsidR="00B15510">
        <w:rPr>
          <w:rFonts w:ascii="Times New Roman" w:hAnsi="Times New Roman" w:cs="Times New Roman"/>
          <w:sz w:val="28"/>
          <w:szCs w:val="28"/>
        </w:rPr>
        <w:t xml:space="preserve">y Evans and Rouse </w:t>
      </w:r>
      <w:r w:rsidR="002B6CD7">
        <w:rPr>
          <w:rFonts w:ascii="Times New Roman" w:hAnsi="Times New Roman" w:cs="Times New Roman"/>
          <w:sz w:val="28"/>
          <w:szCs w:val="28"/>
        </w:rPr>
        <w:t>(</w:t>
      </w:r>
      <w:r w:rsidR="00B15510">
        <w:rPr>
          <w:rFonts w:ascii="Times New Roman" w:hAnsi="Times New Roman" w:cs="Times New Roman"/>
          <w:sz w:val="28"/>
          <w:szCs w:val="28"/>
        </w:rPr>
        <w:t>as described by Davies and Gardener (2009:68)</w:t>
      </w:r>
      <w:r w:rsidR="002B6CD7">
        <w:rPr>
          <w:rFonts w:ascii="Times New Roman" w:hAnsi="Times New Roman" w:cs="Times New Roman"/>
          <w:sz w:val="28"/>
          <w:szCs w:val="28"/>
        </w:rPr>
        <w:t>) and generates data not shown in the previous, vertical sample</w:t>
      </w:r>
      <w:r w:rsidR="00B15510">
        <w:rPr>
          <w:rFonts w:ascii="Times New Roman" w:hAnsi="Times New Roman" w:cs="Times New Roman"/>
          <w:sz w:val="28"/>
          <w:szCs w:val="28"/>
        </w:rPr>
        <w:t>.</w:t>
      </w:r>
      <w:r w:rsidR="002B6CD7">
        <w:rPr>
          <w:rFonts w:ascii="Times New Roman" w:hAnsi="Times New Roman" w:cs="Times New Roman"/>
          <w:sz w:val="28"/>
          <w:szCs w:val="28"/>
        </w:rPr>
        <w:t xml:space="preserve"> Therefore, it is possible that the long barrow continued to exist in a small clearing during the woodland </w:t>
      </w:r>
      <w:r w:rsidR="001733B8">
        <w:rPr>
          <w:rFonts w:ascii="Times New Roman" w:hAnsi="Times New Roman" w:cs="Times New Roman"/>
          <w:sz w:val="28"/>
          <w:szCs w:val="28"/>
        </w:rPr>
        <w:t>growth</w:t>
      </w:r>
      <w:r w:rsidR="002B6CD7">
        <w:rPr>
          <w:rFonts w:ascii="Times New Roman" w:hAnsi="Times New Roman" w:cs="Times New Roman"/>
          <w:sz w:val="28"/>
          <w:szCs w:val="28"/>
        </w:rPr>
        <w:t xml:space="preserve"> </w:t>
      </w:r>
      <w:r w:rsidR="00181D3F">
        <w:rPr>
          <w:rFonts w:ascii="Times New Roman" w:hAnsi="Times New Roman" w:cs="Times New Roman"/>
          <w:sz w:val="28"/>
          <w:szCs w:val="28"/>
        </w:rPr>
        <w:t xml:space="preserve">period </w:t>
      </w:r>
      <w:r w:rsidR="002B6CD7">
        <w:rPr>
          <w:rFonts w:ascii="Times New Roman" w:hAnsi="Times New Roman" w:cs="Times New Roman"/>
          <w:sz w:val="28"/>
          <w:szCs w:val="28"/>
        </w:rPr>
        <w:t>that surrounded it and that, by extension,</w:t>
      </w:r>
      <w:r w:rsidR="001733B8">
        <w:rPr>
          <w:rFonts w:ascii="Times New Roman" w:hAnsi="Times New Roman" w:cs="Times New Roman"/>
          <w:sz w:val="28"/>
          <w:szCs w:val="28"/>
        </w:rPr>
        <w:t xml:space="preserve"> </w:t>
      </w:r>
      <w:r w:rsidR="002B6CD7">
        <w:rPr>
          <w:rFonts w:ascii="Times New Roman" w:hAnsi="Times New Roman" w:cs="Times New Roman"/>
          <w:sz w:val="28"/>
          <w:szCs w:val="28"/>
        </w:rPr>
        <w:t>this clearing could have been kept free from the encroaching woodland by human intervention</w:t>
      </w:r>
      <w:r w:rsidR="00181D3F">
        <w:rPr>
          <w:rFonts w:ascii="Times New Roman" w:hAnsi="Times New Roman" w:cs="Times New Roman"/>
          <w:sz w:val="28"/>
          <w:szCs w:val="28"/>
        </w:rPr>
        <w:t xml:space="preserve"> (it could also be that, being on a hill-top location, this was a natural function</w:t>
      </w:r>
      <w:r w:rsidR="001F3B4E">
        <w:rPr>
          <w:rFonts w:ascii="Times New Roman" w:hAnsi="Times New Roman" w:cs="Times New Roman"/>
          <w:sz w:val="28"/>
          <w:szCs w:val="28"/>
        </w:rPr>
        <w:t xml:space="preserve"> and possibly </w:t>
      </w:r>
      <w:bookmarkStart w:id="0" w:name="_GoBack"/>
      <w:bookmarkEnd w:id="0"/>
      <w:r w:rsidR="001F3B4E">
        <w:rPr>
          <w:rFonts w:ascii="Times New Roman" w:hAnsi="Times New Roman" w:cs="Times New Roman"/>
          <w:sz w:val="28"/>
          <w:szCs w:val="28"/>
        </w:rPr>
        <w:t>due to the re-entrant intruding into this area</w:t>
      </w:r>
      <w:r w:rsidR="00181D3F">
        <w:rPr>
          <w:rFonts w:ascii="Times New Roman" w:hAnsi="Times New Roman" w:cs="Times New Roman"/>
          <w:sz w:val="28"/>
          <w:szCs w:val="28"/>
        </w:rPr>
        <w:t>)</w:t>
      </w:r>
      <w:r w:rsidR="002B6CD7">
        <w:rPr>
          <w:rFonts w:ascii="Times New Roman" w:hAnsi="Times New Roman" w:cs="Times New Roman"/>
          <w:sz w:val="28"/>
          <w:szCs w:val="28"/>
        </w:rPr>
        <w:t>.</w:t>
      </w:r>
    </w:p>
    <w:p w:rsidR="002B6CD7" w:rsidRDefault="002B6CD7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2B6CD7" w:rsidRPr="00925D89" w:rsidRDefault="002B6CD7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This interpretation, if correct</w:t>
      </w:r>
      <w:r w:rsidR="001733B8">
        <w:rPr>
          <w:rFonts w:ascii="Times New Roman" w:hAnsi="Times New Roman" w:cs="Times New Roman"/>
          <w:sz w:val="28"/>
          <w:szCs w:val="28"/>
        </w:rPr>
        <w:t>,</w:t>
      </w:r>
      <w:r>
        <w:rPr>
          <w:rFonts w:ascii="Times New Roman" w:hAnsi="Times New Roman" w:cs="Times New Roman"/>
          <w:sz w:val="28"/>
          <w:szCs w:val="28"/>
        </w:rPr>
        <w:t xml:space="preserve"> is indicative of the need to maximise </w:t>
      </w:r>
      <w:r w:rsidR="001733B8">
        <w:rPr>
          <w:rFonts w:ascii="Times New Roman" w:hAnsi="Times New Roman" w:cs="Times New Roman"/>
          <w:sz w:val="28"/>
          <w:szCs w:val="28"/>
        </w:rPr>
        <w:t xml:space="preserve">all the available data </w:t>
      </w:r>
      <w:r w:rsidR="00AE25A7">
        <w:rPr>
          <w:rFonts w:ascii="Times New Roman" w:hAnsi="Times New Roman" w:cs="Times New Roman"/>
          <w:sz w:val="28"/>
          <w:szCs w:val="28"/>
        </w:rPr>
        <w:t xml:space="preserve">collected </w:t>
      </w:r>
      <w:r w:rsidR="001733B8">
        <w:rPr>
          <w:rFonts w:ascii="Times New Roman" w:hAnsi="Times New Roman" w:cs="Times New Roman"/>
          <w:sz w:val="28"/>
          <w:szCs w:val="28"/>
        </w:rPr>
        <w:t xml:space="preserve">at a site and not to rely on a single methodology. </w:t>
      </w:r>
    </w:p>
    <w:p w:rsidR="00407531" w:rsidRPr="00F85C5C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Pr="00F85C5C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1733B8" w:rsidRDefault="001733B8" w:rsidP="00407531">
      <w:pPr>
        <w:spacing w:after="0"/>
        <w:rPr>
          <w:rFonts w:ascii="Times New Roman" w:hAnsi="Times New Roman" w:cs="Times New Roman"/>
          <w:b/>
          <w:sz w:val="28"/>
          <w:szCs w:val="28"/>
          <w:u w:val="single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 w:rsidRPr="00407531">
        <w:rPr>
          <w:rFonts w:ascii="Times New Roman" w:hAnsi="Times New Roman" w:cs="Times New Roman"/>
          <w:b/>
          <w:sz w:val="28"/>
          <w:szCs w:val="28"/>
          <w:u w:val="single"/>
        </w:rPr>
        <w:t>Bibliography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 xml:space="preserve">: </w:t>
      </w: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407531" w:rsidRDefault="00407531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Cope, J. (2011). </w:t>
      </w:r>
      <w:r w:rsidRPr="00F36AB7">
        <w:rPr>
          <w:rFonts w:ascii="Times New Roman" w:hAnsi="Times New Roman" w:cs="Times New Roman"/>
          <w:i/>
          <w:sz w:val="28"/>
          <w:szCs w:val="28"/>
        </w:rPr>
        <w:t>Easton Down Long Barrow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9" w:history="1">
        <w:r w:rsidRPr="00325D4B">
          <w:rPr>
            <w:rStyle w:val="Hyperlink"/>
            <w:rFonts w:ascii="Times New Roman" w:hAnsi="Times New Roman" w:cs="Times New Roman"/>
            <w:sz w:val="28"/>
            <w:szCs w:val="28"/>
          </w:rPr>
          <w:t>https://themodernantiquarian.com/site/8145/easton_down.html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(last accessed 06.04.2019).</w:t>
      </w:r>
    </w:p>
    <w:p w:rsidR="00F36AB7" w:rsidRDefault="00F36AB7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F36AB7" w:rsidRDefault="00F36AB7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Davies, P. (2008). </w:t>
      </w:r>
      <w:r w:rsidRPr="00F36AB7">
        <w:rPr>
          <w:rFonts w:ascii="Times New Roman" w:hAnsi="Times New Roman" w:cs="Times New Roman"/>
          <w:i/>
          <w:sz w:val="28"/>
          <w:szCs w:val="28"/>
        </w:rPr>
        <w:t>Snails: Archaeology and Landscape Change</w:t>
      </w:r>
      <w:r>
        <w:rPr>
          <w:rFonts w:ascii="Times New Roman" w:hAnsi="Times New Roman" w:cs="Times New Roman"/>
          <w:sz w:val="28"/>
          <w:szCs w:val="28"/>
        </w:rPr>
        <w:t>. Oxford: Oxbow Books.</w:t>
      </w:r>
    </w:p>
    <w:p w:rsidR="00B15510" w:rsidRDefault="00B15510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B15510" w:rsidRPr="00B15510" w:rsidRDefault="00B15510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Davies, P. and Gardener, N. (2009). ‘Land Snails and Woodland Clearances: modern ecological studies and their archaeological implications’, in Allen, J. Sharples, N. and Connor, T. (eds.) </w:t>
      </w:r>
      <w:r>
        <w:rPr>
          <w:rFonts w:ascii="Times New Roman" w:hAnsi="Times New Roman" w:cs="Times New Roman"/>
          <w:i/>
          <w:sz w:val="28"/>
          <w:szCs w:val="28"/>
        </w:rPr>
        <w:t>Land and People: P</w:t>
      </w:r>
      <w:r w:rsidRPr="00B15510">
        <w:rPr>
          <w:rFonts w:ascii="Times New Roman" w:hAnsi="Times New Roman" w:cs="Times New Roman"/>
          <w:i/>
          <w:sz w:val="28"/>
          <w:szCs w:val="28"/>
        </w:rPr>
        <w:t>apers in Memory of John G. Evans</w:t>
      </w:r>
      <w:r>
        <w:rPr>
          <w:rFonts w:ascii="Times New Roman" w:hAnsi="Times New Roman" w:cs="Times New Roman"/>
          <w:i/>
          <w:sz w:val="28"/>
          <w:szCs w:val="28"/>
        </w:rPr>
        <w:t xml:space="preserve">. </w:t>
      </w:r>
      <w:r>
        <w:rPr>
          <w:rFonts w:ascii="Times New Roman" w:hAnsi="Times New Roman" w:cs="Times New Roman"/>
          <w:sz w:val="28"/>
          <w:szCs w:val="28"/>
        </w:rPr>
        <w:t xml:space="preserve">Available at: </w:t>
      </w:r>
      <w:hyperlink r:id="rId10" w:history="1">
        <w:r w:rsidRPr="00C57A85">
          <w:rPr>
            <w:rStyle w:val="Hyperlink"/>
            <w:rFonts w:ascii="Times New Roman" w:hAnsi="Times New Roman" w:cs="Times New Roman"/>
            <w:sz w:val="28"/>
            <w:szCs w:val="28"/>
          </w:rPr>
          <w:t>https://researchspace.bathspa.ac.uk/1559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(last accessed 06.04.2019).</w:t>
      </w:r>
    </w:p>
    <w:p w:rsidR="002D2D2D" w:rsidRDefault="002D2D2D" w:rsidP="00407531">
      <w:pPr>
        <w:spacing w:after="0"/>
        <w:rPr>
          <w:rFonts w:ascii="Times New Roman" w:hAnsi="Times New Roman" w:cs="Times New Roman"/>
          <w:sz w:val="28"/>
          <w:szCs w:val="28"/>
        </w:rPr>
      </w:pPr>
    </w:p>
    <w:p w:rsidR="002D2D2D" w:rsidRPr="00407531" w:rsidRDefault="002D2D2D" w:rsidP="00407531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Whittle et al. (1993). ‘A Neolithic </w:t>
      </w:r>
      <w:proofErr w:type="spellStart"/>
      <w:r>
        <w:rPr>
          <w:rFonts w:ascii="Times New Roman" w:hAnsi="Times New Roman" w:cs="Times New Roman"/>
          <w:sz w:val="28"/>
          <w:szCs w:val="28"/>
        </w:rPr>
        <w:t>downland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monument in its environment</w:t>
      </w:r>
      <w:r w:rsidR="008B4102">
        <w:rPr>
          <w:rFonts w:ascii="Times New Roman" w:hAnsi="Times New Roman" w:cs="Times New Roman"/>
          <w:sz w:val="28"/>
          <w:szCs w:val="28"/>
        </w:rPr>
        <w:t xml:space="preserve">: excavations at the Easton Down Long Barrow, Bishops </w:t>
      </w:r>
      <w:proofErr w:type="spellStart"/>
      <w:r w:rsidR="008B4102">
        <w:rPr>
          <w:rFonts w:ascii="Times New Roman" w:hAnsi="Times New Roman" w:cs="Times New Roman"/>
          <w:sz w:val="28"/>
          <w:szCs w:val="28"/>
        </w:rPr>
        <w:t>Cannings</w:t>
      </w:r>
      <w:proofErr w:type="spellEnd"/>
      <w:r w:rsidR="008B4102">
        <w:rPr>
          <w:rFonts w:ascii="Times New Roman" w:hAnsi="Times New Roman" w:cs="Times New Roman"/>
          <w:sz w:val="28"/>
          <w:szCs w:val="28"/>
        </w:rPr>
        <w:t xml:space="preserve">, North Wiltshire’ </w:t>
      </w:r>
      <w:r w:rsidR="008B4102" w:rsidRPr="008B4102">
        <w:rPr>
          <w:rFonts w:ascii="Times New Roman" w:hAnsi="Times New Roman" w:cs="Times New Roman"/>
          <w:i/>
          <w:sz w:val="28"/>
          <w:szCs w:val="28"/>
        </w:rPr>
        <w:t>i</w:t>
      </w:r>
      <w:r w:rsidRPr="008B4102">
        <w:rPr>
          <w:rFonts w:ascii="Times New Roman" w:hAnsi="Times New Roman" w:cs="Times New Roman"/>
          <w:i/>
          <w:sz w:val="28"/>
          <w:szCs w:val="28"/>
        </w:rPr>
        <w:t>n Proceedings of the Prehistoric Society, 59:197-239</w:t>
      </w:r>
      <w:r>
        <w:rPr>
          <w:rFonts w:ascii="Times New Roman" w:hAnsi="Times New Roman" w:cs="Times New Roman"/>
          <w:sz w:val="28"/>
          <w:szCs w:val="28"/>
        </w:rPr>
        <w:t>. Available at:</w:t>
      </w:r>
      <w:r w:rsidR="004C2163">
        <w:rPr>
          <w:rFonts w:ascii="Times New Roman" w:hAnsi="Times New Roman" w:cs="Times New Roman"/>
          <w:sz w:val="28"/>
          <w:szCs w:val="28"/>
        </w:rPr>
        <w:t xml:space="preserve"> </w:t>
      </w:r>
      <w:hyperlink r:id="rId11" w:history="1">
        <w:r w:rsidR="001F201F" w:rsidRPr="00C57A85">
          <w:rPr>
            <w:rStyle w:val="Hyperlink"/>
            <w:rFonts w:ascii="Times New Roman" w:hAnsi="Times New Roman" w:cs="Times New Roman"/>
            <w:sz w:val="28"/>
            <w:szCs w:val="28"/>
          </w:rPr>
          <w:t>https://doi.org/10.1017/S0079497X00003790</w:t>
        </w:r>
      </w:hyperlink>
      <w:r w:rsidR="001F201F">
        <w:rPr>
          <w:rFonts w:ascii="Times New Roman" w:hAnsi="Times New Roman" w:cs="Times New Roman"/>
          <w:sz w:val="28"/>
          <w:szCs w:val="28"/>
        </w:rPr>
        <w:t xml:space="preserve"> (last accessed 07.04.2019).</w:t>
      </w:r>
    </w:p>
    <w:sectPr w:rsidR="002D2D2D" w:rsidRPr="004075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767F5" w:rsidRDefault="000767F5" w:rsidP="00F85C5C">
      <w:pPr>
        <w:spacing w:after="0" w:line="240" w:lineRule="auto"/>
      </w:pPr>
      <w:r>
        <w:separator/>
      </w:r>
    </w:p>
  </w:endnote>
  <w:endnote w:type="continuationSeparator" w:id="0">
    <w:p w:rsidR="000767F5" w:rsidRDefault="000767F5" w:rsidP="00F85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767F5" w:rsidRDefault="000767F5" w:rsidP="00F85C5C">
      <w:pPr>
        <w:spacing w:after="0" w:line="240" w:lineRule="auto"/>
      </w:pPr>
      <w:r>
        <w:separator/>
      </w:r>
    </w:p>
  </w:footnote>
  <w:footnote w:type="continuationSeparator" w:id="0">
    <w:p w:rsidR="000767F5" w:rsidRDefault="000767F5" w:rsidP="00F85C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85A"/>
    <w:rsid w:val="000767F5"/>
    <w:rsid w:val="00077B16"/>
    <w:rsid w:val="00107B45"/>
    <w:rsid w:val="001733B8"/>
    <w:rsid w:val="00181D3F"/>
    <w:rsid w:val="001E581A"/>
    <w:rsid w:val="001F160B"/>
    <w:rsid w:val="001F201F"/>
    <w:rsid w:val="001F3B4E"/>
    <w:rsid w:val="0029443C"/>
    <w:rsid w:val="00295F04"/>
    <w:rsid w:val="002B6CD7"/>
    <w:rsid w:val="002D2D2D"/>
    <w:rsid w:val="00407531"/>
    <w:rsid w:val="0041030A"/>
    <w:rsid w:val="00420C82"/>
    <w:rsid w:val="004C103B"/>
    <w:rsid w:val="004C2163"/>
    <w:rsid w:val="005F2817"/>
    <w:rsid w:val="006C53BE"/>
    <w:rsid w:val="007742F0"/>
    <w:rsid w:val="0078685A"/>
    <w:rsid w:val="008B4102"/>
    <w:rsid w:val="00925D89"/>
    <w:rsid w:val="00A60212"/>
    <w:rsid w:val="00AE25A7"/>
    <w:rsid w:val="00B15510"/>
    <w:rsid w:val="00CE4A29"/>
    <w:rsid w:val="00F36AB7"/>
    <w:rsid w:val="00F749F0"/>
    <w:rsid w:val="00F85C5C"/>
    <w:rsid w:val="00F949DF"/>
    <w:rsid w:val="00FE35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ACD03"/>
  <w15:chartTrackingRefBased/>
  <w15:docId w15:val="{D8B1FD5D-77AC-44E9-9BF3-8B5136B0C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F281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F2817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4075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53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5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C5C"/>
  </w:style>
  <w:style w:type="paragraph" w:styleId="Footer">
    <w:name w:val="footer"/>
    <w:basedOn w:val="Normal"/>
    <w:link w:val="FooterChar"/>
    <w:uiPriority w:val="99"/>
    <w:unhideWhenUsed/>
    <w:rsid w:val="00F85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C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doi.org/10.1017/S0079497X00003790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researchspace.bathspa.ac.uk/1559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hemodernantiquarian.com/site/8145/easton_down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713</Words>
  <Characters>4066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 (1710839)</dc:creator>
  <cp:keywords/>
  <dc:description/>
  <cp:lastModifiedBy>Timothy Kirk (1710839)</cp:lastModifiedBy>
  <cp:revision>3</cp:revision>
  <dcterms:created xsi:type="dcterms:W3CDTF">2019-04-08T07:46:00Z</dcterms:created>
  <dcterms:modified xsi:type="dcterms:W3CDTF">2019-04-08T08:07:00Z</dcterms:modified>
</cp:coreProperties>
</file>