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99F44" w14:textId="56BF6401" w:rsidR="00D91AEA" w:rsidRDefault="009A5B60" w:rsidP="00DD717B">
      <w:pPr>
        <w:spacing w:line="480" w:lineRule="auto"/>
        <w:jc w:val="center"/>
        <w:rPr>
          <w:u w:val="single"/>
        </w:rPr>
      </w:pPr>
      <w:r w:rsidRPr="009A5B60">
        <w:rPr>
          <w:u w:val="single"/>
        </w:rPr>
        <w:t>“much of the fascination of ‘Alexander’ clusters around the diversity of narrative possibilities</w:t>
      </w:r>
      <w:r w:rsidRPr="009A5B60">
        <w:rPr>
          <w:u w:val="single"/>
        </w:rPr>
        <w:t xml:space="preserve"> </w:t>
      </w:r>
      <w:r w:rsidRPr="009A5B60">
        <w:rPr>
          <w:u w:val="single"/>
        </w:rPr>
        <w:t>that his name opens up.” (Spencer). Analyse the function of two different narrative possibilities with</w:t>
      </w:r>
      <w:r w:rsidRPr="009A5B60">
        <w:rPr>
          <w:u w:val="single"/>
        </w:rPr>
        <w:t xml:space="preserve"> </w:t>
      </w:r>
      <w:r w:rsidRPr="009A5B60">
        <w:rPr>
          <w:u w:val="single"/>
        </w:rPr>
        <w:t>reference to specific textual examples from works written in Latin.</w:t>
      </w:r>
    </w:p>
    <w:p w14:paraId="5CBD365A" w14:textId="0F83C815" w:rsidR="009A5B60" w:rsidRDefault="000A38FD" w:rsidP="00DD717B">
      <w:pPr>
        <w:spacing w:line="480" w:lineRule="auto"/>
        <w:rPr>
          <w:rFonts w:cs="Times New Roman"/>
          <w:color w:val="222222"/>
          <w:szCs w:val="24"/>
          <w:shd w:val="clear" w:color="auto" w:fill="FFFFFF"/>
        </w:rPr>
      </w:pPr>
      <w:r>
        <w:t xml:space="preserve">The figure of Alexander can be used to create a large variety of narratives. This essay will focus on the use of Alexander as an example of leadership, both positive and negative, and the use of Alexander as a device through which contemporary issues can be discussed in the Roman and Medieval world. The sources which will be used in this essay will primarily consist of Quintus </w:t>
      </w:r>
      <w:proofErr w:type="spellStart"/>
      <w:r>
        <w:t>Curtius</w:t>
      </w:r>
      <w:proofErr w:type="spellEnd"/>
      <w:r>
        <w:t xml:space="preserve"> Rufus’ </w:t>
      </w:r>
      <w:proofErr w:type="spellStart"/>
      <w:r w:rsidRPr="000A38FD">
        <w:rPr>
          <w:rFonts w:cs="Times New Roman"/>
          <w:i/>
          <w:iCs/>
          <w:color w:val="222222"/>
          <w:szCs w:val="24"/>
          <w:shd w:val="clear" w:color="auto" w:fill="FFFFFF"/>
        </w:rPr>
        <w:t>Historiae</w:t>
      </w:r>
      <w:proofErr w:type="spellEnd"/>
      <w:r w:rsidRPr="000A38FD">
        <w:rPr>
          <w:rFonts w:cs="Times New Roman"/>
          <w:i/>
          <w:iCs/>
          <w:color w:val="222222"/>
          <w:szCs w:val="24"/>
          <w:shd w:val="clear" w:color="auto" w:fill="FFFFFF"/>
        </w:rPr>
        <w:t xml:space="preserve"> </w:t>
      </w:r>
      <w:proofErr w:type="spellStart"/>
      <w:r w:rsidRPr="000A38FD">
        <w:rPr>
          <w:rFonts w:cs="Times New Roman"/>
          <w:i/>
          <w:iCs/>
          <w:color w:val="222222"/>
          <w:szCs w:val="24"/>
          <w:shd w:val="clear" w:color="auto" w:fill="FFFFFF"/>
        </w:rPr>
        <w:t>Alexandri</w:t>
      </w:r>
      <w:proofErr w:type="spellEnd"/>
      <w:r w:rsidRPr="000A38FD">
        <w:rPr>
          <w:rFonts w:cs="Times New Roman"/>
          <w:i/>
          <w:iCs/>
          <w:color w:val="222222"/>
          <w:szCs w:val="24"/>
          <w:shd w:val="clear" w:color="auto" w:fill="FFFFFF"/>
        </w:rPr>
        <w:t xml:space="preserve"> </w:t>
      </w:r>
      <w:proofErr w:type="spellStart"/>
      <w:r w:rsidRPr="000A38FD">
        <w:rPr>
          <w:rFonts w:cs="Times New Roman"/>
          <w:i/>
          <w:iCs/>
          <w:color w:val="222222"/>
          <w:szCs w:val="24"/>
          <w:shd w:val="clear" w:color="auto" w:fill="FFFFFF"/>
        </w:rPr>
        <w:t>Magni</w:t>
      </w:r>
      <w:proofErr w:type="spellEnd"/>
      <w:r>
        <w:rPr>
          <w:rFonts w:cs="Times New Roman"/>
          <w:i/>
          <w:iCs/>
          <w:color w:val="222222"/>
          <w:szCs w:val="24"/>
          <w:shd w:val="clear" w:color="auto" w:fill="FFFFFF"/>
        </w:rPr>
        <w:t xml:space="preserve"> </w:t>
      </w:r>
      <w:r>
        <w:rPr>
          <w:rFonts w:cs="Times New Roman"/>
          <w:color w:val="222222"/>
          <w:szCs w:val="24"/>
          <w:shd w:val="clear" w:color="auto" w:fill="FFFFFF"/>
        </w:rPr>
        <w:t>and</w:t>
      </w:r>
      <w:r>
        <w:rPr>
          <w:rFonts w:cs="Times New Roman"/>
          <w:i/>
          <w:iCs/>
          <w:color w:val="222222"/>
          <w:szCs w:val="24"/>
          <w:shd w:val="clear" w:color="auto" w:fill="FFFFFF"/>
        </w:rPr>
        <w:t xml:space="preserve"> </w:t>
      </w:r>
      <w:r>
        <w:rPr>
          <w:rFonts w:cs="Times New Roman"/>
          <w:color w:val="222222"/>
          <w:szCs w:val="24"/>
          <w:shd w:val="clear" w:color="auto" w:fill="FFFFFF"/>
        </w:rPr>
        <w:t xml:space="preserve">Lucan’s </w:t>
      </w:r>
      <w:r>
        <w:rPr>
          <w:rFonts w:cs="Times New Roman"/>
          <w:i/>
          <w:iCs/>
          <w:color w:val="222222"/>
          <w:szCs w:val="24"/>
          <w:shd w:val="clear" w:color="auto" w:fill="FFFFFF"/>
        </w:rPr>
        <w:t xml:space="preserve">Bello </w:t>
      </w:r>
      <w:proofErr w:type="spellStart"/>
      <w:r>
        <w:rPr>
          <w:rFonts w:cs="Times New Roman"/>
          <w:i/>
          <w:iCs/>
          <w:color w:val="222222"/>
          <w:szCs w:val="24"/>
          <w:shd w:val="clear" w:color="auto" w:fill="FFFFFF"/>
        </w:rPr>
        <w:t>Civili</w:t>
      </w:r>
      <w:proofErr w:type="spellEnd"/>
      <w:r>
        <w:rPr>
          <w:rFonts w:cs="Times New Roman"/>
          <w:i/>
          <w:iCs/>
          <w:color w:val="222222"/>
          <w:szCs w:val="24"/>
          <w:shd w:val="clear" w:color="auto" w:fill="FFFFFF"/>
        </w:rPr>
        <w:t xml:space="preserve">/ </w:t>
      </w:r>
      <w:proofErr w:type="spellStart"/>
      <w:r>
        <w:rPr>
          <w:rFonts w:cs="Times New Roman"/>
          <w:i/>
          <w:iCs/>
          <w:color w:val="222222"/>
          <w:szCs w:val="24"/>
          <w:shd w:val="clear" w:color="auto" w:fill="FFFFFF"/>
        </w:rPr>
        <w:t>Pharsalia</w:t>
      </w:r>
      <w:proofErr w:type="spellEnd"/>
      <w:r>
        <w:rPr>
          <w:rFonts w:cs="Times New Roman"/>
          <w:i/>
          <w:iCs/>
          <w:color w:val="222222"/>
          <w:szCs w:val="24"/>
          <w:shd w:val="clear" w:color="auto" w:fill="FFFFFF"/>
        </w:rPr>
        <w:t xml:space="preserve"> </w:t>
      </w:r>
      <w:r>
        <w:rPr>
          <w:rFonts w:cs="Times New Roman"/>
          <w:color w:val="222222"/>
          <w:szCs w:val="24"/>
          <w:shd w:val="clear" w:color="auto" w:fill="FFFFFF"/>
        </w:rPr>
        <w:t xml:space="preserve">for the Roman perspectives, and Walter of Chatillon’s </w:t>
      </w:r>
      <w:proofErr w:type="spellStart"/>
      <w:r>
        <w:rPr>
          <w:rFonts w:cs="Times New Roman"/>
          <w:i/>
          <w:iCs/>
          <w:color w:val="222222"/>
          <w:szCs w:val="24"/>
          <w:shd w:val="clear" w:color="auto" w:fill="FFFFFF"/>
        </w:rPr>
        <w:t>Alexandreis</w:t>
      </w:r>
      <w:proofErr w:type="spellEnd"/>
      <w:r>
        <w:rPr>
          <w:rFonts w:cs="Times New Roman"/>
          <w:i/>
          <w:iCs/>
          <w:color w:val="222222"/>
          <w:szCs w:val="24"/>
          <w:shd w:val="clear" w:color="auto" w:fill="FFFFFF"/>
        </w:rPr>
        <w:t xml:space="preserve"> </w:t>
      </w:r>
      <w:r>
        <w:rPr>
          <w:rFonts w:cs="Times New Roman"/>
          <w:color w:val="222222"/>
          <w:szCs w:val="24"/>
          <w:shd w:val="clear" w:color="auto" w:fill="FFFFFF"/>
        </w:rPr>
        <w:t>for a medieval perspective, with some other supplementary texts. It will examine how they present the figure of Alexander, and the contemporary issues that they grapple with.</w:t>
      </w:r>
    </w:p>
    <w:p w14:paraId="4D9F8BD2" w14:textId="3A617322" w:rsidR="000A38FD" w:rsidRDefault="0075414D" w:rsidP="00DD717B">
      <w:pPr>
        <w:spacing w:line="480" w:lineRule="auto"/>
        <w:rPr>
          <w:rFonts w:cs="Times New Roman"/>
          <w:color w:val="222222"/>
          <w:szCs w:val="24"/>
          <w:shd w:val="clear" w:color="auto" w:fill="FFFFFF"/>
        </w:rPr>
      </w:pPr>
      <w:r>
        <w:rPr>
          <w:rFonts w:cs="Times New Roman"/>
          <w:color w:val="222222"/>
          <w:szCs w:val="24"/>
          <w:shd w:val="clear" w:color="auto" w:fill="FFFFFF"/>
        </w:rPr>
        <w:t xml:space="preserve">The first source that will be discussed is </w:t>
      </w:r>
      <w:proofErr w:type="spellStart"/>
      <w:r>
        <w:rPr>
          <w:rFonts w:cs="Times New Roman"/>
          <w:color w:val="222222"/>
          <w:szCs w:val="24"/>
          <w:shd w:val="clear" w:color="auto" w:fill="FFFFFF"/>
        </w:rPr>
        <w:t>Curtius</w:t>
      </w:r>
      <w:proofErr w:type="spellEnd"/>
      <w:r>
        <w:rPr>
          <w:rFonts w:cs="Times New Roman"/>
          <w:color w:val="222222"/>
          <w:szCs w:val="24"/>
          <w:shd w:val="clear" w:color="auto" w:fill="FFFFFF"/>
        </w:rPr>
        <w:t xml:space="preserve"> Rufus. </w:t>
      </w:r>
      <w:proofErr w:type="spellStart"/>
      <w:r>
        <w:rPr>
          <w:rFonts w:cs="Times New Roman"/>
          <w:color w:val="222222"/>
          <w:szCs w:val="24"/>
          <w:shd w:val="clear" w:color="auto" w:fill="FFFFFF"/>
        </w:rPr>
        <w:t>Curtius</w:t>
      </w:r>
      <w:proofErr w:type="spellEnd"/>
      <w:r>
        <w:rPr>
          <w:rFonts w:cs="Times New Roman"/>
          <w:color w:val="222222"/>
          <w:szCs w:val="24"/>
          <w:shd w:val="clear" w:color="auto" w:fill="FFFFFF"/>
        </w:rPr>
        <w:t xml:space="preserve">’ portrayal of Alexander is that of an initially virtuous leader, who becomes a ruthless autocrat after being exposed to eastern wealth and luxury. </w:t>
      </w:r>
      <w:proofErr w:type="spellStart"/>
      <w:r>
        <w:rPr>
          <w:rFonts w:cs="Times New Roman"/>
          <w:color w:val="222222"/>
          <w:szCs w:val="24"/>
          <w:shd w:val="clear" w:color="auto" w:fill="FFFFFF"/>
        </w:rPr>
        <w:t>Nudell</w:t>
      </w:r>
      <w:proofErr w:type="spellEnd"/>
      <w:r>
        <w:rPr>
          <w:rFonts w:cs="Times New Roman"/>
          <w:color w:val="222222"/>
          <w:szCs w:val="24"/>
          <w:shd w:val="clear" w:color="auto" w:fill="FFFFFF"/>
        </w:rPr>
        <w:t xml:space="preserve"> describes this narrative structure as consisting of two ‘pentads’, representing Alexander before and after his moral decline, with its point of origin at the events in </w:t>
      </w:r>
      <w:proofErr w:type="spellStart"/>
      <w:r>
        <w:rPr>
          <w:rFonts w:cs="Times New Roman"/>
          <w:color w:val="222222"/>
          <w:szCs w:val="24"/>
          <w:shd w:val="clear" w:color="auto" w:fill="FFFFFF"/>
        </w:rPr>
        <w:t>Siwah</w:t>
      </w:r>
      <w:proofErr w:type="spellEnd"/>
      <w:r>
        <w:rPr>
          <w:rFonts w:cs="Times New Roman"/>
          <w:color w:val="222222"/>
          <w:szCs w:val="24"/>
          <w:shd w:val="clear" w:color="auto" w:fill="FFFFFF"/>
        </w:rPr>
        <w:t>.</w:t>
      </w:r>
      <w:r>
        <w:rPr>
          <w:rStyle w:val="FootnoteReference"/>
          <w:rFonts w:cs="Times New Roman"/>
          <w:color w:val="222222"/>
          <w:szCs w:val="24"/>
          <w:shd w:val="clear" w:color="auto" w:fill="FFFFFF"/>
        </w:rPr>
        <w:footnoteReference w:id="1"/>
      </w:r>
      <w:r>
        <w:rPr>
          <w:rFonts w:cs="Times New Roman"/>
          <w:color w:val="222222"/>
          <w:szCs w:val="24"/>
          <w:shd w:val="clear" w:color="auto" w:fill="FFFFFF"/>
        </w:rPr>
        <w:t xml:space="preserve"> Stewart also points to </w:t>
      </w:r>
      <w:proofErr w:type="spellStart"/>
      <w:r>
        <w:rPr>
          <w:rFonts w:cs="Times New Roman"/>
          <w:color w:val="222222"/>
          <w:szCs w:val="24"/>
          <w:shd w:val="clear" w:color="auto" w:fill="FFFFFF"/>
        </w:rPr>
        <w:t>Siwah</w:t>
      </w:r>
      <w:proofErr w:type="spellEnd"/>
      <w:r>
        <w:rPr>
          <w:rFonts w:cs="Times New Roman"/>
          <w:color w:val="222222"/>
          <w:szCs w:val="24"/>
          <w:shd w:val="clear" w:color="auto" w:fill="FFFFFF"/>
        </w:rPr>
        <w:t xml:space="preserve"> as the point of origin for Alexander’s decline.</w:t>
      </w:r>
      <w:r>
        <w:rPr>
          <w:rStyle w:val="FootnoteReference"/>
          <w:rFonts w:cs="Times New Roman"/>
          <w:color w:val="222222"/>
          <w:szCs w:val="24"/>
          <w:shd w:val="clear" w:color="auto" w:fill="FFFFFF"/>
        </w:rPr>
        <w:footnoteReference w:id="2"/>
      </w:r>
      <w:r>
        <w:rPr>
          <w:rFonts w:cs="Times New Roman"/>
          <w:color w:val="222222"/>
          <w:szCs w:val="24"/>
          <w:shd w:val="clear" w:color="auto" w:fill="FFFFFF"/>
        </w:rPr>
        <w:t xml:space="preserve"> The confirmation of Alexander’s divinity marked a change from the traditional Macedonian leadership style, allowing his generals some autonomy, to a more Persian-style, demanding prostration, to which his generals protested.</w:t>
      </w:r>
      <w:r>
        <w:rPr>
          <w:rStyle w:val="FootnoteReference"/>
          <w:rFonts w:cs="Times New Roman"/>
          <w:color w:val="222222"/>
          <w:szCs w:val="24"/>
          <w:shd w:val="clear" w:color="auto" w:fill="FFFFFF"/>
        </w:rPr>
        <w:footnoteReference w:id="3"/>
      </w:r>
      <w:r>
        <w:rPr>
          <w:rFonts w:cs="Times New Roman"/>
          <w:color w:val="222222"/>
          <w:szCs w:val="24"/>
          <w:shd w:val="clear" w:color="auto" w:fill="FFFFFF"/>
        </w:rPr>
        <w:t xml:space="preserve"> Following this, </w:t>
      </w:r>
      <w:proofErr w:type="spellStart"/>
      <w:r>
        <w:rPr>
          <w:rFonts w:cs="Times New Roman"/>
          <w:color w:val="222222"/>
          <w:szCs w:val="24"/>
          <w:shd w:val="clear" w:color="auto" w:fill="FFFFFF"/>
        </w:rPr>
        <w:t>Curtius</w:t>
      </w:r>
      <w:proofErr w:type="spellEnd"/>
      <w:r>
        <w:rPr>
          <w:rFonts w:cs="Times New Roman"/>
          <w:color w:val="222222"/>
          <w:szCs w:val="24"/>
          <w:shd w:val="clear" w:color="auto" w:fill="FFFFFF"/>
        </w:rPr>
        <w:t xml:space="preserve"> draws attention to issues such as Alexander’s heavy drinking, which although being a large part of Macedonian customs, is listed as being one of many Persian vices.</w:t>
      </w:r>
      <w:r>
        <w:rPr>
          <w:rStyle w:val="FootnoteReference"/>
          <w:rFonts w:cs="Times New Roman"/>
          <w:color w:val="222222"/>
          <w:szCs w:val="24"/>
          <w:shd w:val="clear" w:color="auto" w:fill="FFFFFF"/>
        </w:rPr>
        <w:footnoteReference w:id="4"/>
      </w:r>
      <w:r>
        <w:rPr>
          <w:rFonts w:cs="Times New Roman"/>
          <w:color w:val="222222"/>
          <w:szCs w:val="24"/>
          <w:shd w:val="clear" w:color="auto" w:fill="FFFFFF"/>
        </w:rPr>
        <w:t xml:space="preserve"> This </w:t>
      </w:r>
      <w:r w:rsidR="00FD12C7">
        <w:rPr>
          <w:rFonts w:cs="Times New Roman"/>
          <w:color w:val="222222"/>
          <w:szCs w:val="24"/>
          <w:shd w:val="clear" w:color="auto" w:fill="FFFFFF"/>
        </w:rPr>
        <w:t xml:space="preserve">section gives the impression that, although Alexander had militarily conquered Persia, Alexander himself had </w:t>
      </w:r>
      <w:r w:rsidR="00FD12C7">
        <w:rPr>
          <w:rFonts w:cs="Times New Roman"/>
          <w:color w:val="222222"/>
          <w:szCs w:val="24"/>
          <w:shd w:val="clear" w:color="auto" w:fill="FFFFFF"/>
        </w:rPr>
        <w:lastRenderedPageBreak/>
        <w:t>been conquered by Persia, through giving in to their luxuries. According to Flower, the adoption of the luxuries of conquered people is typical for the portrayal of Persians within Greek literature.</w:t>
      </w:r>
      <w:r w:rsidR="00FD12C7">
        <w:rPr>
          <w:rStyle w:val="FootnoteReference"/>
          <w:rFonts w:cs="Times New Roman"/>
          <w:color w:val="222222"/>
          <w:szCs w:val="24"/>
          <w:shd w:val="clear" w:color="auto" w:fill="FFFFFF"/>
        </w:rPr>
        <w:footnoteReference w:id="5"/>
      </w:r>
      <w:r w:rsidR="00FD12C7">
        <w:rPr>
          <w:rFonts w:cs="Times New Roman"/>
          <w:color w:val="222222"/>
          <w:szCs w:val="24"/>
          <w:shd w:val="clear" w:color="auto" w:fill="FFFFFF"/>
        </w:rPr>
        <w:t xml:space="preserve"> All of this together shows that </w:t>
      </w:r>
      <w:proofErr w:type="spellStart"/>
      <w:r w:rsidR="00FD12C7">
        <w:rPr>
          <w:rFonts w:cs="Times New Roman"/>
          <w:color w:val="222222"/>
          <w:szCs w:val="24"/>
          <w:shd w:val="clear" w:color="auto" w:fill="FFFFFF"/>
        </w:rPr>
        <w:t>Curtius</w:t>
      </w:r>
      <w:proofErr w:type="spellEnd"/>
      <w:r w:rsidR="00FD12C7">
        <w:rPr>
          <w:rFonts w:cs="Times New Roman"/>
          <w:color w:val="222222"/>
          <w:szCs w:val="24"/>
          <w:shd w:val="clear" w:color="auto" w:fill="FFFFFF"/>
        </w:rPr>
        <w:t xml:space="preserve"> presents Alexander as a once proud and virtuous Macedonian king who, through his conquest of the east, was conquered and driven into gluttony himself through the temptation of luxuries.</w:t>
      </w:r>
    </w:p>
    <w:p w14:paraId="478AA2A3" w14:textId="10EAFB27" w:rsidR="00FD12C7" w:rsidRDefault="00FD12C7" w:rsidP="00DD717B">
      <w:pPr>
        <w:spacing w:line="480" w:lineRule="auto"/>
        <w:rPr>
          <w:rFonts w:cs="Times New Roman"/>
          <w:color w:val="222222"/>
          <w:szCs w:val="24"/>
          <w:shd w:val="clear" w:color="auto" w:fill="FFFFFF"/>
        </w:rPr>
      </w:pPr>
      <w:r>
        <w:rPr>
          <w:rFonts w:cs="Times New Roman"/>
          <w:color w:val="222222"/>
          <w:szCs w:val="24"/>
          <w:shd w:val="clear" w:color="auto" w:fill="FFFFFF"/>
        </w:rPr>
        <w:t xml:space="preserve">Following the adoption of these luxuries, Alexander begins to act in a much more brutal way towards his own comrades. Two examples of this are the murders of </w:t>
      </w:r>
      <w:proofErr w:type="spellStart"/>
      <w:r>
        <w:rPr>
          <w:rFonts w:cs="Times New Roman"/>
          <w:color w:val="222222"/>
          <w:szCs w:val="24"/>
          <w:shd w:val="clear" w:color="auto" w:fill="FFFFFF"/>
        </w:rPr>
        <w:t>Cleitus</w:t>
      </w:r>
      <w:proofErr w:type="spellEnd"/>
      <w:r>
        <w:rPr>
          <w:rFonts w:cs="Times New Roman"/>
          <w:color w:val="222222"/>
          <w:szCs w:val="24"/>
          <w:shd w:val="clear" w:color="auto" w:fill="FFFFFF"/>
        </w:rPr>
        <w:t xml:space="preserve"> (8.1), and Callisthenes (8.6.1). The former of these is particularly important, as it was enacted under the influence of alcohol, one of the vices listed in 6.2. This further puts the blame for Alexander’s actions towards the eastern luxuries. This would have had contemporary significance, as similar worries of the </w:t>
      </w:r>
      <w:r w:rsidR="0046618F">
        <w:rPr>
          <w:rFonts w:cs="Times New Roman"/>
          <w:color w:val="222222"/>
          <w:szCs w:val="24"/>
          <w:shd w:val="clear" w:color="auto" w:fill="FFFFFF"/>
        </w:rPr>
        <w:t xml:space="preserve">potential harm of eastern influence in the Roman Empire are echoed in other works, such as Livy (Liv. 34.4.4-5). </w:t>
      </w:r>
      <w:r w:rsidR="005C697D">
        <w:rPr>
          <w:rFonts w:cs="Times New Roman"/>
          <w:color w:val="222222"/>
          <w:szCs w:val="24"/>
          <w:shd w:val="clear" w:color="auto" w:fill="FFFFFF"/>
        </w:rPr>
        <w:t>This could also be a reference to Caligula’s dreams of conquest and his corrupt rule,</w:t>
      </w:r>
      <w:r w:rsidR="005C697D">
        <w:rPr>
          <w:rStyle w:val="FootnoteReference"/>
          <w:rFonts w:cs="Times New Roman"/>
          <w:color w:val="222222"/>
          <w:szCs w:val="24"/>
          <w:shd w:val="clear" w:color="auto" w:fill="FFFFFF"/>
        </w:rPr>
        <w:footnoteReference w:id="6"/>
      </w:r>
      <w:r w:rsidR="005C697D">
        <w:rPr>
          <w:rFonts w:cs="Times New Roman"/>
          <w:color w:val="222222"/>
          <w:szCs w:val="24"/>
          <w:shd w:val="clear" w:color="auto" w:fill="FFFFFF"/>
        </w:rPr>
        <w:t xml:space="preserve"> presenting Caligula as having all the negative traits of Alexander, without the martial prowess.</w:t>
      </w:r>
    </w:p>
    <w:p w14:paraId="5592C6D6" w14:textId="21B1BA7F" w:rsidR="00B775E0" w:rsidRDefault="00B775E0" w:rsidP="00DD717B">
      <w:pPr>
        <w:spacing w:line="480" w:lineRule="auto"/>
        <w:rPr>
          <w:rFonts w:cs="Times New Roman"/>
          <w:color w:val="222222"/>
          <w:szCs w:val="24"/>
          <w:shd w:val="clear" w:color="auto" w:fill="FFFFFF"/>
        </w:rPr>
      </w:pPr>
      <w:proofErr w:type="spellStart"/>
      <w:r>
        <w:rPr>
          <w:rFonts w:cs="Times New Roman"/>
          <w:color w:val="222222"/>
          <w:szCs w:val="24"/>
          <w:shd w:val="clear" w:color="auto" w:fill="FFFFFF"/>
        </w:rPr>
        <w:t>Curtius</w:t>
      </w:r>
      <w:proofErr w:type="spellEnd"/>
      <w:r>
        <w:rPr>
          <w:rFonts w:cs="Times New Roman"/>
          <w:color w:val="222222"/>
          <w:szCs w:val="24"/>
          <w:shd w:val="clear" w:color="auto" w:fill="FFFFFF"/>
        </w:rPr>
        <w:t xml:space="preserve">’ work could also </w:t>
      </w:r>
      <w:r w:rsidR="00691BD9">
        <w:rPr>
          <w:rFonts w:cs="Times New Roman"/>
          <w:color w:val="222222"/>
          <w:szCs w:val="24"/>
          <w:shd w:val="clear" w:color="auto" w:fill="FFFFFF"/>
        </w:rPr>
        <w:t>reflect</w:t>
      </w:r>
      <w:r>
        <w:rPr>
          <w:rFonts w:cs="Times New Roman"/>
          <w:color w:val="222222"/>
          <w:szCs w:val="24"/>
          <w:shd w:val="clear" w:color="auto" w:fill="FFFFFF"/>
        </w:rPr>
        <w:t xml:space="preserve"> the uncertainty </w:t>
      </w:r>
      <w:r w:rsidR="00A256BC">
        <w:rPr>
          <w:rFonts w:cs="Times New Roman"/>
          <w:color w:val="222222"/>
          <w:szCs w:val="24"/>
          <w:shd w:val="clear" w:color="auto" w:fill="FFFFFF"/>
        </w:rPr>
        <w:t>of the relatively new imperial system, providing stability, but with the risk of collapsing into autocracy.</w:t>
      </w:r>
      <w:r w:rsidR="00A256BC">
        <w:rPr>
          <w:rStyle w:val="FootnoteReference"/>
          <w:rFonts w:cs="Times New Roman"/>
          <w:color w:val="222222"/>
          <w:szCs w:val="24"/>
          <w:shd w:val="clear" w:color="auto" w:fill="FFFFFF"/>
        </w:rPr>
        <w:footnoteReference w:id="7"/>
      </w:r>
      <w:r w:rsidR="00A256BC">
        <w:rPr>
          <w:rFonts w:cs="Times New Roman"/>
          <w:color w:val="222222"/>
          <w:szCs w:val="24"/>
          <w:shd w:val="clear" w:color="auto" w:fill="FFFFFF"/>
        </w:rPr>
        <w:t xml:space="preserve"> In this context, Alexander could </w:t>
      </w:r>
      <w:r w:rsidR="00691BD9">
        <w:rPr>
          <w:rFonts w:cs="Times New Roman"/>
          <w:color w:val="222222"/>
          <w:szCs w:val="24"/>
          <w:shd w:val="clear" w:color="auto" w:fill="FFFFFF"/>
        </w:rPr>
        <w:t>provide a good role model for military leadership and as a patron of arts.</w:t>
      </w:r>
      <w:r w:rsidR="00691BD9">
        <w:rPr>
          <w:rStyle w:val="FootnoteReference"/>
          <w:rFonts w:cs="Times New Roman"/>
          <w:color w:val="222222"/>
          <w:szCs w:val="24"/>
          <w:shd w:val="clear" w:color="auto" w:fill="FFFFFF"/>
        </w:rPr>
        <w:footnoteReference w:id="8"/>
      </w:r>
      <w:r w:rsidR="00691BD9">
        <w:rPr>
          <w:rFonts w:cs="Times New Roman"/>
          <w:color w:val="222222"/>
          <w:szCs w:val="24"/>
          <w:shd w:val="clear" w:color="auto" w:fill="FFFFFF"/>
        </w:rPr>
        <w:t xml:space="preserve"> For the Roman state, Alexander’s empire could be used as a means of demonstrating that </w:t>
      </w:r>
      <w:r w:rsidR="00D85DEA">
        <w:rPr>
          <w:rFonts w:cs="Times New Roman"/>
          <w:color w:val="222222"/>
          <w:szCs w:val="24"/>
          <w:shd w:val="clear" w:color="auto" w:fill="FFFFFF"/>
        </w:rPr>
        <w:t>Rome at the time could have been seen to have surpassed Alexander through the conquest of the successors.</w:t>
      </w:r>
      <w:r w:rsidR="00D85DEA">
        <w:rPr>
          <w:rStyle w:val="FootnoteReference"/>
          <w:rFonts w:cs="Times New Roman"/>
          <w:color w:val="222222"/>
          <w:szCs w:val="24"/>
          <w:shd w:val="clear" w:color="auto" w:fill="FFFFFF"/>
        </w:rPr>
        <w:footnoteReference w:id="9"/>
      </w:r>
      <w:r w:rsidR="00691BD9">
        <w:rPr>
          <w:rFonts w:cs="Times New Roman"/>
          <w:color w:val="222222"/>
          <w:szCs w:val="24"/>
          <w:shd w:val="clear" w:color="auto" w:fill="FFFFFF"/>
        </w:rPr>
        <w:t xml:space="preserve"> </w:t>
      </w:r>
      <w:proofErr w:type="spellStart"/>
      <w:r w:rsidR="00A0762D">
        <w:rPr>
          <w:rFonts w:cs="Times New Roman"/>
          <w:color w:val="222222"/>
          <w:szCs w:val="24"/>
          <w:shd w:val="clear" w:color="auto" w:fill="FFFFFF"/>
        </w:rPr>
        <w:t>Curtius</w:t>
      </w:r>
      <w:proofErr w:type="spellEnd"/>
      <w:r w:rsidR="00A0762D">
        <w:rPr>
          <w:rFonts w:cs="Times New Roman"/>
          <w:color w:val="222222"/>
          <w:szCs w:val="24"/>
          <w:shd w:val="clear" w:color="auto" w:fill="FFFFFF"/>
        </w:rPr>
        <w:t xml:space="preserve"> also has sections which could act as a guide or warning for individuals within the Roman state for what to avoid when dealing with an autocrat. For example, the </w:t>
      </w:r>
      <w:r w:rsidR="00B44AEC">
        <w:rPr>
          <w:rFonts w:cs="Times New Roman"/>
          <w:color w:val="222222"/>
          <w:szCs w:val="24"/>
          <w:shd w:val="clear" w:color="auto" w:fill="FFFFFF"/>
        </w:rPr>
        <w:t xml:space="preserve">trial of Philotas (6.8-11), could considered a warning of dangers of competition between </w:t>
      </w:r>
      <w:r w:rsidR="00B44AEC">
        <w:rPr>
          <w:rFonts w:cs="Times New Roman"/>
          <w:color w:val="222222"/>
          <w:szCs w:val="24"/>
          <w:shd w:val="clear" w:color="auto" w:fill="FFFFFF"/>
        </w:rPr>
        <w:lastRenderedPageBreak/>
        <w:t>generals trying to win favour with monarchs.</w:t>
      </w:r>
      <w:r w:rsidR="00B44AEC">
        <w:rPr>
          <w:rStyle w:val="FootnoteReference"/>
          <w:rFonts w:cs="Times New Roman"/>
          <w:color w:val="222222"/>
          <w:szCs w:val="24"/>
          <w:shd w:val="clear" w:color="auto" w:fill="FFFFFF"/>
        </w:rPr>
        <w:footnoteReference w:id="10"/>
      </w:r>
      <w:r w:rsidR="00B44AEC">
        <w:rPr>
          <w:rFonts w:cs="Times New Roman"/>
          <w:color w:val="222222"/>
          <w:szCs w:val="24"/>
          <w:shd w:val="clear" w:color="auto" w:fill="FFFFFF"/>
        </w:rPr>
        <w:t xml:space="preserve"> The execution of Callisthenes (8.6.1), could also be interpreted in a similar way, as a warning not to oppose autocrats too aggressively for the sake of self-preservation, regardless of the validity of the monarch’s actions.</w:t>
      </w:r>
      <w:r w:rsidR="00B44AEC">
        <w:rPr>
          <w:rStyle w:val="FootnoteReference"/>
          <w:rFonts w:cs="Times New Roman"/>
          <w:color w:val="222222"/>
          <w:szCs w:val="24"/>
          <w:shd w:val="clear" w:color="auto" w:fill="FFFFFF"/>
        </w:rPr>
        <w:footnoteReference w:id="11"/>
      </w:r>
      <w:r w:rsidR="00B44AEC">
        <w:rPr>
          <w:rFonts w:cs="Times New Roman"/>
          <w:color w:val="222222"/>
          <w:szCs w:val="24"/>
          <w:shd w:val="clear" w:color="auto" w:fill="FFFFFF"/>
        </w:rPr>
        <w:t xml:space="preserve"> </w:t>
      </w:r>
      <w:proofErr w:type="spellStart"/>
      <w:r w:rsidR="004A3518">
        <w:rPr>
          <w:rFonts w:cs="Times New Roman"/>
          <w:color w:val="222222"/>
          <w:szCs w:val="24"/>
          <w:shd w:val="clear" w:color="auto" w:fill="FFFFFF"/>
        </w:rPr>
        <w:t>Nudell</w:t>
      </w:r>
      <w:proofErr w:type="spellEnd"/>
      <w:r w:rsidR="004A3518">
        <w:rPr>
          <w:rFonts w:cs="Times New Roman"/>
          <w:color w:val="222222"/>
          <w:szCs w:val="24"/>
          <w:shd w:val="clear" w:color="auto" w:fill="FFFFFF"/>
        </w:rPr>
        <w:t xml:space="preserve"> also interprets the ending of book 10 as a caution that, without a clear line of succession, the inevitable outcome of an autocracy is civil war.</w:t>
      </w:r>
      <w:r w:rsidR="004A3518">
        <w:rPr>
          <w:rStyle w:val="FootnoteReference"/>
          <w:rFonts w:cs="Times New Roman"/>
          <w:color w:val="222222"/>
          <w:szCs w:val="24"/>
          <w:shd w:val="clear" w:color="auto" w:fill="FFFFFF"/>
        </w:rPr>
        <w:footnoteReference w:id="12"/>
      </w:r>
      <w:r w:rsidR="004A3518">
        <w:rPr>
          <w:rFonts w:cs="Times New Roman"/>
          <w:color w:val="222222"/>
          <w:szCs w:val="24"/>
          <w:shd w:val="clear" w:color="auto" w:fill="FFFFFF"/>
        </w:rPr>
        <w:t xml:space="preserve"> </w:t>
      </w:r>
      <w:r w:rsidR="005C697D">
        <w:rPr>
          <w:rFonts w:cs="Times New Roman"/>
          <w:color w:val="222222"/>
          <w:szCs w:val="24"/>
          <w:shd w:val="clear" w:color="auto" w:fill="FFFFFF"/>
        </w:rPr>
        <w:t xml:space="preserve">Overall, the main contemporary messages of </w:t>
      </w:r>
      <w:proofErr w:type="spellStart"/>
      <w:r w:rsidR="005C697D">
        <w:rPr>
          <w:rFonts w:cs="Times New Roman"/>
          <w:color w:val="222222"/>
          <w:szCs w:val="24"/>
          <w:shd w:val="clear" w:color="auto" w:fill="FFFFFF"/>
        </w:rPr>
        <w:t>Curtius</w:t>
      </w:r>
      <w:proofErr w:type="spellEnd"/>
      <w:r w:rsidR="005C697D">
        <w:rPr>
          <w:rFonts w:cs="Times New Roman"/>
          <w:color w:val="222222"/>
          <w:szCs w:val="24"/>
          <w:shd w:val="clear" w:color="auto" w:fill="FFFFFF"/>
        </w:rPr>
        <w:t>’ narrative is that the Roman Empire needs to be careful not to strive for too much luxury and expansion or fall into tyranny. It also acts as an expression of the uncertainty surrounding the imperial system, perhaps intended as an example for the state and individuals to avoid, in order to prevent harm.</w:t>
      </w:r>
    </w:p>
    <w:p w14:paraId="63DD286A" w14:textId="5DDD3D21" w:rsidR="005C697D" w:rsidRDefault="007C1C79" w:rsidP="00DD717B">
      <w:pPr>
        <w:spacing w:line="480" w:lineRule="auto"/>
      </w:pPr>
      <w:r>
        <w:t xml:space="preserve">The second source is Lucan’s </w:t>
      </w:r>
      <w:r>
        <w:rPr>
          <w:i/>
          <w:iCs/>
        </w:rPr>
        <w:t xml:space="preserve">Bello </w:t>
      </w:r>
      <w:proofErr w:type="spellStart"/>
      <w:r>
        <w:rPr>
          <w:i/>
          <w:iCs/>
        </w:rPr>
        <w:t>Civili</w:t>
      </w:r>
      <w:proofErr w:type="spellEnd"/>
      <w:r>
        <w:t>. For Lucan, Alexander is presented as an evil character, which ultimately makes him a successful king.</w:t>
      </w:r>
      <w:r>
        <w:rPr>
          <w:rStyle w:val="FootnoteReference"/>
        </w:rPr>
        <w:footnoteReference w:id="13"/>
      </w:r>
      <w:r>
        <w:t xml:space="preserve"> This contrasts with Seneca, who had the same moral judgement of Alexander, but used him as an example of a bad king, rather than monarchs in general.</w:t>
      </w:r>
      <w:r>
        <w:rPr>
          <w:rStyle w:val="FootnoteReference"/>
        </w:rPr>
        <w:footnoteReference w:id="14"/>
      </w:r>
      <w:r>
        <w:t xml:space="preserve"> This is similar to the way Alexander is used in </w:t>
      </w:r>
      <w:proofErr w:type="spellStart"/>
      <w:r>
        <w:t>Curtius</w:t>
      </w:r>
      <w:proofErr w:type="spellEnd"/>
      <w:r>
        <w:t xml:space="preserve">, a warning for what the result of an unvirtuous monarch would lead to. Although the </w:t>
      </w:r>
      <w:r>
        <w:rPr>
          <w:i/>
          <w:iCs/>
        </w:rPr>
        <w:t xml:space="preserve">Bello </w:t>
      </w:r>
      <w:proofErr w:type="spellStart"/>
      <w:r>
        <w:rPr>
          <w:i/>
          <w:iCs/>
        </w:rPr>
        <w:t>Civili</w:t>
      </w:r>
      <w:proofErr w:type="spellEnd"/>
      <w:r>
        <w:rPr>
          <w:i/>
          <w:iCs/>
        </w:rPr>
        <w:t xml:space="preserve"> </w:t>
      </w:r>
      <w:r>
        <w:t>regards Caesar and Pompey, Alexander is used as an example of what Caesar and Pompey aspired to be, whereas Cato is deemed the antithesis of Alexander, fighting against monarchy.</w:t>
      </w:r>
      <w:r>
        <w:rPr>
          <w:rStyle w:val="FootnoteReference"/>
        </w:rPr>
        <w:footnoteReference w:id="15"/>
      </w:r>
      <w:r>
        <w:t xml:space="preserve"> Lucan, therefore presents Alexander as the epitome of monarchy, seen as a form of government that only attracts, and allows for the success of, wicked people.</w:t>
      </w:r>
      <w:r>
        <w:rPr>
          <w:rStyle w:val="FootnoteReference"/>
        </w:rPr>
        <w:footnoteReference w:id="16"/>
      </w:r>
    </w:p>
    <w:p w14:paraId="0B7F0444" w14:textId="212BF404" w:rsidR="00935DCA" w:rsidRDefault="00F1144C" w:rsidP="00DD717B">
      <w:pPr>
        <w:spacing w:line="480" w:lineRule="auto"/>
      </w:pPr>
      <w:r>
        <w:t>One of the most important passages of Lucan is Caesar’s visit to Troy (9.950-1001). This is a reference to Alexander’s visit to Troy,</w:t>
      </w:r>
      <w:r>
        <w:rPr>
          <w:rStyle w:val="FootnoteReference"/>
        </w:rPr>
        <w:footnoteReference w:id="17"/>
      </w:r>
      <w:r w:rsidR="00935DCA">
        <w:t xml:space="preserve"> </w:t>
      </w:r>
      <w:r>
        <w:t xml:space="preserve">in which Alexander visits and places a crown of </w:t>
      </w:r>
      <w:r>
        <w:lastRenderedPageBreak/>
        <w:t>Achilles’ grave. Whereas Alexander is presented in this episode as treating Troy with respect, Caesar is shown as being unaware of what he is looking at, seeing nothing but ruins and decay, requiring a guide to tell him not to step over Hector’s body.</w:t>
      </w:r>
      <w:r>
        <w:rPr>
          <w:rStyle w:val="FootnoteReference"/>
        </w:rPr>
        <w:footnoteReference w:id="18"/>
      </w:r>
      <w:r>
        <w:t xml:space="preserve"> Caesar also does not pay homage to the heroes of the Trojan War, instead vowing to rebuild Troy in Rome’s image, a possible reference to rumours of Caesar planning to move the capital to Troy.</w:t>
      </w:r>
      <w:r>
        <w:rPr>
          <w:rStyle w:val="FootnoteReference"/>
        </w:rPr>
        <w:footnoteReference w:id="19"/>
      </w:r>
      <w:r w:rsidR="000007FF">
        <w:t xml:space="preserve"> This episode shows that Caesar, despite having the same tyrannical nature as Alexander, lacks the respect for history and memory that Alexander had.</w:t>
      </w:r>
    </w:p>
    <w:p w14:paraId="2E3CF7AC" w14:textId="7E7B0378" w:rsidR="000007FF" w:rsidRDefault="00CA0CE7" w:rsidP="00DD717B">
      <w:pPr>
        <w:spacing w:line="480" w:lineRule="auto"/>
        <w:rPr>
          <w:rFonts w:cs="Times New Roman"/>
          <w:color w:val="222222"/>
          <w:szCs w:val="24"/>
          <w:shd w:val="clear" w:color="auto" w:fill="FFFFFF"/>
        </w:rPr>
      </w:pPr>
      <w:r>
        <w:t>Though Caesar does not visit Achilles’ tomb, he does later visit the tomb of Alexander in Alexandria, neglecting the other monuments of the city.</w:t>
      </w:r>
      <w:r>
        <w:rPr>
          <w:rStyle w:val="FootnoteReference"/>
        </w:rPr>
        <w:footnoteReference w:id="20"/>
      </w:r>
      <w:r w:rsidR="00EA1993">
        <w:t xml:space="preserve"> The portrait of Alexander in this passage </w:t>
      </w:r>
      <w:r w:rsidR="00361BA7">
        <w:t>is also intended to link Caesar and Alexander as a wretched tyrant, reinforcing the idea that monarchy inevitably attracts wicked people.</w:t>
      </w:r>
      <w:r w:rsidR="00361BA7">
        <w:rPr>
          <w:rStyle w:val="FootnoteReference"/>
        </w:rPr>
        <w:footnoteReference w:id="21"/>
      </w:r>
      <w:r w:rsidR="003E17FC">
        <w:t xml:space="preserve"> In terms of contemporary issues, when applied to the time it was written, Lucan could also be seen to be an indirect invective of Nero. For example, the reference to Alexander’s lack of heir could allude to Nero’s own lack of children.</w:t>
      </w:r>
      <w:r w:rsidR="003E17FC">
        <w:rPr>
          <w:rStyle w:val="FootnoteReference"/>
        </w:rPr>
        <w:footnoteReference w:id="22"/>
      </w:r>
      <w:r w:rsidR="003E17FC">
        <w:t xml:space="preserve"> When the aftermath of Alexander’s death is taken in mind, this could be a prediction of a civil war after Nero’s death, as </w:t>
      </w:r>
      <w:proofErr w:type="spellStart"/>
      <w:r w:rsidR="003E17FC">
        <w:t>Curtius</w:t>
      </w:r>
      <w:proofErr w:type="spellEnd"/>
      <w:r w:rsidR="003E17FC">
        <w:t xml:space="preserve"> warned of in book 10 of the </w:t>
      </w:r>
      <w:proofErr w:type="spellStart"/>
      <w:r w:rsidR="003E17FC" w:rsidRPr="000A38FD">
        <w:rPr>
          <w:rFonts w:cs="Times New Roman"/>
          <w:i/>
          <w:iCs/>
          <w:color w:val="222222"/>
          <w:szCs w:val="24"/>
          <w:shd w:val="clear" w:color="auto" w:fill="FFFFFF"/>
        </w:rPr>
        <w:t>Historiae</w:t>
      </w:r>
      <w:proofErr w:type="spellEnd"/>
      <w:r w:rsidR="003E17FC" w:rsidRPr="000A38FD">
        <w:rPr>
          <w:rFonts w:cs="Times New Roman"/>
          <w:i/>
          <w:iCs/>
          <w:color w:val="222222"/>
          <w:szCs w:val="24"/>
          <w:shd w:val="clear" w:color="auto" w:fill="FFFFFF"/>
        </w:rPr>
        <w:t xml:space="preserve"> </w:t>
      </w:r>
      <w:proofErr w:type="spellStart"/>
      <w:r w:rsidR="003E17FC" w:rsidRPr="000A38FD">
        <w:rPr>
          <w:rFonts w:cs="Times New Roman"/>
          <w:i/>
          <w:iCs/>
          <w:color w:val="222222"/>
          <w:szCs w:val="24"/>
          <w:shd w:val="clear" w:color="auto" w:fill="FFFFFF"/>
        </w:rPr>
        <w:t>Alexandri</w:t>
      </w:r>
      <w:proofErr w:type="spellEnd"/>
      <w:r w:rsidR="003E17FC" w:rsidRPr="000A38FD">
        <w:rPr>
          <w:rFonts w:cs="Times New Roman"/>
          <w:i/>
          <w:iCs/>
          <w:color w:val="222222"/>
          <w:szCs w:val="24"/>
          <w:shd w:val="clear" w:color="auto" w:fill="FFFFFF"/>
        </w:rPr>
        <w:t xml:space="preserve"> </w:t>
      </w:r>
      <w:proofErr w:type="spellStart"/>
      <w:r w:rsidR="003E17FC" w:rsidRPr="000A38FD">
        <w:rPr>
          <w:rFonts w:cs="Times New Roman"/>
          <w:i/>
          <w:iCs/>
          <w:color w:val="222222"/>
          <w:szCs w:val="24"/>
          <w:shd w:val="clear" w:color="auto" w:fill="FFFFFF"/>
        </w:rPr>
        <w:t>Magni</w:t>
      </w:r>
      <w:proofErr w:type="spellEnd"/>
      <w:r w:rsidR="003E17FC">
        <w:rPr>
          <w:rFonts w:cs="Times New Roman"/>
          <w:i/>
          <w:iCs/>
          <w:color w:val="222222"/>
          <w:szCs w:val="24"/>
          <w:shd w:val="clear" w:color="auto" w:fill="FFFFFF"/>
        </w:rPr>
        <w:t>.</w:t>
      </w:r>
      <w:r w:rsidR="003E17FC">
        <w:rPr>
          <w:rFonts w:cs="Times New Roman"/>
          <w:color w:val="222222"/>
          <w:szCs w:val="24"/>
          <w:shd w:val="clear" w:color="auto" w:fill="FFFFFF"/>
        </w:rPr>
        <w:t xml:space="preserve"> Another contemporary reference is the mention of Nero’s failed campaigns in the East</w:t>
      </w:r>
      <w:r w:rsidR="003249B4">
        <w:rPr>
          <w:rFonts w:cs="Times New Roman"/>
          <w:color w:val="222222"/>
          <w:szCs w:val="24"/>
          <w:shd w:val="clear" w:color="auto" w:fill="FFFFFF"/>
        </w:rPr>
        <w:t xml:space="preserve"> (BC 10.47-52), in contrast with Alexander’s subjugation of Parthia described immediately prior in 10.46</w:t>
      </w:r>
      <w:r w:rsidR="005955AB">
        <w:rPr>
          <w:rFonts w:cs="Times New Roman"/>
          <w:color w:val="222222"/>
          <w:szCs w:val="24"/>
          <w:shd w:val="clear" w:color="auto" w:fill="FFFFFF"/>
        </w:rPr>
        <w:t xml:space="preserve">. According to </w:t>
      </w:r>
      <w:proofErr w:type="spellStart"/>
      <w:r w:rsidR="005955AB">
        <w:rPr>
          <w:rFonts w:cs="Times New Roman"/>
          <w:color w:val="222222"/>
          <w:szCs w:val="24"/>
          <w:shd w:val="clear" w:color="auto" w:fill="FFFFFF"/>
        </w:rPr>
        <w:t>Celotto</w:t>
      </w:r>
      <w:proofErr w:type="spellEnd"/>
      <w:r w:rsidR="005955AB">
        <w:rPr>
          <w:rFonts w:cs="Times New Roman"/>
          <w:color w:val="222222"/>
          <w:szCs w:val="24"/>
          <w:shd w:val="clear" w:color="auto" w:fill="FFFFFF"/>
        </w:rPr>
        <w:t>, this presents Nero as a “2</w:t>
      </w:r>
      <w:r w:rsidR="005955AB" w:rsidRPr="005955AB">
        <w:rPr>
          <w:rFonts w:cs="Times New Roman"/>
          <w:color w:val="222222"/>
          <w:szCs w:val="24"/>
          <w:shd w:val="clear" w:color="auto" w:fill="FFFFFF"/>
          <w:vertAlign w:val="superscript"/>
        </w:rPr>
        <w:t>nd</w:t>
      </w:r>
      <w:r w:rsidR="005955AB">
        <w:rPr>
          <w:rFonts w:cs="Times New Roman"/>
          <w:color w:val="222222"/>
          <w:szCs w:val="24"/>
          <w:shd w:val="clear" w:color="auto" w:fill="FFFFFF"/>
        </w:rPr>
        <w:t xml:space="preserve"> rate Alexander”, unable to conquer the east despite possessing equal ferocity.</w:t>
      </w:r>
      <w:r w:rsidR="005955AB">
        <w:rPr>
          <w:rStyle w:val="FootnoteReference"/>
          <w:rFonts w:cs="Times New Roman"/>
          <w:color w:val="222222"/>
          <w:szCs w:val="24"/>
          <w:shd w:val="clear" w:color="auto" w:fill="FFFFFF"/>
        </w:rPr>
        <w:footnoteReference w:id="23"/>
      </w:r>
      <w:r w:rsidR="005955AB">
        <w:rPr>
          <w:rFonts w:cs="Times New Roman"/>
          <w:color w:val="222222"/>
          <w:szCs w:val="24"/>
          <w:shd w:val="clear" w:color="auto" w:fill="FFFFFF"/>
        </w:rPr>
        <w:t xml:space="preserve"> Though this is true, it also represents Nero as a second rate Caesar, meaning he contains all of the negative properties of the typical tyrant, while lacking the military achievements of either Roman or </w:t>
      </w:r>
      <w:r w:rsidR="005955AB">
        <w:rPr>
          <w:rFonts w:cs="Times New Roman"/>
          <w:color w:val="222222"/>
          <w:szCs w:val="24"/>
          <w:shd w:val="clear" w:color="auto" w:fill="FFFFFF"/>
        </w:rPr>
        <w:lastRenderedPageBreak/>
        <w:t xml:space="preserve">Greek exemplars. Overall, Lucan uses Alexander as a device through which to rally against the institution of monarchy, while also applying this to his own time to show that the tyrant to his contemporary </w:t>
      </w:r>
      <w:r w:rsidR="0048031F">
        <w:rPr>
          <w:rFonts w:cs="Times New Roman"/>
          <w:color w:val="222222"/>
          <w:szCs w:val="24"/>
          <w:shd w:val="clear" w:color="auto" w:fill="FFFFFF"/>
        </w:rPr>
        <w:t>was equally vicious as those he spoke against directly, while containing none of their achievements and glory.</w:t>
      </w:r>
      <w:r w:rsidR="005955AB">
        <w:rPr>
          <w:rFonts w:cs="Times New Roman"/>
          <w:color w:val="222222"/>
          <w:szCs w:val="24"/>
          <w:shd w:val="clear" w:color="auto" w:fill="FFFFFF"/>
        </w:rPr>
        <w:t xml:space="preserve"> </w:t>
      </w:r>
    </w:p>
    <w:p w14:paraId="6784A452" w14:textId="77EE5AAC" w:rsidR="00B34FF4" w:rsidRDefault="0048031F" w:rsidP="00DD717B">
      <w:pPr>
        <w:spacing w:line="480" w:lineRule="auto"/>
        <w:rPr>
          <w:rFonts w:cs="Times New Roman"/>
          <w:color w:val="222222"/>
          <w:szCs w:val="24"/>
          <w:shd w:val="clear" w:color="auto" w:fill="FFFFFF"/>
        </w:rPr>
      </w:pPr>
      <w:r>
        <w:rPr>
          <w:rFonts w:cs="Times New Roman"/>
          <w:color w:val="222222"/>
          <w:szCs w:val="24"/>
          <w:shd w:val="clear" w:color="auto" w:fill="FFFFFF"/>
        </w:rPr>
        <w:t xml:space="preserve">Now that two Roman approaches to Alexander have been discussed, we will now deal with a medieval example; specifically, Walter of Chatillon’s </w:t>
      </w:r>
      <w:proofErr w:type="spellStart"/>
      <w:r>
        <w:rPr>
          <w:rFonts w:cs="Times New Roman"/>
          <w:i/>
          <w:iCs/>
          <w:color w:val="222222"/>
          <w:szCs w:val="24"/>
          <w:shd w:val="clear" w:color="auto" w:fill="FFFFFF"/>
        </w:rPr>
        <w:t>Alexandreis</w:t>
      </w:r>
      <w:proofErr w:type="spellEnd"/>
      <w:r>
        <w:rPr>
          <w:rFonts w:cs="Times New Roman"/>
          <w:i/>
          <w:iCs/>
          <w:color w:val="222222"/>
          <w:szCs w:val="24"/>
          <w:shd w:val="clear" w:color="auto" w:fill="FFFFFF"/>
        </w:rPr>
        <w:t>.</w:t>
      </w:r>
      <w:r>
        <w:rPr>
          <w:rFonts w:cs="Times New Roman"/>
          <w:color w:val="222222"/>
          <w:szCs w:val="24"/>
          <w:shd w:val="clear" w:color="auto" w:fill="FFFFFF"/>
        </w:rPr>
        <w:t xml:space="preserve"> While the </w:t>
      </w:r>
      <w:proofErr w:type="spellStart"/>
      <w:r>
        <w:rPr>
          <w:rFonts w:cs="Times New Roman"/>
          <w:i/>
          <w:iCs/>
          <w:color w:val="222222"/>
          <w:szCs w:val="24"/>
          <w:shd w:val="clear" w:color="auto" w:fill="FFFFFF"/>
        </w:rPr>
        <w:t>Alexandreis</w:t>
      </w:r>
      <w:proofErr w:type="spellEnd"/>
      <w:r>
        <w:rPr>
          <w:rFonts w:cs="Times New Roman"/>
          <w:color w:val="222222"/>
          <w:szCs w:val="24"/>
          <w:shd w:val="clear" w:color="auto" w:fill="FFFFFF"/>
        </w:rPr>
        <w:t xml:space="preserve"> primarily draws from </w:t>
      </w:r>
      <w:proofErr w:type="spellStart"/>
      <w:r>
        <w:rPr>
          <w:rFonts w:cs="Times New Roman"/>
          <w:color w:val="222222"/>
          <w:szCs w:val="24"/>
          <w:shd w:val="clear" w:color="auto" w:fill="FFFFFF"/>
        </w:rPr>
        <w:t>Curtius</w:t>
      </w:r>
      <w:proofErr w:type="spellEnd"/>
      <w:r>
        <w:rPr>
          <w:rFonts w:cs="Times New Roman"/>
          <w:color w:val="222222"/>
          <w:szCs w:val="24"/>
          <w:shd w:val="clear" w:color="auto" w:fill="FFFFFF"/>
        </w:rPr>
        <w:t xml:space="preserve"> Rufus, it omits many episodes which were popular during his time, such as the taming of Bucephalus and his marriage with Roxane.</w:t>
      </w:r>
      <w:r>
        <w:rPr>
          <w:rStyle w:val="FootnoteReference"/>
          <w:rFonts w:cs="Times New Roman"/>
          <w:color w:val="222222"/>
          <w:szCs w:val="24"/>
          <w:shd w:val="clear" w:color="auto" w:fill="FFFFFF"/>
        </w:rPr>
        <w:footnoteReference w:id="24"/>
      </w:r>
      <w:r>
        <w:rPr>
          <w:rFonts w:cs="Times New Roman"/>
          <w:color w:val="222222"/>
          <w:szCs w:val="24"/>
          <w:shd w:val="clear" w:color="auto" w:fill="FFFFFF"/>
        </w:rPr>
        <w:t xml:space="preserve"> Alexander is also portrayed in a much more positive light in Walter’s work than in the Roman examples, only ever seeing him as a commander after his mentorship from Aristotle, although he is not represented with as much grandiosity as medieval heroes in </w:t>
      </w:r>
      <w:r>
        <w:rPr>
          <w:rFonts w:cs="Times New Roman"/>
          <w:i/>
          <w:iCs/>
          <w:color w:val="222222"/>
          <w:szCs w:val="24"/>
          <w:shd w:val="clear" w:color="auto" w:fill="FFFFFF"/>
        </w:rPr>
        <w:t xml:space="preserve">chanson de </w:t>
      </w:r>
      <w:proofErr w:type="spellStart"/>
      <w:r>
        <w:rPr>
          <w:rFonts w:cs="Times New Roman"/>
          <w:i/>
          <w:iCs/>
          <w:color w:val="222222"/>
          <w:szCs w:val="24"/>
          <w:shd w:val="clear" w:color="auto" w:fill="FFFFFF"/>
        </w:rPr>
        <w:t>geste</w:t>
      </w:r>
      <w:proofErr w:type="spellEnd"/>
      <w:r>
        <w:rPr>
          <w:rFonts w:cs="Times New Roman"/>
          <w:color w:val="222222"/>
          <w:szCs w:val="24"/>
          <w:shd w:val="clear" w:color="auto" w:fill="FFFFFF"/>
        </w:rPr>
        <w:t xml:space="preserve"> literature, for example.</w:t>
      </w:r>
      <w:r>
        <w:rPr>
          <w:rStyle w:val="FootnoteReference"/>
          <w:rFonts w:cs="Times New Roman"/>
          <w:color w:val="222222"/>
          <w:szCs w:val="24"/>
          <w:shd w:val="clear" w:color="auto" w:fill="FFFFFF"/>
        </w:rPr>
        <w:footnoteReference w:id="25"/>
      </w:r>
      <w:r>
        <w:rPr>
          <w:rFonts w:cs="Times New Roman"/>
          <w:color w:val="222222"/>
          <w:szCs w:val="24"/>
          <w:shd w:val="clear" w:color="auto" w:fill="FFFFFF"/>
        </w:rPr>
        <w:t xml:space="preserve"> One example of the improvement in his character is that he treats Darius’ captive wife</w:t>
      </w:r>
      <w:r w:rsidR="00625F73">
        <w:rPr>
          <w:rFonts w:cs="Times New Roman"/>
          <w:color w:val="222222"/>
          <w:szCs w:val="24"/>
          <w:shd w:val="clear" w:color="auto" w:fill="FFFFFF"/>
        </w:rPr>
        <w:t>, mother and children with courtesy, stating that he is not there to fight with women and children.</w:t>
      </w:r>
      <w:r w:rsidR="00625F73">
        <w:rPr>
          <w:rStyle w:val="FootnoteReference"/>
          <w:rFonts w:cs="Times New Roman"/>
          <w:color w:val="222222"/>
          <w:szCs w:val="24"/>
          <w:shd w:val="clear" w:color="auto" w:fill="FFFFFF"/>
        </w:rPr>
        <w:footnoteReference w:id="26"/>
      </w:r>
      <w:r w:rsidR="00625F73">
        <w:rPr>
          <w:rFonts w:cs="Times New Roman"/>
          <w:color w:val="222222"/>
          <w:szCs w:val="24"/>
          <w:shd w:val="clear" w:color="auto" w:fill="FFFFFF"/>
        </w:rPr>
        <w:t xml:space="preserve"> Walter also omits all but one reference to Alexander’s corruption by eastern influences (3.250-2).</w:t>
      </w:r>
      <w:r w:rsidR="00625F73">
        <w:rPr>
          <w:rStyle w:val="FootnoteReference"/>
          <w:rFonts w:cs="Times New Roman"/>
          <w:color w:val="222222"/>
          <w:szCs w:val="24"/>
          <w:shd w:val="clear" w:color="auto" w:fill="FFFFFF"/>
        </w:rPr>
        <w:footnoteReference w:id="27"/>
      </w:r>
      <w:r w:rsidR="00625F73">
        <w:rPr>
          <w:rFonts w:cs="Times New Roman"/>
          <w:color w:val="222222"/>
          <w:szCs w:val="24"/>
          <w:shd w:val="clear" w:color="auto" w:fill="FFFFFF"/>
        </w:rPr>
        <w:t xml:space="preserve"> An interesting addition absent from </w:t>
      </w:r>
      <w:proofErr w:type="spellStart"/>
      <w:r w:rsidR="00625F73">
        <w:rPr>
          <w:rFonts w:cs="Times New Roman"/>
          <w:color w:val="222222"/>
          <w:szCs w:val="24"/>
          <w:shd w:val="clear" w:color="auto" w:fill="FFFFFF"/>
        </w:rPr>
        <w:t>Curtius</w:t>
      </w:r>
      <w:proofErr w:type="spellEnd"/>
      <w:r w:rsidR="00625F73">
        <w:rPr>
          <w:rFonts w:cs="Times New Roman"/>
          <w:color w:val="222222"/>
          <w:szCs w:val="24"/>
          <w:shd w:val="clear" w:color="auto" w:fill="FFFFFF"/>
        </w:rPr>
        <w:t xml:space="preserve"> is the admiration of Alexander from Babylon at the start of book 6. With Babylon having biblical connotations of corruption, it is implied that it was specifically Babylon’s luxury that broke Alexander’s virtue.</w:t>
      </w:r>
      <w:r w:rsidR="00625F73">
        <w:rPr>
          <w:rStyle w:val="FootnoteReference"/>
          <w:rFonts w:cs="Times New Roman"/>
          <w:color w:val="222222"/>
          <w:szCs w:val="24"/>
          <w:shd w:val="clear" w:color="auto" w:fill="FFFFFF"/>
        </w:rPr>
        <w:footnoteReference w:id="28"/>
      </w:r>
      <w:r w:rsidR="00625F73">
        <w:rPr>
          <w:rFonts w:cs="Times New Roman"/>
          <w:color w:val="222222"/>
          <w:szCs w:val="24"/>
          <w:shd w:val="clear" w:color="auto" w:fill="FFFFFF"/>
        </w:rPr>
        <w:t xml:space="preserve"> Another difference is that Walter only discussed the deaths of </w:t>
      </w:r>
      <w:proofErr w:type="spellStart"/>
      <w:r w:rsidR="00625F73">
        <w:rPr>
          <w:rFonts w:cs="Times New Roman"/>
          <w:color w:val="222222"/>
          <w:szCs w:val="24"/>
          <w:shd w:val="clear" w:color="auto" w:fill="FFFFFF"/>
        </w:rPr>
        <w:t>Cleitus</w:t>
      </w:r>
      <w:proofErr w:type="spellEnd"/>
      <w:r w:rsidR="00625F73">
        <w:rPr>
          <w:rFonts w:cs="Times New Roman"/>
          <w:color w:val="222222"/>
          <w:szCs w:val="24"/>
          <w:shd w:val="clear" w:color="auto" w:fill="FFFFFF"/>
        </w:rPr>
        <w:t xml:space="preserve"> and Callisthenes in a few lines (9.3-8), rather than the in depth telling in </w:t>
      </w:r>
      <w:proofErr w:type="spellStart"/>
      <w:r w:rsidR="00625F73">
        <w:rPr>
          <w:rFonts w:cs="Times New Roman"/>
          <w:color w:val="222222"/>
          <w:szCs w:val="24"/>
          <w:shd w:val="clear" w:color="auto" w:fill="FFFFFF"/>
        </w:rPr>
        <w:t>Curtius</w:t>
      </w:r>
      <w:proofErr w:type="spellEnd"/>
      <w:r w:rsidR="00625F73">
        <w:rPr>
          <w:rFonts w:cs="Times New Roman"/>
          <w:color w:val="222222"/>
          <w:szCs w:val="24"/>
          <w:shd w:val="clear" w:color="auto" w:fill="FFFFFF"/>
        </w:rPr>
        <w:t xml:space="preserve">. According to </w:t>
      </w:r>
      <w:proofErr w:type="spellStart"/>
      <w:r w:rsidR="00625F73">
        <w:rPr>
          <w:rFonts w:cs="Times New Roman"/>
          <w:color w:val="222222"/>
          <w:szCs w:val="24"/>
          <w:shd w:val="clear" w:color="auto" w:fill="FFFFFF"/>
        </w:rPr>
        <w:t>Dionisotti</w:t>
      </w:r>
      <w:proofErr w:type="spellEnd"/>
      <w:r w:rsidR="00625F73">
        <w:rPr>
          <w:rFonts w:cs="Times New Roman"/>
          <w:color w:val="222222"/>
          <w:szCs w:val="24"/>
          <w:shd w:val="clear" w:color="auto" w:fill="FFFFFF"/>
        </w:rPr>
        <w:t>, it also draws a different moral,</w:t>
      </w:r>
      <w:r w:rsidR="00B34FF4">
        <w:rPr>
          <w:rFonts w:cs="Times New Roman"/>
          <w:color w:val="222222"/>
          <w:szCs w:val="24"/>
          <w:shd w:val="clear" w:color="auto" w:fill="FFFFFF"/>
        </w:rPr>
        <w:t xml:space="preserve"> that friendships of kings do not last,</w:t>
      </w:r>
      <w:r w:rsidR="00B34FF4">
        <w:rPr>
          <w:rStyle w:val="FootnoteReference"/>
          <w:rFonts w:cs="Times New Roman"/>
          <w:color w:val="222222"/>
          <w:szCs w:val="24"/>
          <w:shd w:val="clear" w:color="auto" w:fill="FFFFFF"/>
        </w:rPr>
        <w:footnoteReference w:id="29"/>
      </w:r>
      <w:r w:rsidR="00B34FF4">
        <w:rPr>
          <w:rFonts w:cs="Times New Roman"/>
          <w:color w:val="222222"/>
          <w:szCs w:val="24"/>
          <w:shd w:val="clear" w:color="auto" w:fill="FFFFFF"/>
        </w:rPr>
        <w:t xml:space="preserve"> although as discussed earlier, it is very possible to come to the same interpretation from </w:t>
      </w:r>
      <w:proofErr w:type="spellStart"/>
      <w:r w:rsidR="00B34FF4">
        <w:rPr>
          <w:rFonts w:cs="Times New Roman"/>
          <w:color w:val="222222"/>
          <w:szCs w:val="24"/>
          <w:shd w:val="clear" w:color="auto" w:fill="FFFFFF"/>
        </w:rPr>
        <w:t>Curtius</w:t>
      </w:r>
      <w:proofErr w:type="spellEnd"/>
      <w:r w:rsidR="00B34FF4">
        <w:rPr>
          <w:rFonts w:cs="Times New Roman"/>
          <w:color w:val="222222"/>
          <w:szCs w:val="24"/>
          <w:shd w:val="clear" w:color="auto" w:fill="FFFFFF"/>
        </w:rPr>
        <w:t>.</w:t>
      </w:r>
    </w:p>
    <w:p w14:paraId="250C2A26" w14:textId="18F7CF2D" w:rsidR="00B34FF4" w:rsidRDefault="00B34FF4" w:rsidP="00DD717B">
      <w:pPr>
        <w:spacing w:line="480" w:lineRule="auto"/>
        <w:rPr>
          <w:rFonts w:cs="Times New Roman"/>
          <w:color w:val="222222"/>
          <w:szCs w:val="24"/>
          <w:shd w:val="clear" w:color="auto" w:fill="FFFFFF"/>
        </w:rPr>
      </w:pPr>
      <w:r>
        <w:rPr>
          <w:rFonts w:cs="Times New Roman"/>
          <w:color w:val="222222"/>
          <w:szCs w:val="24"/>
          <w:shd w:val="clear" w:color="auto" w:fill="FFFFFF"/>
        </w:rPr>
        <w:lastRenderedPageBreak/>
        <w:t xml:space="preserve">There are a few reasons why Alexander could be presented in a more positive way in the </w:t>
      </w:r>
      <w:proofErr w:type="spellStart"/>
      <w:r>
        <w:rPr>
          <w:rFonts w:cs="Times New Roman"/>
          <w:i/>
          <w:iCs/>
          <w:color w:val="222222"/>
          <w:szCs w:val="24"/>
          <w:shd w:val="clear" w:color="auto" w:fill="FFFFFF"/>
        </w:rPr>
        <w:t>Alexandreis</w:t>
      </w:r>
      <w:proofErr w:type="spellEnd"/>
      <w:r>
        <w:rPr>
          <w:rFonts w:cs="Times New Roman"/>
          <w:color w:val="222222"/>
          <w:szCs w:val="24"/>
          <w:shd w:val="clear" w:color="auto" w:fill="FFFFFF"/>
        </w:rPr>
        <w:t>. The first reason is involved with the historiographical methods of the time, drawing from a concept of a universal, God-ordained history. One example of this is the depiction of the tombs of Darius and his wife (7.379-430 and 4.176-275, respectively). These tombs, commissioned to a Jewish artist named Apelles, represent the history of the world from creation up to the time of Alexander. This places Alexander’s victory into God’s divine plan for creation, an agent of God’s will.</w:t>
      </w:r>
      <w:r>
        <w:rPr>
          <w:rStyle w:val="FootnoteReference"/>
          <w:rFonts w:cs="Times New Roman"/>
          <w:color w:val="222222"/>
          <w:szCs w:val="24"/>
          <w:shd w:val="clear" w:color="auto" w:fill="FFFFFF"/>
        </w:rPr>
        <w:footnoteReference w:id="30"/>
      </w:r>
      <w:r>
        <w:rPr>
          <w:rFonts w:cs="Times New Roman"/>
          <w:color w:val="222222"/>
          <w:szCs w:val="24"/>
          <w:shd w:val="clear" w:color="auto" w:fill="FFFFFF"/>
        </w:rPr>
        <w:t xml:space="preserve"> </w:t>
      </w:r>
      <w:r w:rsidR="00F31202">
        <w:rPr>
          <w:rFonts w:cs="Times New Roman"/>
          <w:color w:val="222222"/>
          <w:szCs w:val="24"/>
          <w:shd w:val="clear" w:color="auto" w:fill="FFFFFF"/>
        </w:rPr>
        <w:t xml:space="preserve">This, combined with the idea of Babylon’s corruption, could be an expression of Augustine’s concept of “divine punishment”, as outlined in </w:t>
      </w:r>
      <w:r w:rsidR="00F31202">
        <w:rPr>
          <w:rFonts w:cs="Times New Roman"/>
          <w:i/>
          <w:iCs/>
          <w:color w:val="222222"/>
          <w:szCs w:val="24"/>
          <w:shd w:val="clear" w:color="auto" w:fill="FFFFFF"/>
        </w:rPr>
        <w:t>City of God</w:t>
      </w:r>
      <w:r w:rsidR="00F31202">
        <w:rPr>
          <w:rFonts w:cs="Times New Roman"/>
          <w:color w:val="222222"/>
          <w:szCs w:val="24"/>
          <w:shd w:val="clear" w:color="auto" w:fill="FFFFFF"/>
        </w:rPr>
        <w:t>.</w:t>
      </w:r>
      <w:r w:rsidR="00F31202">
        <w:rPr>
          <w:rStyle w:val="FootnoteReference"/>
          <w:rFonts w:cs="Times New Roman"/>
          <w:color w:val="222222"/>
          <w:szCs w:val="24"/>
          <w:shd w:val="clear" w:color="auto" w:fill="FFFFFF"/>
        </w:rPr>
        <w:footnoteReference w:id="31"/>
      </w:r>
      <w:r w:rsidR="00F31202">
        <w:rPr>
          <w:rFonts w:cs="Times New Roman"/>
          <w:color w:val="222222"/>
          <w:szCs w:val="24"/>
          <w:shd w:val="clear" w:color="auto" w:fill="FFFFFF"/>
        </w:rPr>
        <w:t xml:space="preserve"> In this work, Augustine describes how those who do not use material goods in a manner in which God intended will be punished by an agent of God’s will. In this case, Alexander was used by God to bring down the corrupt Persian leadership until he himself was eventually corrupted and punished by God in the same manner. </w:t>
      </w:r>
      <w:r w:rsidR="003E1B6E">
        <w:rPr>
          <w:rFonts w:cs="Times New Roman"/>
          <w:color w:val="222222"/>
          <w:szCs w:val="24"/>
          <w:shd w:val="clear" w:color="auto" w:fill="FFFFFF"/>
        </w:rPr>
        <w:t>This is perhaps intended to be interpreted as showing the pagan Alexander lacking the understanding of Christian faith to achieve the medieval idea of “true wisdom” through faith.</w:t>
      </w:r>
      <w:r w:rsidR="003E1B6E">
        <w:rPr>
          <w:rStyle w:val="FootnoteReference"/>
          <w:rFonts w:cs="Times New Roman"/>
          <w:color w:val="222222"/>
          <w:szCs w:val="24"/>
          <w:shd w:val="clear" w:color="auto" w:fill="FFFFFF"/>
        </w:rPr>
        <w:footnoteReference w:id="32"/>
      </w:r>
    </w:p>
    <w:p w14:paraId="4125F8B0" w14:textId="02A8FDF1" w:rsidR="00F31202" w:rsidRPr="004A1CF6" w:rsidRDefault="00F31202" w:rsidP="00DD717B">
      <w:pPr>
        <w:spacing w:line="480" w:lineRule="auto"/>
        <w:rPr>
          <w:rFonts w:cs="Times New Roman"/>
          <w:color w:val="222222"/>
          <w:szCs w:val="24"/>
          <w:shd w:val="clear" w:color="auto" w:fill="FFFFFF"/>
        </w:rPr>
      </w:pPr>
      <w:r>
        <w:rPr>
          <w:rFonts w:cs="Times New Roman"/>
          <w:color w:val="222222"/>
          <w:szCs w:val="24"/>
          <w:shd w:val="clear" w:color="auto" w:fill="FFFFFF"/>
        </w:rPr>
        <w:t>Perhaps the most explicit reference to contemporary issues of the sources discussed, is the section from 5.510-20</w:t>
      </w:r>
      <w:r w:rsidR="00B20359">
        <w:rPr>
          <w:rFonts w:cs="Times New Roman"/>
          <w:color w:val="222222"/>
          <w:szCs w:val="24"/>
          <w:shd w:val="clear" w:color="auto" w:fill="FFFFFF"/>
        </w:rPr>
        <w:t>, saying that if France had a king like Alexander, Christianity would</w:t>
      </w:r>
      <w:r w:rsidR="003E1B6E">
        <w:rPr>
          <w:rFonts w:cs="Times New Roman"/>
          <w:color w:val="222222"/>
          <w:szCs w:val="24"/>
          <w:shd w:val="clear" w:color="auto" w:fill="FFFFFF"/>
        </w:rPr>
        <w:t xml:space="preserve"> again be dominant in Parthia, Carthage and Spain. The references to these places are, of course, references to areas under Islamic influence at different compass points.</w:t>
      </w:r>
      <w:r w:rsidR="003E1B6E">
        <w:rPr>
          <w:rStyle w:val="FootnoteReference"/>
          <w:rFonts w:cs="Times New Roman"/>
          <w:color w:val="222222"/>
          <w:szCs w:val="24"/>
          <w:shd w:val="clear" w:color="auto" w:fill="FFFFFF"/>
        </w:rPr>
        <w:footnoteReference w:id="33"/>
      </w:r>
      <w:r w:rsidR="003E1B6E">
        <w:rPr>
          <w:rFonts w:cs="Times New Roman"/>
          <w:color w:val="222222"/>
          <w:szCs w:val="24"/>
          <w:shd w:val="clear" w:color="auto" w:fill="FFFFFF"/>
        </w:rPr>
        <w:t xml:space="preserve"> Taken with the context of the time period, the aftermath of the disastrous Second Crusade, this is a call for the new king of France to fight a crusade to retake the lands his father lost.</w:t>
      </w:r>
      <w:r w:rsidR="003E1B6E">
        <w:rPr>
          <w:rStyle w:val="FootnoteReference"/>
          <w:rFonts w:cs="Times New Roman"/>
          <w:color w:val="222222"/>
          <w:szCs w:val="24"/>
          <w:shd w:val="clear" w:color="auto" w:fill="FFFFFF"/>
        </w:rPr>
        <w:footnoteReference w:id="34"/>
      </w:r>
      <w:r w:rsidR="003E1B6E">
        <w:rPr>
          <w:rFonts w:cs="Times New Roman"/>
          <w:color w:val="222222"/>
          <w:szCs w:val="24"/>
          <w:shd w:val="clear" w:color="auto" w:fill="FFFFFF"/>
        </w:rPr>
        <w:t xml:space="preserve"> For this reason, Alex has been described as a “proto-crusader” by various scholars,</w:t>
      </w:r>
      <w:r w:rsidR="003E1B6E">
        <w:rPr>
          <w:rStyle w:val="FootnoteReference"/>
          <w:rFonts w:cs="Times New Roman"/>
          <w:color w:val="222222"/>
          <w:szCs w:val="24"/>
          <w:shd w:val="clear" w:color="auto" w:fill="FFFFFF"/>
        </w:rPr>
        <w:footnoteReference w:id="35"/>
      </w:r>
      <w:r w:rsidR="00DF2048">
        <w:rPr>
          <w:rFonts w:cs="Times New Roman"/>
          <w:color w:val="222222"/>
          <w:szCs w:val="24"/>
          <w:shd w:val="clear" w:color="auto" w:fill="FFFFFF"/>
        </w:rPr>
        <w:t xml:space="preserve"> with </w:t>
      </w:r>
      <w:r w:rsidR="00DF2048">
        <w:rPr>
          <w:rFonts w:cs="Times New Roman"/>
          <w:color w:val="222222"/>
          <w:szCs w:val="24"/>
          <w:shd w:val="clear" w:color="auto" w:fill="FFFFFF"/>
        </w:rPr>
        <w:lastRenderedPageBreak/>
        <w:t xml:space="preserve">Alexander’s victory over the corrupt east mirroring the campaigns by the </w:t>
      </w:r>
      <w:proofErr w:type="spellStart"/>
      <w:r w:rsidR="00DF2048">
        <w:rPr>
          <w:rFonts w:cs="Times New Roman"/>
          <w:i/>
          <w:iCs/>
          <w:color w:val="222222"/>
          <w:szCs w:val="24"/>
          <w:shd w:val="clear" w:color="auto" w:fill="FFFFFF"/>
        </w:rPr>
        <w:t>crusignati</w:t>
      </w:r>
      <w:proofErr w:type="spellEnd"/>
      <w:r w:rsidR="00DF2048">
        <w:rPr>
          <w:rFonts w:cs="Times New Roman"/>
          <w:i/>
          <w:iCs/>
          <w:color w:val="222222"/>
          <w:szCs w:val="24"/>
          <w:shd w:val="clear" w:color="auto" w:fill="FFFFFF"/>
        </w:rPr>
        <w:t xml:space="preserve"> </w:t>
      </w:r>
      <w:r w:rsidR="00DF2048">
        <w:rPr>
          <w:rFonts w:cs="Times New Roman"/>
          <w:color w:val="222222"/>
          <w:szCs w:val="24"/>
          <w:shd w:val="clear" w:color="auto" w:fill="FFFFFF"/>
        </w:rPr>
        <w:t xml:space="preserve">to the East to spread Christian rule to its geographical origin. </w:t>
      </w:r>
      <w:r w:rsidR="00322546">
        <w:rPr>
          <w:rFonts w:cs="Times New Roman"/>
          <w:color w:val="222222"/>
          <w:szCs w:val="24"/>
          <w:shd w:val="clear" w:color="auto" w:fill="FFFFFF"/>
        </w:rPr>
        <w:t>Therefore, if Alexander’s military example is followed by a leader who has the wisdom through faith mentioned earlier, he could become an “agent of God” himself, without succumbing to the same vices of Alexander and, by behaving as God intended, as described in Augustine, could spread Christian rule over the world without the risk of being divinely punished himself.</w:t>
      </w:r>
      <w:r w:rsidR="00BD58A3">
        <w:rPr>
          <w:rFonts w:cs="Times New Roman"/>
          <w:color w:val="222222"/>
          <w:szCs w:val="24"/>
          <w:shd w:val="clear" w:color="auto" w:fill="FFFFFF"/>
        </w:rPr>
        <w:t xml:space="preserve"> This is perhaps alluding to the idea that the Second Crusade failed due to the leaders succumbing to the vices of the east the same way as Alexander. This idea has been slightly disputed by Bridges, who says that</w:t>
      </w:r>
      <w:r w:rsidR="004A1CF6">
        <w:rPr>
          <w:rFonts w:cs="Times New Roman"/>
          <w:color w:val="222222"/>
          <w:szCs w:val="24"/>
          <w:shd w:val="clear" w:color="auto" w:fill="FFFFFF"/>
        </w:rPr>
        <w:t>, while it does reflect the realities of failed crusades, it also calls the idea of “Christian Imperialism” into question.</w:t>
      </w:r>
      <w:r w:rsidR="004A1CF6">
        <w:rPr>
          <w:rStyle w:val="FootnoteReference"/>
          <w:rFonts w:cs="Times New Roman"/>
          <w:color w:val="222222"/>
          <w:szCs w:val="24"/>
          <w:shd w:val="clear" w:color="auto" w:fill="FFFFFF"/>
        </w:rPr>
        <w:footnoteReference w:id="36"/>
      </w:r>
      <w:r w:rsidR="004A1CF6">
        <w:rPr>
          <w:rFonts w:cs="Times New Roman"/>
          <w:color w:val="222222"/>
          <w:szCs w:val="24"/>
          <w:shd w:val="clear" w:color="auto" w:fill="FFFFFF"/>
        </w:rPr>
        <w:t xml:space="preserve"> However, I think the speculation of Alex being the king of France is far too explicit to justify challenging the notion of it supporting the spread of Christian rule to the east through the French king. Overall, the </w:t>
      </w:r>
      <w:proofErr w:type="spellStart"/>
      <w:r w:rsidR="004A1CF6">
        <w:rPr>
          <w:rFonts w:cs="Times New Roman"/>
          <w:i/>
          <w:iCs/>
          <w:color w:val="222222"/>
          <w:szCs w:val="24"/>
          <w:shd w:val="clear" w:color="auto" w:fill="FFFFFF"/>
        </w:rPr>
        <w:t>Alexandreis</w:t>
      </w:r>
      <w:proofErr w:type="spellEnd"/>
      <w:r w:rsidR="004A1CF6">
        <w:rPr>
          <w:rFonts w:cs="Times New Roman"/>
          <w:i/>
          <w:iCs/>
          <w:color w:val="222222"/>
          <w:szCs w:val="24"/>
          <w:shd w:val="clear" w:color="auto" w:fill="FFFFFF"/>
        </w:rPr>
        <w:t xml:space="preserve"> </w:t>
      </w:r>
      <w:r w:rsidR="004A1CF6">
        <w:rPr>
          <w:rFonts w:cs="Times New Roman"/>
          <w:color w:val="222222"/>
          <w:szCs w:val="24"/>
          <w:shd w:val="clear" w:color="auto" w:fill="FFFFFF"/>
        </w:rPr>
        <w:t>uses the narrative of Alexander to show a positive role model for the king of France to follow, while also placing Alexander into the medieval Christian historiographical framework as an agent of God’s will, urging the spread of Christendom to the east by following Alexander’s military example, while avoiding falling into the same temptations.</w:t>
      </w:r>
    </w:p>
    <w:p w14:paraId="0140F70C" w14:textId="7C16BE47" w:rsidR="00BD58A3" w:rsidRDefault="004A1CF6" w:rsidP="00DD717B">
      <w:pPr>
        <w:spacing w:line="480" w:lineRule="auto"/>
        <w:rPr>
          <w:rFonts w:cs="Times New Roman"/>
          <w:color w:val="222222"/>
          <w:szCs w:val="24"/>
          <w:shd w:val="clear" w:color="auto" w:fill="FFFFFF"/>
        </w:rPr>
      </w:pPr>
      <w:r>
        <w:rPr>
          <w:rFonts w:cs="Times New Roman"/>
          <w:color w:val="222222"/>
          <w:szCs w:val="24"/>
          <w:shd w:val="clear" w:color="auto" w:fill="FFFFFF"/>
        </w:rPr>
        <w:t xml:space="preserve">All in all, Alexander has been used by Roman and medieval writers to show Alexander as an example of leadership that is to be both followed and avoided, depending on what aspects of his person are being discussed. It has also been used </w:t>
      </w:r>
      <w:proofErr w:type="gramStart"/>
      <w:r>
        <w:rPr>
          <w:rFonts w:cs="Times New Roman"/>
          <w:color w:val="222222"/>
          <w:szCs w:val="24"/>
          <w:shd w:val="clear" w:color="auto" w:fill="FFFFFF"/>
        </w:rPr>
        <w:t>as a way to</w:t>
      </w:r>
      <w:proofErr w:type="gramEnd"/>
      <w:r>
        <w:rPr>
          <w:rFonts w:cs="Times New Roman"/>
          <w:color w:val="222222"/>
          <w:szCs w:val="24"/>
          <w:shd w:val="clear" w:color="auto" w:fill="FFFFFF"/>
        </w:rPr>
        <w:t xml:space="preserve"> discuss contemporary political issues. In the Roman context, this would be the consolidation of the </w:t>
      </w:r>
      <w:proofErr w:type="spellStart"/>
      <w:r>
        <w:rPr>
          <w:rFonts w:cs="Times New Roman"/>
          <w:color w:val="222222"/>
          <w:szCs w:val="24"/>
          <w:shd w:val="clear" w:color="auto" w:fill="FFFFFF"/>
        </w:rPr>
        <w:t>Principate</w:t>
      </w:r>
      <w:proofErr w:type="spellEnd"/>
      <w:r>
        <w:rPr>
          <w:rFonts w:cs="Times New Roman"/>
          <w:color w:val="222222"/>
          <w:szCs w:val="24"/>
          <w:shd w:val="clear" w:color="auto" w:fill="FFFFFF"/>
        </w:rPr>
        <w:t xml:space="preserve"> and the challenges that come from it, such as the </w:t>
      </w:r>
      <w:r w:rsidR="00C91737">
        <w:rPr>
          <w:rFonts w:cs="Times New Roman"/>
          <w:color w:val="222222"/>
          <w:szCs w:val="24"/>
          <w:shd w:val="clear" w:color="auto" w:fill="FFFFFF"/>
        </w:rPr>
        <w:t xml:space="preserve">establishment of autocracy. In the medieval context, this would be the failure of the Second Crusade and the discussion of how to regain the lost territories </w:t>
      </w:r>
      <w:r w:rsidR="00DD717B">
        <w:rPr>
          <w:rFonts w:cs="Times New Roman"/>
          <w:color w:val="222222"/>
          <w:szCs w:val="24"/>
          <w:shd w:val="clear" w:color="auto" w:fill="FFFFFF"/>
        </w:rPr>
        <w:t>through</w:t>
      </w:r>
      <w:r w:rsidR="00C91737">
        <w:rPr>
          <w:rFonts w:cs="Times New Roman"/>
          <w:color w:val="222222"/>
          <w:szCs w:val="24"/>
          <w:shd w:val="clear" w:color="auto" w:fill="FFFFFF"/>
        </w:rPr>
        <w:t xml:space="preserve"> following Alexander’s </w:t>
      </w:r>
      <w:proofErr w:type="spellStart"/>
      <w:r w:rsidR="00C91737">
        <w:rPr>
          <w:rFonts w:cs="Times New Roman"/>
          <w:color w:val="222222"/>
          <w:szCs w:val="24"/>
          <w:shd w:val="clear" w:color="auto" w:fill="FFFFFF"/>
        </w:rPr>
        <w:t>example.</w:t>
      </w:r>
      <w:proofErr w:type="spellEnd"/>
      <w:r w:rsidR="00A35283">
        <w:rPr>
          <w:rFonts w:cs="Times New Roman"/>
          <w:color w:val="222222"/>
          <w:szCs w:val="24"/>
          <w:shd w:val="clear" w:color="auto" w:fill="FFFFFF"/>
        </w:rPr>
        <w:tab/>
      </w:r>
      <w:r w:rsidR="00A35283">
        <w:rPr>
          <w:rFonts w:cs="Times New Roman"/>
          <w:color w:val="222222"/>
          <w:szCs w:val="24"/>
          <w:shd w:val="clear" w:color="auto" w:fill="FFFFFF"/>
        </w:rPr>
        <w:tab/>
      </w:r>
      <w:r w:rsidR="00C91737">
        <w:rPr>
          <w:rFonts w:cs="Times New Roman"/>
          <w:b/>
          <w:bCs/>
          <w:color w:val="222222"/>
          <w:szCs w:val="24"/>
          <w:shd w:val="clear" w:color="auto" w:fill="FFFFFF"/>
        </w:rPr>
        <w:t>Word Count: 2273</w:t>
      </w:r>
      <w:r w:rsidR="00BD58A3">
        <w:rPr>
          <w:rFonts w:cs="Times New Roman"/>
          <w:color w:val="222222"/>
          <w:szCs w:val="24"/>
          <w:shd w:val="clear" w:color="auto" w:fill="FFFFFF"/>
        </w:rPr>
        <w:br w:type="page"/>
      </w:r>
    </w:p>
    <w:sdt>
      <w:sdtPr>
        <w:id w:val="-952712283"/>
        <w:docPartObj>
          <w:docPartGallery w:val="Bibliographies"/>
          <w:docPartUnique/>
        </w:docPartObj>
      </w:sdtPr>
      <w:sdtEndPr>
        <w:rPr>
          <w:rFonts w:ascii="Times New Roman" w:eastAsiaTheme="minorHAnsi" w:hAnsi="Times New Roman" w:cstheme="minorBidi"/>
          <w:color w:val="auto"/>
          <w:sz w:val="24"/>
          <w:szCs w:val="22"/>
          <w:lang w:val="en-GB"/>
        </w:rPr>
      </w:sdtEndPr>
      <w:sdtContent>
        <w:p w14:paraId="5E99D39E" w14:textId="008F863C" w:rsidR="00112817" w:rsidRPr="00112817" w:rsidRDefault="00112817" w:rsidP="00DD717B">
          <w:pPr>
            <w:pStyle w:val="Heading1"/>
            <w:spacing w:line="480" w:lineRule="auto"/>
          </w:pPr>
          <w:r>
            <w:t>Primary Sources</w:t>
          </w:r>
        </w:p>
        <w:p w14:paraId="74090705" w14:textId="22FC0E0D" w:rsidR="0021561B" w:rsidRDefault="0021561B" w:rsidP="00DD717B">
          <w:pPr>
            <w:spacing w:line="480" w:lineRule="auto"/>
          </w:pPr>
          <w:proofErr w:type="spellStart"/>
          <w:r>
            <w:t>Arrian</w:t>
          </w:r>
          <w:proofErr w:type="spellEnd"/>
          <w:r>
            <w:t xml:space="preserve">. </w:t>
          </w:r>
          <w:r>
            <w:rPr>
              <w:i/>
            </w:rPr>
            <w:t xml:space="preserve">The Campaigns of Alexander. </w:t>
          </w:r>
          <w:r>
            <w:t xml:space="preserve">Aubrey De </w:t>
          </w:r>
          <w:proofErr w:type="spellStart"/>
          <w:r>
            <w:t>Selincourt</w:t>
          </w:r>
          <w:proofErr w:type="spellEnd"/>
          <w:r>
            <w:t xml:space="preserve"> (trans.). 1971. London: Penguin.</w:t>
          </w:r>
        </w:p>
        <w:p w14:paraId="3AB3DBF8" w14:textId="59B27A7B" w:rsidR="0021561B" w:rsidRPr="0021561B" w:rsidRDefault="0021561B" w:rsidP="00DD717B">
          <w:pPr>
            <w:spacing w:line="480" w:lineRule="auto"/>
          </w:pPr>
          <w:r>
            <w:t xml:space="preserve">Augustine. </w:t>
          </w:r>
          <w:r>
            <w:rPr>
              <w:i/>
              <w:iCs/>
            </w:rPr>
            <w:t xml:space="preserve">City of God. </w:t>
          </w:r>
          <w:r>
            <w:t xml:space="preserve">Henry </w:t>
          </w:r>
          <w:proofErr w:type="spellStart"/>
          <w:r>
            <w:t>Bettenson</w:t>
          </w:r>
          <w:proofErr w:type="spellEnd"/>
          <w:r>
            <w:t xml:space="preserve"> (trans.). 1972. London: Penguin.</w:t>
          </w:r>
        </w:p>
        <w:p w14:paraId="2A40D891" w14:textId="5FE65948" w:rsidR="0021561B" w:rsidRPr="0021561B" w:rsidRDefault="0021561B" w:rsidP="00DD717B">
          <w:pPr>
            <w:spacing w:line="480" w:lineRule="auto"/>
          </w:pPr>
          <w:r w:rsidRPr="0021561B">
            <w:t xml:space="preserve">Bonaventure. </w:t>
          </w:r>
          <w:r w:rsidRPr="0021561B">
            <w:rPr>
              <w:i/>
              <w:iCs/>
            </w:rPr>
            <w:t xml:space="preserve">Collations on the </w:t>
          </w:r>
          <w:proofErr w:type="spellStart"/>
          <w:r w:rsidRPr="0021561B">
            <w:rPr>
              <w:i/>
              <w:iCs/>
            </w:rPr>
            <w:t>Hexaemeron</w:t>
          </w:r>
          <w:proofErr w:type="spellEnd"/>
          <w:r w:rsidRPr="0021561B">
            <w:rPr>
              <w:i/>
              <w:iCs/>
            </w:rPr>
            <w:t xml:space="preserve">. </w:t>
          </w:r>
          <w:r w:rsidRPr="0021561B">
            <w:t>J. M. Hammond</w:t>
          </w:r>
          <w:r>
            <w:t xml:space="preserve"> (trans.). </w:t>
          </w:r>
          <w:r w:rsidRPr="0021561B">
            <w:t>2018</w:t>
          </w:r>
          <w:r>
            <w:t>.</w:t>
          </w:r>
          <w:r w:rsidRPr="0021561B">
            <w:rPr>
              <w:i/>
              <w:iCs/>
            </w:rPr>
            <w:t xml:space="preserve"> </w:t>
          </w:r>
          <w:r w:rsidRPr="0021561B">
            <w:t>New York: Franciscan Institute Publications.</w:t>
          </w:r>
        </w:p>
        <w:p w14:paraId="4267E51A" w14:textId="2F11A444" w:rsidR="0021561B" w:rsidRDefault="0021561B" w:rsidP="00DD717B">
          <w:pPr>
            <w:spacing w:line="480" w:lineRule="auto"/>
            <w:rPr>
              <w:rFonts w:cs="Times New Roman"/>
              <w:color w:val="000000"/>
            </w:rPr>
          </w:pPr>
          <w:proofErr w:type="spellStart"/>
          <w:r>
            <w:rPr>
              <w:rFonts w:cs="Times New Roman"/>
              <w:color w:val="000000"/>
            </w:rPr>
            <w:t>Diodorus</w:t>
          </w:r>
          <w:proofErr w:type="spellEnd"/>
          <w:r>
            <w:rPr>
              <w:rFonts w:cs="Times New Roman"/>
              <w:color w:val="000000"/>
            </w:rPr>
            <w:t xml:space="preserve"> Siculus. </w:t>
          </w:r>
          <w:proofErr w:type="spellStart"/>
          <w:r>
            <w:rPr>
              <w:rFonts w:cs="Times New Roman"/>
              <w:i/>
              <w:color w:val="000000"/>
            </w:rPr>
            <w:t>Diodorus</w:t>
          </w:r>
          <w:proofErr w:type="spellEnd"/>
          <w:r>
            <w:rPr>
              <w:rFonts w:cs="Times New Roman"/>
              <w:i/>
              <w:color w:val="000000"/>
            </w:rPr>
            <w:t xml:space="preserve"> of Sicily in Twelve Volumes</w:t>
          </w:r>
          <w:r>
            <w:rPr>
              <w:rFonts w:cs="Times New Roman"/>
              <w:color w:val="000000"/>
            </w:rPr>
            <w:t xml:space="preserve">. C.H. </w:t>
          </w:r>
          <w:proofErr w:type="spellStart"/>
          <w:r>
            <w:rPr>
              <w:rFonts w:cs="Times New Roman"/>
              <w:color w:val="000000"/>
            </w:rPr>
            <w:t>Oldfather</w:t>
          </w:r>
          <w:proofErr w:type="spellEnd"/>
          <w:r>
            <w:rPr>
              <w:rFonts w:cs="Times New Roman"/>
              <w:color w:val="000000"/>
            </w:rPr>
            <w:t xml:space="preserve"> (trans.). 1989. Cambridge, MA: Harvard University Press; London: William Heinemann.</w:t>
          </w:r>
        </w:p>
        <w:p w14:paraId="52D7878A" w14:textId="1A0D53F0" w:rsidR="0021561B" w:rsidRPr="0021561B" w:rsidRDefault="0021561B" w:rsidP="00DD717B">
          <w:pPr>
            <w:spacing w:line="480" w:lineRule="auto"/>
            <w:rPr>
              <w:rFonts w:cs="Times New Roman"/>
              <w:color w:val="000000"/>
            </w:rPr>
          </w:pPr>
          <w:r>
            <w:rPr>
              <w:rFonts w:cs="Times New Roman"/>
              <w:color w:val="000000"/>
            </w:rPr>
            <w:t xml:space="preserve">Lucan. </w:t>
          </w:r>
          <w:r>
            <w:rPr>
              <w:rFonts w:cs="Times New Roman"/>
              <w:i/>
              <w:iCs/>
              <w:color w:val="000000"/>
            </w:rPr>
            <w:t xml:space="preserve">The Civil War. </w:t>
          </w:r>
          <w:r>
            <w:rPr>
              <w:rFonts w:cs="Times New Roman"/>
              <w:color w:val="000000"/>
            </w:rPr>
            <w:t>J. D. Duff (trans.). 1928 Cambridge, MA; London: Harvard University Press</w:t>
          </w:r>
        </w:p>
        <w:p w14:paraId="26CCE6C5" w14:textId="77777777" w:rsidR="0021561B" w:rsidRPr="008E29C6" w:rsidRDefault="0021561B" w:rsidP="00DD717B">
          <w:pPr>
            <w:spacing w:line="480" w:lineRule="auto"/>
            <w:rPr>
              <w:rFonts w:cs="Times New Roman"/>
              <w:color w:val="000000"/>
            </w:rPr>
          </w:pPr>
          <w:r>
            <w:rPr>
              <w:rFonts w:cs="Times New Roman"/>
              <w:color w:val="000000"/>
            </w:rPr>
            <w:t xml:space="preserve">Plutarch. </w:t>
          </w:r>
          <w:r>
            <w:rPr>
              <w:rFonts w:cs="Times New Roman"/>
              <w:i/>
              <w:color w:val="000000"/>
            </w:rPr>
            <w:t>The Age of Alexander.</w:t>
          </w:r>
          <w:r>
            <w:rPr>
              <w:rFonts w:cs="Times New Roman"/>
              <w:color w:val="000000"/>
            </w:rPr>
            <w:t xml:space="preserve"> Ian Scott-</w:t>
          </w:r>
          <w:proofErr w:type="spellStart"/>
          <w:r>
            <w:rPr>
              <w:rFonts w:cs="Times New Roman"/>
              <w:color w:val="000000"/>
            </w:rPr>
            <w:t>Kilvert</w:t>
          </w:r>
          <w:proofErr w:type="spellEnd"/>
          <w:r>
            <w:rPr>
              <w:rFonts w:cs="Times New Roman"/>
              <w:color w:val="000000"/>
            </w:rPr>
            <w:t xml:space="preserve"> (trans.). 1973. London: Penguin.</w:t>
          </w:r>
        </w:p>
        <w:p w14:paraId="1DBDE29E" w14:textId="77777777" w:rsidR="0021561B" w:rsidRDefault="0021561B" w:rsidP="00DD717B">
          <w:pPr>
            <w:spacing w:line="480" w:lineRule="auto"/>
            <w:rPr>
              <w:rFonts w:cs="Times New Roman"/>
              <w:color w:val="000000"/>
            </w:rPr>
          </w:pPr>
          <w:r>
            <w:rPr>
              <w:rFonts w:cs="Times New Roman"/>
              <w:color w:val="000000"/>
            </w:rPr>
            <w:t xml:space="preserve">Quintus </w:t>
          </w:r>
          <w:proofErr w:type="spellStart"/>
          <w:r>
            <w:rPr>
              <w:rFonts w:cs="Times New Roman"/>
              <w:color w:val="000000"/>
            </w:rPr>
            <w:t>Curtius</w:t>
          </w:r>
          <w:proofErr w:type="spellEnd"/>
          <w:r>
            <w:rPr>
              <w:rFonts w:cs="Times New Roman"/>
              <w:color w:val="000000"/>
            </w:rPr>
            <w:t xml:space="preserve"> Rufus. </w:t>
          </w:r>
          <w:r>
            <w:rPr>
              <w:rFonts w:cs="Times New Roman"/>
              <w:i/>
              <w:color w:val="000000"/>
            </w:rPr>
            <w:t xml:space="preserve">The History of Alexander. </w:t>
          </w:r>
          <w:r>
            <w:rPr>
              <w:rFonts w:cs="Times New Roman"/>
              <w:color w:val="000000"/>
            </w:rPr>
            <w:t>John Yardley (trans.). 2004. London: Penguin.</w:t>
          </w:r>
        </w:p>
        <w:p w14:paraId="6F1F1927" w14:textId="5CBF36D3" w:rsidR="00C91737" w:rsidRDefault="00ED6141" w:rsidP="00DD717B">
          <w:pPr>
            <w:pStyle w:val="Bibliography"/>
            <w:spacing w:line="480" w:lineRule="auto"/>
          </w:pPr>
          <w:r>
            <w:t xml:space="preserve">Walter of Chatillon. </w:t>
          </w:r>
          <w:r>
            <w:rPr>
              <w:i/>
              <w:iCs/>
            </w:rPr>
            <w:t xml:space="preserve">The </w:t>
          </w:r>
          <w:proofErr w:type="spellStart"/>
          <w:r>
            <w:rPr>
              <w:i/>
              <w:iCs/>
            </w:rPr>
            <w:t>Alexandreis</w:t>
          </w:r>
          <w:proofErr w:type="spellEnd"/>
          <w:r>
            <w:rPr>
              <w:i/>
              <w:iCs/>
            </w:rPr>
            <w:t xml:space="preserve">. </w:t>
          </w:r>
          <w:r w:rsidR="00CD0853">
            <w:t>David Townsend (trans.). 1996. Philadelphia, PA: University of Pennsylvania Press.</w:t>
          </w:r>
        </w:p>
      </w:sdtContent>
    </w:sdt>
    <w:p w14:paraId="3B043BAE" w14:textId="77777777" w:rsidR="00F31202" w:rsidRDefault="00F31202" w:rsidP="00DD717B">
      <w:pPr>
        <w:spacing w:line="480" w:lineRule="auto"/>
        <w:rPr>
          <w:rFonts w:cs="Times New Roman"/>
          <w:color w:val="222222"/>
          <w:szCs w:val="24"/>
          <w:shd w:val="clear" w:color="auto" w:fill="FFFFFF"/>
        </w:rPr>
      </w:pPr>
    </w:p>
    <w:sdt>
      <w:sdtPr>
        <w:id w:val="-1423561865"/>
        <w:docPartObj>
          <w:docPartGallery w:val="Bibliographies"/>
          <w:docPartUnique/>
        </w:docPartObj>
      </w:sdtPr>
      <w:sdtEndPr>
        <w:rPr>
          <w:rFonts w:ascii="Times New Roman" w:eastAsiaTheme="minorHAnsi" w:hAnsi="Times New Roman" w:cstheme="minorBidi"/>
          <w:color w:val="auto"/>
          <w:sz w:val="24"/>
          <w:szCs w:val="22"/>
          <w:lang w:val="en-GB"/>
        </w:rPr>
      </w:sdtEndPr>
      <w:sdtContent>
        <w:p w14:paraId="0092404B" w14:textId="52A82BBD" w:rsidR="00B34FF4" w:rsidRDefault="00C91737" w:rsidP="00DD717B">
          <w:pPr>
            <w:pStyle w:val="Heading1"/>
            <w:spacing w:line="480" w:lineRule="auto"/>
          </w:pPr>
          <w:r>
            <w:t>Modern Scholarship</w:t>
          </w:r>
        </w:p>
        <w:sdt>
          <w:sdtPr>
            <w:id w:val="111145805"/>
            <w:bibliography/>
          </w:sdtPr>
          <w:sdtContent>
            <w:p w14:paraId="40441B91" w14:textId="77777777" w:rsidR="00BD58A3" w:rsidRDefault="00BD58A3" w:rsidP="00DD717B">
              <w:pPr>
                <w:pStyle w:val="Bibliography"/>
                <w:spacing w:line="480" w:lineRule="auto"/>
                <w:rPr>
                  <w:noProof/>
                  <w:szCs w:val="24"/>
                  <w:lang w:val="en-US"/>
                </w:rPr>
              </w:pPr>
              <w:r>
                <w:rPr>
                  <w:i/>
                  <w:iCs/>
                </w:rPr>
                <w:t xml:space="preserve"> </w:t>
              </w:r>
              <w:r w:rsidR="00B34FF4">
                <w:fldChar w:fldCharType="begin"/>
              </w:r>
              <w:r w:rsidR="00B34FF4">
                <w:instrText xml:space="preserve"> BIBLIOGRAPHY </w:instrText>
              </w:r>
              <w:r w:rsidR="00B34FF4">
                <w:fldChar w:fldCharType="separate"/>
              </w:r>
              <w:r>
                <w:rPr>
                  <w:noProof/>
                  <w:lang w:val="en-US"/>
                </w:rPr>
                <w:t xml:space="preserve">Bridges, V., 2015. Reading Walter of Chatillon's Alexandreis in Medieval Anthologies. </w:t>
              </w:r>
              <w:r>
                <w:rPr>
                  <w:i/>
                  <w:iCs/>
                  <w:noProof/>
                  <w:lang w:val="en-US"/>
                </w:rPr>
                <w:t xml:space="preserve">Mediaeval Studies, </w:t>
              </w:r>
              <w:r>
                <w:rPr>
                  <w:noProof/>
                  <w:lang w:val="en-US"/>
                </w:rPr>
                <w:t>Volume 77, pp. 1-21.</w:t>
              </w:r>
            </w:p>
            <w:p w14:paraId="0FE2670A" w14:textId="77777777" w:rsidR="00BD58A3" w:rsidRDefault="00BD58A3" w:rsidP="00DD717B">
              <w:pPr>
                <w:pStyle w:val="Bibliography"/>
                <w:spacing w:line="480" w:lineRule="auto"/>
                <w:rPr>
                  <w:noProof/>
                  <w:lang w:val="en-US"/>
                </w:rPr>
              </w:pPr>
              <w:r>
                <w:rPr>
                  <w:noProof/>
                  <w:lang w:val="en-US"/>
                </w:rPr>
                <w:t xml:space="preserve">Bridges, V., n.d. </w:t>
              </w:r>
              <w:r>
                <w:rPr>
                  <w:i/>
                  <w:iCs/>
                  <w:noProof/>
                  <w:lang w:val="en-US"/>
                </w:rPr>
                <w:t xml:space="preserve">'Gloria fallax imperii': Epic and Empire in Northern France in the Later Twelfth Century. </w:t>
              </w:r>
              <w:r>
                <w:rPr>
                  <w:noProof/>
                  <w:lang w:val="en-US"/>
                </w:rPr>
                <w:t xml:space="preserve">[Online] </w:t>
              </w:r>
              <w:r>
                <w:rPr>
                  <w:noProof/>
                  <w:lang w:val="en-US"/>
                </w:rPr>
                <w:br/>
                <w:t xml:space="preserve">Available at: </w:t>
              </w:r>
              <w:r>
                <w:rPr>
                  <w:noProof/>
                  <w:u w:val="single"/>
                  <w:lang w:val="en-US"/>
                </w:rPr>
                <w:lastRenderedPageBreak/>
                <w:t>https://www.academia.edu/7839823/Gloria_fallax_imperii_Epic_and_Empire_in_northern_France_in_the_Later_Twelfth_Century</w:t>
              </w:r>
              <w:r>
                <w:rPr>
                  <w:noProof/>
                  <w:lang w:val="en-US"/>
                </w:rPr>
                <w:br/>
                <w:t>[Accessed 31 January 2020].</w:t>
              </w:r>
            </w:p>
            <w:p w14:paraId="7B97AA8B" w14:textId="77777777" w:rsidR="00BD58A3" w:rsidRDefault="00BD58A3" w:rsidP="00DD717B">
              <w:pPr>
                <w:pStyle w:val="Bibliography"/>
                <w:spacing w:line="480" w:lineRule="auto"/>
                <w:rPr>
                  <w:noProof/>
                  <w:lang w:val="en-US"/>
                </w:rPr>
              </w:pPr>
              <w:r>
                <w:rPr>
                  <w:noProof/>
                  <w:lang w:val="en-US"/>
                </w:rPr>
                <w:t xml:space="preserve">Celotto, G., 2018. Alexander the Great in Seneca's Works and in Lucan's Bellum Civile. In: K. R. Moore, ed. </w:t>
              </w:r>
              <w:r>
                <w:rPr>
                  <w:i/>
                  <w:iCs/>
                  <w:noProof/>
                  <w:lang w:val="en-US"/>
                </w:rPr>
                <w:t xml:space="preserve">Brill's Companion to the Reception of Alexander the Great. </w:t>
              </w:r>
              <w:r>
                <w:rPr>
                  <w:noProof/>
                  <w:lang w:val="en-US"/>
                </w:rPr>
                <w:t>Leiden; Boston: Brill, pp. 325-354.</w:t>
              </w:r>
            </w:p>
            <w:p w14:paraId="04769461" w14:textId="77777777" w:rsidR="00BD58A3" w:rsidRDefault="00BD58A3" w:rsidP="00DD717B">
              <w:pPr>
                <w:pStyle w:val="Bibliography"/>
                <w:spacing w:line="480" w:lineRule="auto"/>
                <w:rPr>
                  <w:noProof/>
                  <w:lang w:val="en-US"/>
                </w:rPr>
              </w:pPr>
              <w:r>
                <w:rPr>
                  <w:noProof/>
                  <w:lang w:val="en-US"/>
                </w:rPr>
                <w:t xml:space="preserve">Champlin, E., 2003. </w:t>
              </w:r>
              <w:r>
                <w:rPr>
                  <w:i/>
                  <w:iCs/>
                  <w:noProof/>
                  <w:lang w:val="en-US"/>
                </w:rPr>
                <w:t xml:space="preserve">Nero. </w:t>
              </w:r>
              <w:r>
                <w:rPr>
                  <w:noProof/>
                  <w:lang w:val="en-US"/>
                </w:rPr>
                <w:t>Cambridge, MA: Harvard University Press.</w:t>
              </w:r>
            </w:p>
            <w:p w14:paraId="542706B5" w14:textId="77777777" w:rsidR="00BD58A3" w:rsidRDefault="00BD58A3" w:rsidP="00DD717B">
              <w:pPr>
                <w:pStyle w:val="Bibliography"/>
                <w:spacing w:line="480" w:lineRule="auto"/>
                <w:rPr>
                  <w:noProof/>
                  <w:lang w:val="en-US"/>
                </w:rPr>
              </w:pPr>
              <w:r>
                <w:rPr>
                  <w:noProof/>
                  <w:lang w:val="en-US"/>
                </w:rPr>
                <w:t xml:space="preserve">Dionisotti, A. C., 1990. Walter of Chatillon and the Greeks. In: O. Murray &amp; P. Goodman, eds. </w:t>
              </w:r>
              <w:r>
                <w:rPr>
                  <w:i/>
                  <w:iCs/>
                  <w:noProof/>
                  <w:lang w:val="en-US"/>
                </w:rPr>
                <w:t xml:space="preserve">Latin Poetry and the Classical Tradition. </w:t>
              </w:r>
              <w:r>
                <w:rPr>
                  <w:noProof/>
                  <w:lang w:val="en-US"/>
                </w:rPr>
                <w:t>Oxford: Clarendon Press, pp. 73-96.</w:t>
              </w:r>
            </w:p>
            <w:p w14:paraId="783933CE" w14:textId="77777777" w:rsidR="00BD58A3" w:rsidRDefault="00BD58A3" w:rsidP="00DD717B">
              <w:pPr>
                <w:pStyle w:val="Bibliography"/>
                <w:spacing w:line="480" w:lineRule="auto"/>
                <w:rPr>
                  <w:noProof/>
                  <w:lang w:val="en-US"/>
                </w:rPr>
              </w:pPr>
              <w:r>
                <w:rPr>
                  <w:noProof/>
                  <w:lang w:val="en-US"/>
                </w:rPr>
                <w:t xml:space="preserve">Erickson, K., 2018. Sons of Heracles: Antony and Alexander in the Late Republic. In: K. R. Moore, ed. </w:t>
              </w:r>
              <w:r>
                <w:rPr>
                  <w:i/>
                  <w:iCs/>
                  <w:noProof/>
                  <w:lang w:val="en-US"/>
                </w:rPr>
                <w:t xml:space="preserve">Brill's Companion to the Reception of Alexander the Great. </w:t>
              </w:r>
              <w:r>
                <w:rPr>
                  <w:noProof/>
                  <w:lang w:val="en-US"/>
                </w:rPr>
                <w:t>Leiden; Boston: Brill, pp. 254-274.</w:t>
              </w:r>
            </w:p>
            <w:p w14:paraId="45854ECF" w14:textId="77777777" w:rsidR="00BD58A3" w:rsidRDefault="00BD58A3" w:rsidP="00DD717B">
              <w:pPr>
                <w:pStyle w:val="Bibliography"/>
                <w:spacing w:line="480" w:lineRule="auto"/>
                <w:rPr>
                  <w:noProof/>
                  <w:lang w:val="en-US"/>
                </w:rPr>
              </w:pPr>
              <w:r>
                <w:rPr>
                  <w:noProof/>
                  <w:lang w:val="en-US"/>
                </w:rPr>
                <w:t xml:space="preserve">Garstad, B., 2015. Rome in the "Alexander Romance". </w:t>
              </w:r>
              <w:r>
                <w:rPr>
                  <w:i/>
                  <w:iCs/>
                  <w:noProof/>
                  <w:lang w:val="en-US"/>
                </w:rPr>
                <w:t xml:space="preserve">Harvard Studies in Classical Philology, </w:t>
              </w:r>
              <w:r>
                <w:rPr>
                  <w:noProof/>
                  <w:lang w:val="en-US"/>
                </w:rPr>
                <w:t>Volume 108, pp. 467-507.</w:t>
              </w:r>
            </w:p>
            <w:p w14:paraId="262D4779" w14:textId="77777777" w:rsidR="00BD58A3" w:rsidRDefault="00BD58A3" w:rsidP="00DD717B">
              <w:pPr>
                <w:pStyle w:val="Bibliography"/>
                <w:spacing w:line="480" w:lineRule="auto"/>
                <w:rPr>
                  <w:noProof/>
                  <w:lang w:val="en-US"/>
                </w:rPr>
              </w:pPr>
              <w:r>
                <w:rPr>
                  <w:noProof/>
                  <w:lang w:val="en-US"/>
                </w:rPr>
                <w:t xml:space="preserve">Gowing, A., 2005. </w:t>
              </w:r>
              <w:r>
                <w:rPr>
                  <w:i/>
                  <w:iCs/>
                  <w:noProof/>
                  <w:lang w:val="en-US"/>
                </w:rPr>
                <w:t xml:space="preserve">Empire and Memory: The Representation of the Roman Republic in Imperial Culture. </w:t>
              </w:r>
              <w:r>
                <w:rPr>
                  <w:noProof/>
                  <w:lang w:val="en-US"/>
                </w:rPr>
                <w:t>Cambridge: Cambridge University Press.</w:t>
              </w:r>
            </w:p>
            <w:p w14:paraId="321BB27E" w14:textId="77777777" w:rsidR="00BD58A3" w:rsidRDefault="00BD58A3" w:rsidP="00DD717B">
              <w:pPr>
                <w:pStyle w:val="Bibliography"/>
                <w:spacing w:line="480" w:lineRule="auto"/>
                <w:rPr>
                  <w:noProof/>
                  <w:lang w:val="en-US"/>
                </w:rPr>
              </w:pPr>
              <w:r>
                <w:rPr>
                  <w:noProof/>
                  <w:lang w:val="en-US"/>
                </w:rPr>
                <w:t xml:space="preserve">Lafferty, M., 2011. Walter of Chatillon's Alexandreis. In: D. Zuwiyya, ed. </w:t>
              </w:r>
              <w:r>
                <w:rPr>
                  <w:i/>
                  <w:iCs/>
                  <w:noProof/>
                  <w:lang w:val="en-US"/>
                </w:rPr>
                <w:t xml:space="preserve">A Companion to Alexander Literature in the Middle Ages. </w:t>
              </w:r>
              <w:r>
                <w:rPr>
                  <w:noProof/>
                  <w:lang w:val="en-US"/>
                </w:rPr>
                <w:t>Leiden; Boston: Brill, pp. 177-200.</w:t>
              </w:r>
            </w:p>
            <w:p w14:paraId="6B9B54D4" w14:textId="77777777" w:rsidR="00BD58A3" w:rsidRDefault="00BD58A3" w:rsidP="00DD717B">
              <w:pPr>
                <w:pStyle w:val="Bibliography"/>
                <w:spacing w:line="480" w:lineRule="auto"/>
                <w:rPr>
                  <w:noProof/>
                  <w:lang w:val="en-US"/>
                </w:rPr>
              </w:pPr>
              <w:r>
                <w:rPr>
                  <w:noProof/>
                  <w:lang w:val="en-US"/>
                </w:rPr>
                <w:t xml:space="preserve">Lafferty, M., 2011. Walter of Chatillon's Alexandreis. In: D. Zuwiyya, ed. </w:t>
              </w:r>
              <w:r>
                <w:rPr>
                  <w:i/>
                  <w:iCs/>
                  <w:noProof/>
                  <w:lang w:val="en-US"/>
                </w:rPr>
                <w:t xml:space="preserve">A Companion to Alexander Literature in the Middle Ages. </w:t>
              </w:r>
              <w:r>
                <w:rPr>
                  <w:noProof/>
                  <w:lang w:val="en-US"/>
                </w:rPr>
                <w:t>Leiden; Boston: Brill, pp. 177-200.</w:t>
              </w:r>
            </w:p>
            <w:p w14:paraId="411226AD" w14:textId="77777777" w:rsidR="00BD58A3" w:rsidRDefault="00BD58A3" w:rsidP="00DD717B">
              <w:pPr>
                <w:pStyle w:val="Bibliography"/>
                <w:spacing w:line="480" w:lineRule="auto"/>
                <w:rPr>
                  <w:noProof/>
                  <w:lang w:val="en-US"/>
                </w:rPr>
              </w:pPr>
              <w:r>
                <w:rPr>
                  <w:noProof/>
                  <w:lang w:val="en-US"/>
                </w:rPr>
                <w:t xml:space="preserve">Lafferty, M. K., 1998. </w:t>
              </w:r>
              <w:r>
                <w:rPr>
                  <w:i/>
                  <w:iCs/>
                  <w:noProof/>
                  <w:lang w:val="en-US"/>
                </w:rPr>
                <w:t xml:space="preserve">Walter of Chatillon's Alexandreis: Epic and the Problem of Historical Understanding. </w:t>
              </w:r>
              <w:r>
                <w:rPr>
                  <w:noProof/>
                  <w:lang w:val="en-US"/>
                </w:rPr>
                <w:t>Turnhout: Brepolis.</w:t>
              </w:r>
            </w:p>
            <w:p w14:paraId="706296C8" w14:textId="77777777" w:rsidR="00BD58A3" w:rsidRDefault="00BD58A3" w:rsidP="00DD717B">
              <w:pPr>
                <w:pStyle w:val="Bibliography"/>
                <w:spacing w:line="480" w:lineRule="auto"/>
                <w:rPr>
                  <w:noProof/>
                  <w:lang w:val="en-US"/>
                </w:rPr>
              </w:pPr>
              <w:r>
                <w:rPr>
                  <w:noProof/>
                  <w:lang w:val="en-US"/>
                </w:rPr>
                <w:lastRenderedPageBreak/>
                <w:t xml:space="preserve">Morris, R., 1986. The Gesta Regum Britanniae of William of Rennes: An Arthurian Epic?. </w:t>
              </w:r>
              <w:r>
                <w:rPr>
                  <w:i/>
                  <w:iCs/>
                  <w:noProof/>
                  <w:lang w:val="en-US"/>
                </w:rPr>
                <w:t xml:space="preserve">Arthurian Literature, </w:t>
              </w:r>
              <w:r>
                <w:rPr>
                  <w:noProof/>
                  <w:lang w:val="en-US"/>
                </w:rPr>
                <w:t>Volume 6, pp. 60-126.</w:t>
              </w:r>
            </w:p>
            <w:p w14:paraId="113F71FE" w14:textId="77777777" w:rsidR="00BD58A3" w:rsidRDefault="00BD58A3" w:rsidP="00DD717B">
              <w:pPr>
                <w:pStyle w:val="Bibliography"/>
                <w:spacing w:line="480" w:lineRule="auto"/>
                <w:rPr>
                  <w:noProof/>
                  <w:lang w:val="en-US"/>
                </w:rPr>
              </w:pPr>
              <w:r>
                <w:rPr>
                  <w:noProof/>
                  <w:lang w:val="en-US"/>
                </w:rPr>
                <w:t xml:space="preserve">Parsons, S. A., 2016. Poet, Protagonist, and the Epic Alexander in Walter of Chatillon's Alexandreis. In: M. Stock, ed. </w:t>
              </w:r>
              <w:r>
                <w:rPr>
                  <w:i/>
                  <w:iCs/>
                  <w:noProof/>
                  <w:lang w:val="en-US"/>
                </w:rPr>
                <w:t xml:space="preserve">Alexander the Great in the Middle Ages: Transcultural Perspectives. </w:t>
              </w:r>
              <w:r>
                <w:rPr>
                  <w:noProof/>
                  <w:lang w:val="en-US"/>
                </w:rPr>
                <w:t>Toronto: University of Toronto Press, pp. 177-199.</w:t>
              </w:r>
            </w:p>
            <w:p w14:paraId="4A04D026" w14:textId="77777777" w:rsidR="00BD58A3" w:rsidRDefault="00BD58A3" w:rsidP="00DD717B">
              <w:pPr>
                <w:pStyle w:val="Bibliography"/>
                <w:spacing w:line="480" w:lineRule="auto"/>
                <w:rPr>
                  <w:noProof/>
                  <w:lang w:val="en-US"/>
                </w:rPr>
              </w:pPr>
              <w:r>
                <w:rPr>
                  <w:noProof/>
                  <w:lang w:val="en-US"/>
                </w:rPr>
                <w:t xml:space="preserve">Stewart, A., 1993. </w:t>
              </w:r>
              <w:r>
                <w:rPr>
                  <w:i/>
                  <w:iCs/>
                  <w:noProof/>
                  <w:lang w:val="en-US"/>
                </w:rPr>
                <w:t xml:space="preserve">Faces of Power: Alexander's Image and Hellenistic Politics. </w:t>
              </w:r>
              <w:r>
                <w:rPr>
                  <w:noProof/>
                  <w:lang w:val="en-US"/>
                </w:rPr>
                <w:t>Berkeley, L.A.; Oxford: University of California Press.</w:t>
              </w:r>
            </w:p>
            <w:p w14:paraId="35B22875" w14:textId="77777777" w:rsidR="00BD58A3" w:rsidRDefault="00BD58A3" w:rsidP="00DD717B">
              <w:pPr>
                <w:pStyle w:val="Bibliography"/>
                <w:spacing w:line="480" w:lineRule="auto"/>
                <w:rPr>
                  <w:noProof/>
                  <w:lang w:val="en-US"/>
                </w:rPr>
              </w:pPr>
              <w:r>
                <w:rPr>
                  <w:noProof/>
                  <w:lang w:val="en-US"/>
                </w:rPr>
                <w:t xml:space="preserve">Velte, L., 2019. Sepulchral Representation: Inscribed Tombs and Narrative Epitaphs in the High Middle Ages. In: R. Warner, C. Leufeld &amp; L. Lieb, eds. </w:t>
              </w:r>
              <w:r>
                <w:rPr>
                  <w:i/>
                  <w:iCs/>
                  <w:noProof/>
                  <w:lang w:val="en-US"/>
                </w:rPr>
                <w:t xml:space="preserve">Writing Beyond Pen and Parchment: Inscribed Objects in Medieval European Literature. </w:t>
              </w:r>
              <w:r>
                <w:rPr>
                  <w:noProof/>
                  <w:lang w:val="en-US"/>
                </w:rPr>
                <w:t>Berlin: De Gruyter, pp. 255-274.</w:t>
              </w:r>
            </w:p>
            <w:p w14:paraId="0EC6E480" w14:textId="77777777" w:rsidR="00BD58A3" w:rsidRDefault="00BD58A3" w:rsidP="00DD717B">
              <w:pPr>
                <w:pStyle w:val="Bibliography"/>
                <w:spacing w:line="480" w:lineRule="auto"/>
                <w:rPr>
                  <w:noProof/>
                  <w:lang w:val="en-US"/>
                </w:rPr>
              </w:pPr>
              <w:r>
                <w:rPr>
                  <w:noProof/>
                  <w:lang w:val="en-US"/>
                </w:rPr>
                <w:t xml:space="preserve">Wallace, A., 2018. Metalexandron: Receptions of Alexander in the Hellenistic and Roman Worlds. In: K. R. Moore, ed. </w:t>
              </w:r>
              <w:r>
                <w:rPr>
                  <w:i/>
                  <w:iCs/>
                  <w:noProof/>
                  <w:lang w:val="en-US"/>
                </w:rPr>
                <w:t xml:space="preserve">Brill's Companion to the Reception of Alexander the Great. </w:t>
              </w:r>
              <w:r>
                <w:rPr>
                  <w:noProof/>
                  <w:lang w:val="en-US"/>
                </w:rPr>
                <w:t>Leiden; Boston: Brill, pp. 162-196.</w:t>
              </w:r>
            </w:p>
            <w:p w14:paraId="7F38CDB9" w14:textId="77777777" w:rsidR="00BD58A3" w:rsidRDefault="00BD58A3" w:rsidP="00DD717B">
              <w:pPr>
                <w:pStyle w:val="Bibliography"/>
                <w:spacing w:line="480" w:lineRule="auto"/>
                <w:rPr>
                  <w:noProof/>
                  <w:lang w:val="en-US"/>
                </w:rPr>
              </w:pPr>
              <w:r>
                <w:rPr>
                  <w:noProof/>
                  <w:lang w:val="en-US"/>
                </w:rPr>
                <w:t xml:space="preserve">Wright, N., 2001. 'Semper honos nomenque tuum laudesque manebunt': Virgil and Twelfth Century Epic. </w:t>
              </w:r>
              <w:r>
                <w:rPr>
                  <w:i/>
                  <w:iCs/>
                  <w:noProof/>
                  <w:lang w:val="en-US"/>
                </w:rPr>
                <w:t xml:space="preserve">Proceedings of the Virgil Society, </w:t>
              </w:r>
              <w:r>
                <w:rPr>
                  <w:noProof/>
                  <w:lang w:val="en-US"/>
                </w:rPr>
                <w:t>Volume 24, pp. 11-31.</w:t>
              </w:r>
            </w:p>
            <w:p w14:paraId="05B9366C" w14:textId="2AA22A42" w:rsidR="00B34FF4" w:rsidRDefault="00B34FF4" w:rsidP="00DD717B">
              <w:pPr>
                <w:spacing w:line="480" w:lineRule="auto"/>
              </w:pPr>
              <w:r>
                <w:rPr>
                  <w:b/>
                  <w:bCs/>
                  <w:noProof/>
                </w:rPr>
                <w:fldChar w:fldCharType="end"/>
              </w:r>
            </w:p>
          </w:sdtContent>
        </w:sdt>
      </w:sdtContent>
    </w:sdt>
    <w:p w14:paraId="1860CCA2" w14:textId="77777777" w:rsidR="00B34FF4" w:rsidRPr="00B34FF4" w:rsidRDefault="00B34FF4" w:rsidP="00DD717B">
      <w:pPr>
        <w:spacing w:line="480" w:lineRule="auto"/>
        <w:rPr>
          <w:rFonts w:cs="Times New Roman"/>
          <w:color w:val="222222"/>
          <w:szCs w:val="24"/>
          <w:shd w:val="clear" w:color="auto" w:fill="FFFFFF"/>
        </w:rPr>
      </w:pPr>
    </w:p>
    <w:sectPr w:rsidR="00B34FF4" w:rsidRPr="00B34FF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8BF8E" w14:textId="77777777" w:rsidR="00C51521" w:rsidRDefault="00C51521" w:rsidP="009A5B60">
      <w:pPr>
        <w:spacing w:after="0" w:line="240" w:lineRule="auto"/>
      </w:pPr>
      <w:r>
        <w:separator/>
      </w:r>
    </w:p>
  </w:endnote>
  <w:endnote w:type="continuationSeparator" w:id="0">
    <w:p w14:paraId="0D1C59B4" w14:textId="77777777" w:rsidR="00C51521" w:rsidRDefault="00C51521" w:rsidP="009A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DD2E2" w14:textId="77777777" w:rsidR="00C51521" w:rsidRDefault="00C51521" w:rsidP="009A5B60">
      <w:pPr>
        <w:spacing w:after="0" w:line="240" w:lineRule="auto"/>
      </w:pPr>
      <w:r>
        <w:separator/>
      </w:r>
    </w:p>
  </w:footnote>
  <w:footnote w:type="continuationSeparator" w:id="0">
    <w:p w14:paraId="4EEA0095" w14:textId="77777777" w:rsidR="00C51521" w:rsidRDefault="00C51521" w:rsidP="009A5B60">
      <w:pPr>
        <w:spacing w:after="0" w:line="240" w:lineRule="auto"/>
      </w:pPr>
      <w:r>
        <w:continuationSeparator/>
      </w:r>
    </w:p>
  </w:footnote>
  <w:footnote w:id="1">
    <w:p w14:paraId="70E864C9" w14:textId="444D078D" w:rsidR="0075414D" w:rsidRDefault="0075414D">
      <w:pPr>
        <w:pStyle w:val="FootnoteText"/>
      </w:pPr>
      <w:r>
        <w:rPr>
          <w:rStyle w:val="FootnoteReference"/>
        </w:rPr>
        <w:footnoteRef/>
      </w:r>
      <w:r>
        <w:t xml:space="preserve"> </w:t>
      </w:r>
      <w:proofErr w:type="spellStart"/>
      <w:r>
        <w:t>Nudell</w:t>
      </w:r>
      <w:proofErr w:type="spellEnd"/>
      <w:r>
        <w:t xml:space="preserve"> 2011: 72-3; Curt. 4.7.6-32.</w:t>
      </w:r>
    </w:p>
  </w:footnote>
  <w:footnote w:id="2">
    <w:p w14:paraId="350CC3E7" w14:textId="753C1252" w:rsidR="0075414D" w:rsidRDefault="0075414D">
      <w:pPr>
        <w:pStyle w:val="FootnoteText"/>
      </w:pPr>
      <w:r>
        <w:rPr>
          <w:rStyle w:val="FootnoteReference"/>
        </w:rPr>
        <w:footnoteRef/>
      </w:r>
      <w:r>
        <w:t xml:space="preserve"> Stewart 1993: 17-18.</w:t>
      </w:r>
    </w:p>
  </w:footnote>
  <w:footnote w:id="3">
    <w:p w14:paraId="561AF8A2" w14:textId="5DA3B89B" w:rsidR="0075414D" w:rsidRDefault="0075414D">
      <w:pPr>
        <w:pStyle w:val="FootnoteText"/>
      </w:pPr>
      <w:r>
        <w:rPr>
          <w:rStyle w:val="FootnoteReference"/>
        </w:rPr>
        <w:footnoteRef/>
      </w:r>
      <w:r>
        <w:t xml:space="preserve"> </w:t>
      </w:r>
      <w:proofErr w:type="spellStart"/>
      <w:r>
        <w:t>Nudell</w:t>
      </w:r>
      <w:proofErr w:type="spellEnd"/>
      <w:r>
        <w:t xml:space="preserve"> 2011: 73-4; Stewart 1993: 17-18.</w:t>
      </w:r>
    </w:p>
  </w:footnote>
  <w:footnote w:id="4">
    <w:p w14:paraId="1D4B0CC4" w14:textId="1FFA46EF" w:rsidR="0075414D" w:rsidRDefault="0075414D">
      <w:pPr>
        <w:pStyle w:val="FootnoteText"/>
      </w:pPr>
      <w:r>
        <w:rPr>
          <w:rStyle w:val="FootnoteReference"/>
        </w:rPr>
        <w:footnoteRef/>
      </w:r>
      <w:r>
        <w:t xml:space="preserve"> Curt. 6.2; </w:t>
      </w:r>
      <w:proofErr w:type="spellStart"/>
      <w:r>
        <w:t>Nudell</w:t>
      </w:r>
      <w:proofErr w:type="spellEnd"/>
      <w:r>
        <w:t xml:space="preserve"> 2011: 75.</w:t>
      </w:r>
    </w:p>
  </w:footnote>
  <w:footnote w:id="5">
    <w:p w14:paraId="69264055" w14:textId="1BE469E8" w:rsidR="00FD12C7" w:rsidRDefault="00FD12C7">
      <w:pPr>
        <w:pStyle w:val="FootnoteText"/>
      </w:pPr>
      <w:r>
        <w:rPr>
          <w:rStyle w:val="FootnoteReference"/>
        </w:rPr>
        <w:footnoteRef/>
      </w:r>
      <w:r>
        <w:t xml:space="preserve"> Flower 2007: 422.</w:t>
      </w:r>
    </w:p>
  </w:footnote>
  <w:footnote w:id="6">
    <w:p w14:paraId="31F7ABB5" w14:textId="2DAC1232" w:rsidR="005C697D" w:rsidRDefault="005C697D">
      <w:pPr>
        <w:pStyle w:val="FootnoteText"/>
      </w:pPr>
      <w:r>
        <w:rPr>
          <w:rStyle w:val="FootnoteReference"/>
        </w:rPr>
        <w:footnoteRef/>
      </w:r>
      <w:r>
        <w:t xml:space="preserve"> Stewart 1993: 17.</w:t>
      </w:r>
    </w:p>
  </w:footnote>
  <w:footnote w:id="7">
    <w:p w14:paraId="0BD01129" w14:textId="4E812E9C" w:rsidR="00A256BC" w:rsidRDefault="00A256BC">
      <w:pPr>
        <w:pStyle w:val="FootnoteText"/>
      </w:pPr>
      <w:r>
        <w:rPr>
          <w:rStyle w:val="FootnoteReference"/>
        </w:rPr>
        <w:footnoteRef/>
      </w:r>
      <w:r>
        <w:t xml:space="preserve"> </w:t>
      </w:r>
      <w:proofErr w:type="spellStart"/>
      <w:r>
        <w:t>Nudell</w:t>
      </w:r>
      <w:proofErr w:type="spellEnd"/>
      <w:r>
        <w:t xml:space="preserve"> 2011: 30-31.</w:t>
      </w:r>
    </w:p>
  </w:footnote>
  <w:footnote w:id="8">
    <w:p w14:paraId="1DD56EEE" w14:textId="6CCD8B7D" w:rsidR="00691BD9" w:rsidRDefault="00691BD9">
      <w:pPr>
        <w:pStyle w:val="FootnoteText"/>
      </w:pPr>
      <w:r>
        <w:rPr>
          <w:rStyle w:val="FootnoteReference"/>
        </w:rPr>
        <w:footnoteRef/>
      </w:r>
      <w:r>
        <w:t xml:space="preserve"> Champlin 2003: 111; Erickson 2018: 257.</w:t>
      </w:r>
    </w:p>
  </w:footnote>
  <w:footnote w:id="9">
    <w:p w14:paraId="521178D9" w14:textId="54EAE60B" w:rsidR="00D85DEA" w:rsidRDefault="00D85DEA">
      <w:pPr>
        <w:pStyle w:val="FootnoteText"/>
      </w:pPr>
      <w:r>
        <w:rPr>
          <w:rStyle w:val="FootnoteReference"/>
        </w:rPr>
        <w:footnoteRef/>
      </w:r>
      <w:r>
        <w:t xml:space="preserve"> Erickson 2018: 257.</w:t>
      </w:r>
    </w:p>
  </w:footnote>
  <w:footnote w:id="10">
    <w:p w14:paraId="12979006" w14:textId="39859CAD" w:rsidR="00B44AEC" w:rsidRDefault="00B44AEC">
      <w:pPr>
        <w:pStyle w:val="FootnoteText"/>
      </w:pPr>
      <w:r>
        <w:rPr>
          <w:rStyle w:val="FootnoteReference"/>
        </w:rPr>
        <w:footnoteRef/>
      </w:r>
      <w:r>
        <w:t xml:space="preserve"> </w:t>
      </w:r>
      <w:proofErr w:type="spellStart"/>
      <w:r>
        <w:t>Nudell</w:t>
      </w:r>
      <w:proofErr w:type="spellEnd"/>
      <w:r>
        <w:t xml:space="preserve"> 2011: 76.</w:t>
      </w:r>
    </w:p>
  </w:footnote>
  <w:footnote w:id="11">
    <w:p w14:paraId="536AEB46" w14:textId="122CE8B5" w:rsidR="00B44AEC" w:rsidRDefault="00B44AEC">
      <w:pPr>
        <w:pStyle w:val="FootnoteText"/>
      </w:pPr>
      <w:r>
        <w:rPr>
          <w:rStyle w:val="FootnoteReference"/>
        </w:rPr>
        <w:footnoteRef/>
      </w:r>
      <w:r>
        <w:t xml:space="preserve"> Ibid.</w:t>
      </w:r>
    </w:p>
  </w:footnote>
  <w:footnote w:id="12">
    <w:p w14:paraId="63A098C6" w14:textId="6DB1C2C2" w:rsidR="004A3518" w:rsidRDefault="004A3518">
      <w:pPr>
        <w:pStyle w:val="FootnoteText"/>
      </w:pPr>
      <w:r>
        <w:rPr>
          <w:rStyle w:val="FootnoteReference"/>
        </w:rPr>
        <w:footnoteRef/>
      </w:r>
      <w:r>
        <w:t xml:space="preserve"> </w:t>
      </w:r>
      <w:proofErr w:type="spellStart"/>
      <w:r>
        <w:t>Nudell</w:t>
      </w:r>
      <w:proofErr w:type="spellEnd"/>
      <w:r>
        <w:t xml:space="preserve"> 2011: 78; Curt. 10.5.37.</w:t>
      </w:r>
    </w:p>
  </w:footnote>
  <w:footnote w:id="13">
    <w:p w14:paraId="411C5E3E" w14:textId="2C20E843" w:rsidR="007C1C79" w:rsidRDefault="007C1C79">
      <w:pPr>
        <w:pStyle w:val="FootnoteText"/>
      </w:pPr>
      <w:r>
        <w:rPr>
          <w:rStyle w:val="FootnoteReference"/>
        </w:rPr>
        <w:footnoteRef/>
      </w:r>
      <w:r>
        <w:t xml:space="preserve"> </w:t>
      </w:r>
      <w:proofErr w:type="spellStart"/>
      <w:r>
        <w:t>Celotto</w:t>
      </w:r>
      <w:proofErr w:type="spellEnd"/>
      <w:r>
        <w:t xml:space="preserve"> 2018: 326.</w:t>
      </w:r>
    </w:p>
  </w:footnote>
  <w:footnote w:id="14">
    <w:p w14:paraId="7DC8A041" w14:textId="49E74E0C" w:rsidR="007C1C79" w:rsidRDefault="007C1C79">
      <w:pPr>
        <w:pStyle w:val="FootnoteText"/>
      </w:pPr>
      <w:r>
        <w:rPr>
          <w:rStyle w:val="FootnoteReference"/>
        </w:rPr>
        <w:footnoteRef/>
      </w:r>
      <w:r>
        <w:t xml:space="preserve"> </w:t>
      </w:r>
      <w:proofErr w:type="spellStart"/>
      <w:r>
        <w:t>Celotto</w:t>
      </w:r>
      <w:proofErr w:type="spellEnd"/>
      <w:r>
        <w:t xml:space="preserve"> 2018: 326-7.</w:t>
      </w:r>
    </w:p>
  </w:footnote>
  <w:footnote w:id="15">
    <w:p w14:paraId="065CDA01" w14:textId="153A04DA" w:rsidR="007C1C79" w:rsidRDefault="007C1C79">
      <w:pPr>
        <w:pStyle w:val="FootnoteText"/>
      </w:pPr>
      <w:r>
        <w:rPr>
          <w:rStyle w:val="FootnoteReference"/>
        </w:rPr>
        <w:footnoteRef/>
      </w:r>
      <w:r>
        <w:t xml:space="preserve"> </w:t>
      </w:r>
      <w:proofErr w:type="spellStart"/>
      <w:r>
        <w:t>Celotto</w:t>
      </w:r>
      <w:proofErr w:type="spellEnd"/>
      <w:r>
        <w:t xml:space="preserve"> 2018: 333.</w:t>
      </w:r>
    </w:p>
  </w:footnote>
  <w:footnote w:id="16">
    <w:p w14:paraId="1B29F5BE" w14:textId="46C8300C" w:rsidR="007C1C79" w:rsidRDefault="007C1C79">
      <w:pPr>
        <w:pStyle w:val="FootnoteText"/>
      </w:pPr>
      <w:r>
        <w:rPr>
          <w:rStyle w:val="FootnoteReference"/>
        </w:rPr>
        <w:footnoteRef/>
      </w:r>
      <w:r>
        <w:t xml:space="preserve"> </w:t>
      </w:r>
      <w:proofErr w:type="spellStart"/>
      <w:r>
        <w:t>Celotto</w:t>
      </w:r>
      <w:proofErr w:type="spellEnd"/>
      <w:r>
        <w:t xml:space="preserve"> 2018: 331-2.</w:t>
      </w:r>
    </w:p>
  </w:footnote>
  <w:footnote w:id="17">
    <w:p w14:paraId="2984E499" w14:textId="61A5A7AD" w:rsidR="00F1144C" w:rsidRDefault="00F1144C">
      <w:pPr>
        <w:pStyle w:val="FootnoteText"/>
      </w:pPr>
      <w:r>
        <w:rPr>
          <w:rStyle w:val="FootnoteReference"/>
        </w:rPr>
        <w:footnoteRef/>
      </w:r>
      <w:r>
        <w:t xml:space="preserve"> </w:t>
      </w:r>
      <w:proofErr w:type="spellStart"/>
      <w:r>
        <w:t>Diod</w:t>
      </w:r>
      <w:proofErr w:type="spellEnd"/>
      <w:r>
        <w:t xml:space="preserve">. 17.7; Arr. </w:t>
      </w:r>
      <w:proofErr w:type="spellStart"/>
      <w:r>
        <w:t>Anab</w:t>
      </w:r>
      <w:proofErr w:type="spellEnd"/>
      <w:r>
        <w:t xml:space="preserve">. 1.11-12; </w:t>
      </w:r>
      <w:proofErr w:type="spellStart"/>
      <w:r>
        <w:t>Plut</w:t>
      </w:r>
      <w:proofErr w:type="spellEnd"/>
      <w:r>
        <w:t>. Alex. 15.</w:t>
      </w:r>
    </w:p>
  </w:footnote>
  <w:footnote w:id="18">
    <w:p w14:paraId="1D74FCCE" w14:textId="0EC1185E" w:rsidR="00F1144C" w:rsidRDefault="00F1144C">
      <w:pPr>
        <w:pStyle w:val="FootnoteText"/>
      </w:pPr>
      <w:r>
        <w:rPr>
          <w:rStyle w:val="FootnoteReference"/>
        </w:rPr>
        <w:footnoteRef/>
      </w:r>
      <w:r>
        <w:t xml:space="preserve"> </w:t>
      </w:r>
      <w:proofErr w:type="spellStart"/>
      <w:r>
        <w:t>Gowing</w:t>
      </w:r>
      <w:proofErr w:type="spellEnd"/>
      <w:r>
        <w:t xml:space="preserve"> 2005: 90.</w:t>
      </w:r>
    </w:p>
  </w:footnote>
  <w:footnote w:id="19">
    <w:p w14:paraId="6D1F2BEE" w14:textId="0A8699E1" w:rsidR="00F1144C" w:rsidRDefault="00F1144C">
      <w:pPr>
        <w:pStyle w:val="FootnoteText"/>
      </w:pPr>
      <w:r>
        <w:rPr>
          <w:rStyle w:val="FootnoteReference"/>
        </w:rPr>
        <w:footnoteRef/>
      </w:r>
      <w:r>
        <w:t xml:space="preserve"> Suet. </w:t>
      </w:r>
      <w:proofErr w:type="spellStart"/>
      <w:r>
        <w:t>Iul</w:t>
      </w:r>
      <w:proofErr w:type="spellEnd"/>
      <w:r>
        <w:t>. 79.3.</w:t>
      </w:r>
    </w:p>
  </w:footnote>
  <w:footnote w:id="20">
    <w:p w14:paraId="25C94611" w14:textId="5579EBEA" w:rsidR="00CA0CE7" w:rsidRDefault="00CA0CE7">
      <w:pPr>
        <w:pStyle w:val="FootnoteText"/>
      </w:pPr>
      <w:r>
        <w:rPr>
          <w:rStyle w:val="FootnoteReference"/>
        </w:rPr>
        <w:footnoteRef/>
      </w:r>
      <w:r>
        <w:t xml:space="preserve"> Lucan BC. 10.20-46; </w:t>
      </w:r>
      <w:proofErr w:type="spellStart"/>
      <w:r>
        <w:t>Celotto</w:t>
      </w:r>
      <w:proofErr w:type="spellEnd"/>
      <w:r>
        <w:t xml:space="preserve"> 2018: 329.</w:t>
      </w:r>
    </w:p>
  </w:footnote>
  <w:footnote w:id="21">
    <w:p w14:paraId="6F7A1FB9" w14:textId="4598CCF9" w:rsidR="00361BA7" w:rsidRDefault="00361BA7">
      <w:pPr>
        <w:pStyle w:val="FootnoteText"/>
      </w:pPr>
      <w:r>
        <w:rPr>
          <w:rStyle w:val="FootnoteReference"/>
        </w:rPr>
        <w:footnoteRef/>
      </w:r>
      <w:r>
        <w:t xml:space="preserve"> </w:t>
      </w:r>
      <w:proofErr w:type="spellStart"/>
      <w:r>
        <w:t>Celotto</w:t>
      </w:r>
      <w:proofErr w:type="spellEnd"/>
      <w:r>
        <w:t xml:space="preserve"> 2018: 337.</w:t>
      </w:r>
    </w:p>
  </w:footnote>
  <w:footnote w:id="22">
    <w:p w14:paraId="3E51CD52" w14:textId="33811852" w:rsidR="003E17FC" w:rsidRDefault="003E17FC">
      <w:pPr>
        <w:pStyle w:val="FootnoteText"/>
      </w:pPr>
      <w:r>
        <w:rPr>
          <w:rStyle w:val="FootnoteReference"/>
        </w:rPr>
        <w:footnoteRef/>
      </w:r>
      <w:r>
        <w:t xml:space="preserve"> </w:t>
      </w:r>
      <w:proofErr w:type="spellStart"/>
      <w:r>
        <w:t>Celotto</w:t>
      </w:r>
      <w:proofErr w:type="spellEnd"/>
      <w:r>
        <w:t xml:space="preserve"> 2018: 333; Lucan BC 10.44-5.</w:t>
      </w:r>
    </w:p>
  </w:footnote>
  <w:footnote w:id="23">
    <w:p w14:paraId="44AEFFBD" w14:textId="74D101A4" w:rsidR="005955AB" w:rsidRDefault="005955AB">
      <w:pPr>
        <w:pStyle w:val="FootnoteText"/>
      </w:pPr>
      <w:r>
        <w:rPr>
          <w:rStyle w:val="FootnoteReference"/>
        </w:rPr>
        <w:footnoteRef/>
      </w:r>
      <w:r>
        <w:t xml:space="preserve"> Ibid. </w:t>
      </w:r>
    </w:p>
  </w:footnote>
  <w:footnote w:id="24">
    <w:p w14:paraId="20EB4471" w14:textId="0D9ABA70" w:rsidR="0048031F" w:rsidRDefault="0048031F">
      <w:pPr>
        <w:pStyle w:val="FootnoteText"/>
      </w:pPr>
      <w:r>
        <w:rPr>
          <w:rStyle w:val="FootnoteReference"/>
        </w:rPr>
        <w:footnoteRef/>
      </w:r>
      <w:r>
        <w:t xml:space="preserve"> Morris 1986: 62-3</w:t>
      </w:r>
    </w:p>
  </w:footnote>
  <w:footnote w:id="25">
    <w:p w14:paraId="53BB6FDE" w14:textId="6BB0B512" w:rsidR="0048031F" w:rsidRDefault="0048031F">
      <w:pPr>
        <w:pStyle w:val="FootnoteText"/>
      </w:pPr>
      <w:r>
        <w:rPr>
          <w:rStyle w:val="FootnoteReference"/>
        </w:rPr>
        <w:footnoteRef/>
      </w:r>
      <w:r>
        <w:t xml:space="preserve"> Morris 1986: 63; </w:t>
      </w:r>
      <w:proofErr w:type="spellStart"/>
      <w:r>
        <w:t>Dionisotti</w:t>
      </w:r>
      <w:proofErr w:type="spellEnd"/>
      <w:r>
        <w:t xml:space="preserve"> 1990: 79.</w:t>
      </w:r>
    </w:p>
  </w:footnote>
  <w:footnote w:id="26">
    <w:p w14:paraId="182CFAF1" w14:textId="5B2A7137" w:rsidR="00625F73" w:rsidRPr="00625F73" w:rsidRDefault="00625F73">
      <w:pPr>
        <w:pStyle w:val="FootnoteText"/>
      </w:pPr>
      <w:r>
        <w:rPr>
          <w:rStyle w:val="FootnoteReference"/>
        </w:rPr>
        <w:footnoteRef/>
      </w:r>
      <w:r>
        <w:t xml:space="preserve"> Walt. Alex. 4.144-151; </w:t>
      </w:r>
      <w:proofErr w:type="spellStart"/>
      <w:r>
        <w:t>Dionisotti</w:t>
      </w:r>
      <w:proofErr w:type="spellEnd"/>
      <w:r>
        <w:t xml:space="preserve"> 1990: 79.</w:t>
      </w:r>
    </w:p>
  </w:footnote>
  <w:footnote w:id="27">
    <w:p w14:paraId="5A03F82A" w14:textId="1B63B4BF" w:rsidR="00625F73" w:rsidRDefault="00625F73">
      <w:pPr>
        <w:pStyle w:val="FootnoteText"/>
      </w:pPr>
      <w:r>
        <w:rPr>
          <w:rStyle w:val="FootnoteReference"/>
        </w:rPr>
        <w:footnoteRef/>
      </w:r>
      <w:r>
        <w:t xml:space="preserve"> </w:t>
      </w:r>
      <w:proofErr w:type="spellStart"/>
      <w:r>
        <w:t>Dionisotti</w:t>
      </w:r>
      <w:proofErr w:type="spellEnd"/>
      <w:r>
        <w:t xml:space="preserve"> 1990: 82.</w:t>
      </w:r>
    </w:p>
  </w:footnote>
  <w:footnote w:id="28">
    <w:p w14:paraId="57B889EB" w14:textId="137CAB5F" w:rsidR="00625F73" w:rsidRDefault="00625F73">
      <w:pPr>
        <w:pStyle w:val="FootnoteText"/>
      </w:pPr>
      <w:r>
        <w:rPr>
          <w:rStyle w:val="FootnoteReference"/>
        </w:rPr>
        <w:footnoteRef/>
      </w:r>
      <w:r>
        <w:t xml:space="preserve"> Ibid.</w:t>
      </w:r>
    </w:p>
  </w:footnote>
  <w:footnote w:id="29">
    <w:p w14:paraId="6032BFBD" w14:textId="57F82FBD" w:rsidR="00B34FF4" w:rsidRDefault="00B34FF4">
      <w:pPr>
        <w:pStyle w:val="FootnoteText"/>
      </w:pPr>
      <w:r>
        <w:rPr>
          <w:rStyle w:val="FootnoteReference"/>
        </w:rPr>
        <w:footnoteRef/>
      </w:r>
      <w:r>
        <w:t xml:space="preserve"> </w:t>
      </w:r>
      <w:proofErr w:type="spellStart"/>
      <w:r>
        <w:t>Dionisotti</w:t>
      </w:r>
      <w:proofErr w:type="spellEnd"/>
      <w:r>
        <w:t xml:space="preserve"> 1990: 83.</w:t>
      </w:r>
    </w:p>
  </w:footnote>
  <w:footnote w:id="30">
    <w:p w14:paraId="13A9FF44" w14:textId="4A2CABE5" w:rsidR="00B34FF4" w:rsidRDefault="00B34FF4">
      <w:pPr>
        <w:pStyle w:val="FootnoteText"/>
      </w:pPr>
      <w:r>
        <w:rPr>
          <w:rStyle w:val="FootnoteReference"/>
        </w:rPr>
        <w:footnoteRef/>
      </w:r>
      <w:r>
        <w:t xml:space="preserve"> </w:t>
      </w:r>
      <w:proofErr w:type="spellStart"/>
      <w:r>
        <w:t>Dionisotti</w:t>
      </w:r>
      <w:proofErr w:type="spellEnd"/>
      <w:r>
        <w:t xml:space="preserve"> 1990: 78-9; Parsons 2016: 177; </w:t>
      </w:r>
      <w:proofErr w:type="spellStart"/>
      <w:r>
        <w:t>Velte</w:t>
      </w:r>
      <w:proofErr w:type="spellEnd"/>
      <w:r>
        <w:t xml:space="preserve"> 2019: 262, 266; Wright 2001: 26.</w:t>
      </w:r>
    </w:p>
  </w:footnote>
  <w:footnote w:id="31">
    <w:p w14:paraId="7E1AD578" w14:textId="73A6BAFC" w:rsidR="00F31202" w:rsidRPr="00F31202" w:rsidRDefault="00F31202">
      <w:pPr>
        <w:pStyle w:val="FootnoteText"/>
      </w:pPr>
      <w:r>
        <w:rPr>
          <w:rStyle w:val="FootnoteReference"/>
        </w:rPr>
        <w:footnoteRef/>
      </w:r>
      <w:r>
        <w:t xml:space="preserve"> Augustine, </w:t>
      </w:r>
      <w:r>
        <w:rPr>
          <w:i/>
          <w:iCs/>
        </w:rPr>
        <w:t xml:space="preserve">City of God </w:t>
      </w:r>
      <w:r>
        <w:t>19.13-14.</w:t>
      </w:r>
    </w:p>
  </w:footnote>
  <w:footnote w:id="32">
    <w:p w14:paraId="26D71A2E" w14:textId="13D7E4FF" w:rsidR="003E1B6E" w:rsidRPr="003E1B6E" w:rsidRDefault="003E1B6E">
      <w:pPr>
        <w:pStyle w:val="FootnoteText"/>
      </w:pPr>
      <w:r>
        <w:rPr>
          <w:rStyle w:val="FootnoteReference"/>
        </w:rPr>
        <w:footnoteRef/>
      </w:r>
      <w:r>
        <w:t xml:space="preserve"> </w:t>
      </w:r>
      <w:proofErr w:type="gramStart"/>
      <w:r>
        <w:t>Bonaventure,</w:t>
      </w:r>
      <w:proofErr w:type="gramEnd"/>
      <w:r>
        <w:t xml:space="preserve"> </w:t>
      </w:r>
      <w:r>
        <w:rPr>
          <w:i/>
          <w:iCs/>
        </w:rPr>
        <w:t xml:space="preserve">Collates in </w:t>
      </w:r>
      <w:proofErr w:type="spellStart"/>
      <w:r>
        <w:rPr>
          <w:i/>
          <w:iCs/>
        </w:rPr>
        <w:t>Hexaemeron</w:t>
      </w:r>
      <w:proofErr w:type="spellEnd"/>
      <w:r>
        <w:rPr>
          <w:i/>
          <w:iCs/>
        </w:rPr>
        <w:t xml:space="preserve"> </w:t>
      </w:r>
      <w:r>
        <w:t>1.10; Lafferty 1998: 172.</w:t>
      </w:r>
    </w:p>
  </w:footnote>
  <w:footnote w:id="33">
    <w:p w14:paraId="27FFE65E" w14:textId="7B6C273E" w:rsidR="003E1B6E" w:rsidRDefault="003E1B6E">
      <w:pPr>
        <w:pStyle w:val="FootnoteText"/>
      </w:pPr>
      <w:r>
        <w:rPr>
          <w:rStyle w:val="FootnoteReference"/>
        </w:rPr>
        <w:footnoteRef/>
      </w:r>
      <w:r>
        <w:t xml:space="preserve"> </w:t>
      </w:r>
      <w:proofErr w:type="spellStart"/>
      <w:r>
        <w:t>Dionisotti</w:t>
      </w:r>
      <w:proofErr w:type="spellEnd"/>
      <w:r>
        <w:t xml:space="preserve"> 1990: 87.</w:t>
      </w:r>
    </w:p>
  </w:footnote>
  <w:footnote w:id="34">
    <w:p w14:paraId="104DC969" w14:textId="540085FE" w:rsidR="003E1B6E" w:rsidRDefault="003E1B6E">
      <w:pPr>
        <w:pStyle w:val="FootnoteText"/>
      </w:pPr>
      <w:r>
        <w:rPr>
          <w:rStyle w:val="FootnoteReference"/>
        </w:rPr>
        <w:footnoteRef/>
      </w:r>
      <w:r>
        <w:t xml:space="preserve"> Lafferty 1998: 17.</w:t>
      </w:r>
    </w:p>
  </w:footnote>
  <w:footnote w:id="35">
    <w:p w14:paraId="150C80B9" w14:textId="2B693E64" w:rsidR="003E1B6E" w:rsidRDefault="003E1B6E">
      <w:pPr>
        <w:pStyle w:val="FootnoteText"/>
      </w:pPr>
      <w:r>
        <w:rPr>
          <w:rStyle w:val="FootnoteReference"/>
        </w:rPr>
        <w:footnoteRef/>
      </w:r>
      <w:r>
        <w:t xml:space="preserve"> Morris 1986: 63; Wright 2001: </w:t>
      </w:r>
      <w:r w:rsidR="00DF2048">
        <w:t>26.</w:t>
      </w:r>
      <w:bookmarkStart w:id="0" w:name="_GoBack"/>
      <w:bookmarkEnd w:id="0"/>
    </w:p>
  </w:footnote>
  <w:footnote w:id="36">
    <w:p w14:paraId="0C24473A" w14:textId="10D0007F" w:rsidR="004A1CF6" w:rsidRPr="004A1CF6" w:rsidRDefault="004A1CF6">
      <w:pPr>
        <w:pStyle w:val="FootnoteText"/>
      </w:pPr>
      <w:r>
        <w:rPr>
          <w:rStyle w:val="FootnoteReference"/>
        </w:rPr>
        <w:footnoteRef/>
      </w:r>
      <w:r>
        <w:t xml:space="preserve"> Bridges, </w:t>
      </w:r>
      <w:r>
        <w:rPr>
          <w:i/>
          <w:iCs/>
        </w:rPr>
        <w:t xml:space="preserve">Gloria </w:t>
      </w:r>
      <w:proofErr w:type="spellStart"/>
      <w:r>
        <w:rPr>
          <w:i/>
          <w:iCs/>
        </w:rPr>
        <w:t>fallax</w:t>
      </w:r>
      <w:proofErr w:type="spellEnd"/>
      <w:r>
        <w:rPr>
          <w:i/>
          <w:iCs/>
        </w:rPr>
        <w:t xml:space="preserve"> </w:t>
      </w:r>
      <w:proofErr w:type="spellStart"/>
      <w:r>
        <w:rPr>
          <w:i/>
          <w:iCs/>
        </w:rPr>
        <w:t>imperii</w:t>
      </w:r>
      <w:proofErr w:type="spellEnd"/>
      <w:r>
        <w:rPr>
          <w:i/>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35F7F" w14:textId="5D03F17E" w:rsidR="009A5B60" w:rsidRDefault="009A5B60">
    <w:pPr>
      <w:pStyle w:val="Header"/>
    </w:pPr>
    <w:r>
      <w:t>James Forder</w:t>
    </w:r>
    <w:r>
      <w:ptab w:relativeTo="margin" w:alignment="center" w:leader="none"/>
    </w:r>
    <w:r>
      <w:t>1701007</w:t>
    </w:r>
    <w:r>
      <w:ptab w:relativeTo="margin" w:alignment="right" w:leader="none"/>
    </w:r>
    <w:r>
      <w:t>HPHA6058: Assignment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0419D3"/>
    <w:multiLevelType w:val="hybridMultilevel"/>
    <w:tmpl w:val="CF8A608E"/>
    <w:lvl w:ilvl="0" w:tplc="A0EC1E08">
      <w:start w:val="1"/>
      <w:numFmt w:val="bullet"/>
      <w:lvlText w:val=""/>
      <w:lvlJc w:val="left"/>
      <w:pPr>
        <w:tabs>
          <w:tab w:val="num" w:pos="720"/>
        </w:tabs>
        <w:ind w:left="720" w:hanging="360"/>
      </w:pPr>
      <w:rPr>
        <w:rFonts w:ascii="Wingdings 3" w:hAnsi="Wingdings 3" w:hint="default"/>
      </w:rPr>
    </w:lvl>
    <w:lvl w:ilvl="1" w:tplc="836A211E" w:tentative="1">
      <w:start w:val="1"/>
      <w:numFmt w:val="bullet"/>
      <w:lvlText w:val=""/>
      <w:lvlJc w:val="left"/>
      <w:pPr>
        <w:tabs>
          <w:tab w:val="num" w:pos="1440"/>
        </w:tabs>
        <w:ind w:left="1440" w:hanging="360"/>
      </w:pPr>
      <w:rPr>
        <w:rFonts w:ascii="Wingdings 3" w:hAnsi="Wingdings 3" w:hint="default"/>
      </w:rPr>
    </w:lvl>
    <w:lvl w:ilvl="2" w:tplc="C1F0BEC4" w:tentative="1">
      <w:start w:val="1"/>
      <w:numFmt w:val="bullet"/>
      <w:lvlText w:val=""/>
      <w:lvlJc w:val="left"/>
      <w:pPr>
        <w:tabs>
          <w:tab w:val="num" w:pos="2160"/>
        </w:tabs>
        <w:ind w:left="2160" w:hanging="360"/>
      </w:pPr>
      <w:rPr>
        <w:rFonts w:ascii="Wingdings 3" w:hAnsi="Wingdings 3" w:hint="default"/>
      </w:rPr>
    </w:lvl>
    <w:lvl w:ilvl="3" w:tplc="DB863DD2" w:tentative="1">
      <w:start w:val="1"/>
      <w:numFmt w:val="bullet"/>
      <w:lvlText w:val=""/>
      <w:lvlJc w:val="left"/>
      <w:pPr>
        <w:tabs>
          <w:tab w:val="num" w:pos="2880"/>
        </w:tabs>
        <w:ind w:left="2880" w:hanging="360"/>
      </w:pPr>
      <w:rPr>
        <w:rFonts w:ascii="Wingdings 3" w:hAnsi="Wingdings 3" w:hint="default"/>
      </w:rPr>
    </w:lvl>
    <w:lvl w:ilvl="4" w:tplc="EEDAC7B4" w:tentative="1">
      <w:start w:val="1"/>
      <w:numFmt w:val="bullet"/>
      <w:lvlText w:val=""/>
      <w:lvlJc w:val="left"/>
      <w:pPr>
        <w:tabs>
          <w:tab w:val="num" w:pos="3600"/>
        </w:tabs>
        <w:ind w:left="3600" w:hanging="360"/>
      </w:pPr>
      <w:rPr>
        <w:rFonts w:ascii="Wingdings 3" w:hAnsi="Wingdings 3" w:hint="default"/>
      </w:rPr>
    </w:lvl>
    <w:lvl w:ilvl="5" w:tplc="D444ABD6" w:tentative="1">
      <w:start w:val="1"/>
      <w:numFmt w:val="bullet"/>
      <w:lvlText w:val=""/>
      <w:lvlJc w:val="left"/>
      <w:pPr>
        <w:tabs>
          <w:tab w:val="num" w:pos="4320"/>
        </w:tabs>
        <w:ind w:left="4320" w:hanging="360"/>
      </w:pPr>
      <w:rPr>
        <w:rFonts w:ascii="Wingdings 3" w:hAnsi="Wingdings 3" w:hint="default"/>
      </w:rPr>
    </w:lvl>
    <w:lvl w:ilvl="6" w:tplc="9F70FD98" w:tentative="1">
      <w:start w:val="1"/>
      <w:numFmt w:val="bullet"/>
      <w:lvlText w:val=""/>
      <w:lvlJc w:val="left"/>
      <w:pPr>
        <w:tabs>
          <w:tab w:val="num" w:pos="5040"/>
        </w:tabs>
        <w:ind w:left="5040" w:hanging="360"/>
      </w:pPr>
      <w:rPr>
        <w:rFonts w:ascii="Wingdings 3" w:hAnsi="Wingdings 3" w:hint="default"/>
      </w:rPr>
    </w:lvl>
    <w:lvl w:ilvl="7" w:tplc="78A4BDE6" w:tentative="1">
      <w:start w:val="1"/>
      <w:numFmt w:val="bullet"/>
      <w:lvlText w:val=""/>
      <w:lvlJc w:val="left"/>
      <w:pPr>
        <w:tabs>
          <w:tab w:val="num" w:pos="5760"/>
        </w:tabs>
        <w:ind w:left="5760" w:hanging="360"/>
      </w:pPr>
      <w:rPr>
        <w:rFonts w:ascii="Wingdings 3" w:hAnsi="Wingdings 3" w:hint="default"/>
      </w:rPr>
    </w:lvl>
    <w:lvl w:ilvl="8" w:tplc="99921C0E"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60"/>
    <w:rsid w:val="000007FF"/>
    <w:rsid w:val="000A38FD"/>
    <w:rsid w:val="00112817"/>
    <w:rsid w:val="0021561B"/>
    <w:rsid w:val="00322546"/>
    <w:rsid w:val="003249B4"/>
    <w:rsid w:val="00361BA7"/>
    <w:rsid w:val="003E17FC"/>
    <w:rsid w:val="003E1B6E"/>
    <w:rsid w:val="0046618F"/>
    <w:rsid w:val="0048031F"/>
    <w:rsid w:val="004A1CF6"/>
    <w:rsid w:val="004A3518"/>
    <w:rsid w:val="005955AB"/>
    <w:rsid w:val="005C697D"/>
    <w:rsid w:val="00625F73"/>
    <w:rsid w:val="00691BD9"/>
    <w:rsid w:val="0075414D"/>
    <w:rsid w:val="007C1C79"/>
    <w:rsid w:val="00860198"/>
    <w:rsid w:val="008704D0"/>
    <w:rsid w:val="00935DCA"/>
    <w:rsid w:val="009A5B60"/>
    <w:rsid w:val="00A0762D"/>
    <w:rsid w:val="00A256BC"/>
    <w:rsid w:val="00A35283"/>
    <w:rsid w:val="00B20359"/>
    <w:rsid w:val="00B34FF4"/>
    <w:rsid w:val="00B44AEC"/>
    <w:rsid w:val="00B775E0"/>
    <w:rsid w:val="00BD58A3"/>
    <w:rsid w:val="00C35D03"/>
    <w:rsid w:val="00C51521"/>
    <w:rsid w:val="00C91737"/>
    <w:rsid w:val="00CA0CE7"/>
    <w:rsid w:val="00CD0853"/>
    <w:rsid w:val="00D85DEA"/>
    <w:rsid w:val="00DD717B"/>
    <w:rsid w:val="00DF2048"/>
    <w:rsid w:val="00EA1993"/>
    <w:rsid w:val="00ED6141"/>
    <w:rsid w:val="00F1144C"/>
    <w:rsid w:val="00F31202"/>
    <w:rsid w:val="00F44D4E"/>
    <w:rsid w:val="00FD1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D473"/>
  <w15:chartTrackingRefBased/>
  <w15:docId w15:val="{D72DB401-F53B-4860-9993-9C0AB8C3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FF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5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B60"/>
  </w:style>
  <w:style w:type="paragraph" w:styleId="Footer">
    <w:name w:val="footer"/>
    <w:basedOn w:val="Normal"/>
    <w:link w:val="FooterChar"/>
    <w:uiPriority w:val="99"/>
    <w:unhideWhenUsed/>
    <w:rsid w:val="009A5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B60"/>
  </w:style>
  <w:style w:type="paragraph" w:styleId="FootnoteText">
    <w:name w:val="footnote text"/>
    <w:basedOn w:val="Normal"/>
    <w:link w:val="FootnoteTextChar"/>
    <w:uiPriority w:val="99"/>
    <w:semiHidden/>
    <w:unhideWhenUsed/>
    <w:rsid w:val="007541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414D"/>
    <w:rPr>
      <w:sz w:val="20"/>
      <w:szCs w:val="20"/>
    </w:rPr>
  </w:style>
  <w:style w:type="character" w:styleId="FootnoteReference">
    <w:name w:val="footnote reference"/>
    <w:basedOn w:val="DefaultParagraphFont"/>
    <w:uiPriority w:val="99"/>
    <w:semiHidden/>
    <w:unhideWhenUsed/>
    <w:rsid w:val="0075414D"/>
    <w:rPr>
      <w:vertAlign w:val="superscript"/>
    </w:rPr>
  </w:style>
  <w:style w:type="character" w:customStyle="1" w:styleId="Heading1Char">
    <w:name w:val="Heading 1 Char"/>
    <w:basedOn w:val="DefaultParagraphFont"/>
    <w:link w:val="Heading1"/>
    <w:uiPriority w:val="9"/>
    <w:rsid w:val="00B34FF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4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872675">
      <w:bodyDiv w:val="1"/>
      <w:marLeft w:val="0"/>
      <w:marRight w:val="0"/>
      <w:marTop w:val="0"/>
      <w:marBottom w:val="0"/>
      <w:divBdr>
        <w:top w:val="none" w:sz="0" w:space="0" w:color="auto"/>
        <w:left w:val="none" w:sz="0" w:space="0" w:color="auto"/>
        <w:bottom w:val="none" w:sz="0" w:space="0" w:color="auto"/>
        <w:right w:val="none" w:sz="0" w:space="0" w:color="auto"/>
      </w:divBdr>
    </w:div>
    <w:div w:id="1572930503">
      <w:bodyDiv w:val="1"/>
      <w:marLeft w:val="0"/>
      <w:marRight w:val="0"/>
      <w:marTop w:val="0"/>
      <w:marBottom w:val="0"/>
      <w:divBdr>
        <w:top w:val="none" w:sz="0" w:space="0" w:color="auto"/>
        <w:left w:val="none" w:sz="0" w:space="0" w:color="auto"/>
        <w:bottom w:val="none" w:sz="0" w:space="0" w:color="auto"/>
        <w:right w:val="none" w:sz="0" w:space="0" w:color="auto"/>
      </w:divBdr>
      <w:divsChild>
        <w:div w:id="1870727685">
          <w:marLeft w:val="547"/>
          <w:marRight w:val="0"/>
          <w:marTop w:val="200"/>
          <w:marBottom w:val="0"/>
          <w:divBdr>
            <w:top w:val="none" w:sz="0" w:space="0" w:color="auto"/>
            <w:left w:val="none" w:sz="0" w:space="0" w:color="auto"/>
            <w:bottom w:val="none" w:sz="0" w:space="0" w:color="auto"/>
            <w:right w:val="none" w:sz="0" w:space="0" w:color="auto"/>
          </w:divBdr>
        </w:div>
      </w:divsChild>
    </w:div>
    <w:div w:id="204343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MLa11</b:Tag>
    <b:SourceType>BookSection</b:SourceType>
    <b:Guid>{E15BA297-DF00-4791-A228-A79A7E023FDC}</b:Guid>
    <b:Title>Walter of Chatillon's Alexandreis</b:Title>
    <b:Year>2011</b:Year>
    <b:Pages>177-200</b:Pages>
    <b:Author>
      <b:Author>
        <b:NameList>
          <b:Person>
            <b:Last>Lafferty</b:Last>
            <b:First>M.</b:First>
          </b:Person>
        </b:NameList>
      </b:Author>
      <b:Editor>
        <b:NameList>
          <b:Person>
            <b:Last>Zuwiyya</b:Last>
            <b:First>D.</b:First>
          </b:Person>
        </b:NameList>
      </b:Editor>
    </b:Author>
    <b:BookTitle>A Companion to Alexander Literature in the Middle Ages</b:BookTitle>
    <b:City>Leiden; Boston</b:City>
    <b:Publisher>Brill</b:Publisher>
    <b:RefOrder>1</b:RefOrder>
  </b:Source>
  <b:Source>
    <b:Tag>AWa18</b:Tag>
    <b:SourceType>BookSection</b:SourceType>
    <b:Guid>{21B8B968-BB13-4C48-B32E-625E947C68A9}</b:Guid>
    <b:Title>Metalexandron: Receptions of Alexander in the Hellenistic and Roman Worlds</b:Title>
    <b:Year>2018</b:Year>
    <b:City>Leiden; Boston</b:City>
    <b:Publisher>Brill</b:Publisher>
    <b:Author>
      <b:Author>
        <b:NameList>
          <b:Person>
            <b:Last>Wallace</b:Last>
            <b:First>A.</b:First>
          </b:Person>
        </b:NameList>
      </b:Author>
      <b:Editor>
        <b:NameList>
          <b:Person>
            <b:Last>Moore</b:Last>
            <b:First>K.</b:First>
            <b:Middle>R.</b:Middle>
          </b:Person>
        </b:NameList>
      </b:Editor>
    </b:Author>
    <b:BookTitle>Brill's Companion to the Reception of Alexander the Great</b:BookTitle>
    <b:Pages>162-196</b:Pages>
    <b:RefOrder>2</b:RefOrder>
  </b:Source>
  <b:Source>
    <b:Tag>KEr18</b:Tag>
    <b:SourceType>BookSection</b:SourceType>
    <b:Guid>{7EB09A94-4458-4B38-BA9A-2E0B369F3F10}</b:Guid>
    <b:Author>
      <b:Author>
        <b:NameList>
          <b:Person>
            <b:Last>Erickson</b:Last>
            <b:First>K.</b:First>
          </b:Person>
        </b:NameList>
      </b:Author>
      <b:Editor>
        <b:NameList>
          <b:Person>
            <b:Last>Moore</b:Last>
            <b:First>K.</b:First>
            <b:Middle>R.</b:Middle>
          </b:Person>
        </b:NameList>
      </b:Editor>
    </b:Author>
    <b:Title>Sons of Heracles: Antony and Alexander in the Late Republic</b:Title>
    <b:BookTitle>Brill's Companion to the Reception of Alexander the Great</b:BookTitle>
    <b:Year>2018</b:Year>
    <b:Pages>254-274</b:Pages>
    <b:City>Leiden; Boston</b:City>
    <b:Publisher>Brill</b:Publisher>
    <b:RefOrder>3</b:RefOrder>
  </b:Source>
  <b:Source>
    <b:Tag>GCe18</b:Tag>
    <b:SourceType>BookSection</b:SourceType>
    <b:Guid>{157FD24C-5A74-42AA-B7BC-CEC6DA9F8A80}</b:Guid>
    <b:Author>
      <b:Author>
        <b:NameList>
          <b:Person>
            <b:Last>Celotto</b:Last>
            <b:First>G.</b:First>
          </b:Person>
        </b:NameList>
      </b:Author>
      <b:Editor>
        <b:NameList>
          <b:Person>
            <b:Last>Moore</b:Last>
            <b:First>K.</b:First>
            <b:Middle>R.</b:Middle>
          </b:Person>
        </b:NameList>
      </b:Editor>
    </b:Author>
    <b:Title>Alexander the Great in Seneca's Works and in Lucan's Bellum Civile</b:Title>
    <b:BookTitle>Brill's Companion to the Reception of Alexander the Great</b:BookTitle>
    <b:Year>2018</b:Year>
    <b:Pages>325-354</b:Pages>
    <b:City>Leiden; Boston</b:City>
    <b:Publisher>Brill</b:Publisher>
    <b:RefOrder>4</b:RefOrder>
  </b:Source>
  <b:Source>
    <b:Tag>AGo05</b:Tag>
    <b:SourceType>Book</b:SourceType>
    <b:Guid>{C31BF687-BDC5-4F31-9526-7F84BDEB7A23}</b:Guid>
    <b:Title>Empire and Memory: The Representation of the Roman Republic in Imperial Culture</b:Title>
    <b:Year>2005</b:Year>
    <b:City>Cambridge</b:City>
    <b:Publisher>Cambridge University Press</b:Publisher>
    <b:Author>
      <b:Author>
        <b:NameList>
          <b:Person>
            <b:Last>Gowing</b:Last>
            <b:First>A.</b:First>
          </b:Person>
        </b:NameList>
      </b:Author>
    </b:Author>
    <b:RefOrder>5</b:RefOrder>
  </b:Source>
  <b:Source>
    <b:Tag>RMo86</b:Tag>
    <b:SourceType>JournalArticle</b:SourceType>
    <b:Guid>{6117A33F-190C-445A-A9CD-B68A0FE11B7F}</b:Guid>
    <b:Title>The Gesta Regum Britanniae of William of Rennes: An Arthurian Epic?</b:Title>
    <b:Year>1986</b:Year>
    <b:Pages>60-126</b:Pages>
    <b:Author>
      <b:Author>
        <b:NameList>
          <b:Person>
            <b:Last>Morris</b:Last>
            <b:First>R.</b:First>
          </b:Person>
        </b:NameList>
      </b:Author>
    </b:Author>
    <b:JournalName>Arthurian Literature</b:JournalName>
    <b:Volume>6</b:Volume>
    <b:RefOrder>6</b:RefOrder>
  </b:Source>
  <b:Source>
    <b:Tag>VBr15</b:Tag>
    <b:SourceType>JournalArticle</b:SourceType>
    <b:Guid>{36692313-CDC1-4F46-A1CD-F48798BAA772}</b:Guid>
    <b:Author>
      <b:Author>
        <b:NameList>
          <b:Person>
            <b:Last>Bridges</b:Last>
            <b:First>V.</b:First>
          </b:Person>
        </b:NameList>
      </b:Author>
    </b:Author>
    <b:Title>Reading Walter of Chatillon's Alexandreis in Medieval Anthologies</b:Title>
    <b:JournalName>Mediaeval Studies</b:JournalName>
    <b:Year>2015</b:Year>
    <b:Pages>1-21</b:Pages>
    <b:Volume>77</b:Volume>
    <b:RefOrder>7</b:RefOrder>
  </b:Source>
  <b:Source>
    <b:Tag>Dio90</b:Tag>
    <b:SourceType>BookSection</b:SourceType>
    <b:Guid>{80C4A2CA-8B6F-4CA4-8572-3BD954A4654D}</b:Guid>
    <b:Title>Walter of Chatillon and the Greeks</b:Title>
    <b:Year>1990</b:Year>
    <b:City>Oxford</b:City>
    <b:Publisher>Clarendon Press</b:Publisher>
    <b:Author>
      <b:Author>
        <b:NameList>
          <b:Person>
            <b:Last>Dionisotti</b:Last>
            <b:First>A.</b:First>
            <b:Middle>C.</b:Middle>
          </b:Person>
        </b:NameList>
      </b:Author>
      <b:Editor>
        <b:NameList>
          <b:Person>
            <b:Last>Murray</b:Last>
            <b:First>O</b:First>
          </b:Person>
          <b:Person>
            <b:Last>Goodman</b:Last>
            <b:First>P</b:First>
          </b:Person>
        </b:NameList>
      </b:Editor>
    </b:Author>
    <b:BookTitle>Latin Poetry and the Classical Tradition</b:BookTitle>
    <b:Pages>73-96</b:Pages>
    <b:RefOrder>8</b:RefOrder>
  </b:Source>
  <b:Source>
    <b:Tag>MKL98</b:Tag>
    <b:SourceType>Book</b:SourceType>
    <b:Guid>{5197F6A5-A528-4289-9B61-C2121F4EF958}</b:Guid>
    <b:Title>Walter of Chatillon's Alexandreis: Epic and the Problem of Historical Understanding</b:Title>
    <b:Year>1998</b:Year>
    <b:City>Turnhout</b:City>
    <b:Publisher>Brepolis</b:Publisher>
    <b:Author>
      <b:Author>
        <b:NameList>
          <b:Person>
            <b:Last>Lafferty</b:Last>
            <b:First>M.</b:First>
            <b:Middle>K.</b:Middle>
          </b:Person>
        </b:NameList>
      </b:Author>
    </b:Author>
    <b:RefOrder>9</b:RefOrder>
  </b:Source>
  <b:Source>
    <b:Tag>SAP16</b:Tag>
    <b:SourceType>BookSection</b:SourceType>
    <b:Guid>{26A2603A-987F-4AE8-A6A8-95D52F022F76}</b:Guid>
    <b:Title>Poet, Protagonist, and the Epic Alexander in Walter of Chatillon's Alexandreis</b:Title>
    <b:Year>2016</b:Year>
    <b:City>Toronto</b:City>
    <b:Publisher>University of Toronto Press</b:Publisher>
    <b:Author>
      <b:Author>
        <b:NameList>
          <b:Person>
            <b:Last>Parsons</b:Last>
            <b:First>S.</b:First>
            <b:Middle>A.</b:Middle>
          </b:Person>
        </b:NameList>
      </b:Author>
      <b:Editor>
        <b:NameList>
          <b:Person>
            <b:Last>Stock</b:Last>
            <b:First>M.</b:First>
          </b:Person>
        </b:NameList>
      </b:Editor>
    </b:Author>
    <b:BookTitle>Alexander the Great in the Middle Ages: Transcultural Perspectives</b:BookTitle>
    <b:Pages>177-199</b:Pages>
    <b:RefOrder>10</b:RefOrder>
  </b:Source>
  <b:Source>
    <b:Tag>LVe19</b:Tag>
    <b:SourceType>BookSection</b:SourceType>
    <b:Guid>{9144B10B-EC70-458B-9AE8-EC0ED7D674A2}</b:Guid>
    <b:Author>
      <b:Author>
        <b:NameList>
          <b:Person>
            <b:Last>Velte</b:Last>
            <b:First>L.</b:First>
          </b:Person>
        </b:NameList>
      </b:Author>
      <b:Editor>
        <b:NameList>
          <b:Person>
            <b:Last>Warner</b:Last>
            <b:First>R.</b:First>
          </b:Person>
          <b:Person>
            <b:Last>Leufeld</b:Last>
            <b:First>C.</b:First>
          </b:Person>
          <b:Person>
            <b:Last>Lieb</b:Last>
            <b:First>L</b:First>
          </b:Person>
        </b:NameList>
      </b:Editor>
    </b:Author>
    <b:Title>Sepulchral Representation: Inscribed Tombs and Narrative Epitaphs in the High Middle Ages</b:Title>
    <b:BookTitle>Writing Beyond Pen and Parchment: Inscribed Objects in Medieval European Literature</b:BookTitle>
    <b:Year>2019</b:Year>
    <b:Pages>255-274</b:Pages>
    <b:City>Berlin</b:City>
    <b:Publisher>De Gruyter</b:Publisher>
    <b:RefOrder>11</b:RefOrder>
  </b:Source>
  <b:Source>
    <b:Tag>MLa111</b:Tag>
    <b:SourceType>BookSection</b:SourceType>
    <b:Guid>{6B16C21A-32F0-4842-9D78-8C71335445FC}</b:Guid>
    <b:Author>
      <b:Author>
        <b:NameList>
          <b:Person>
            <b:Last>Lafferty</b:Last>
            <b:First>M.</b:First>
          </b:Person>
        </b:NameList>
      </b:Author>
      <b:Editor>
        <b:NameList>
          <b:Person>
            <b:Last>Zuwiyya</b:Last>
            <b:First>D.</b:First>
          </b:Person>
        </b:NameList>
      </b:Editor>
    </b:Author>
    <b:Title>Walter of Chatillon's Alexandreis</b:Title>
    <b:BookTitle>A Companion to Alexander Literature in the Middle Ages</b:BookTitle>
    <b:Year>2011</b:Year>
    <b:Pages>177-200</b:Pages>
    <b:City>Leiden; Boston</b:City>
    <b:Publisher>Brill</b:Publisher>
    <b:RefOrder>12</b:RefOrder>
  </b:Source>
  <b:Source>
    <b:Tag>BGa15</b:Tag>
    <b:SourceType>JournalArticle</b:SourceType>
    <b:Guid>{16290EAE-8E1D-4ECF-A1CF-6A861C4AE2F5}</b:Guid>
    <b:Title>Rome in the "Alexander Romance"</b:Title>
    <b:Year>2015</b:Year>
    <b:Pages>467-507</b:Pages>
    <b:Author>
      <b:Author>
        <b:NameList>
          <b:Person>
            <b:Last>Garstad</b:Last>
            <b:First>B.</b:First>
          </b:Person>
        </b:NameList>
      </b:Author>
    </b:Author>
    <b:JournalName>Harvard Studies in Classical Philology</b:JournalName>
    <b:Volume>108</b:Volume>
    <b:RefOrder>13</b:RefOrder>
  </b:Source>
  <b:Source>
    <b:Tag>NWr01</b:Tag>
    <b:SourceType>JournalArticle</b:SourceType>
    <b:Guid>{08001657-F215-4A93-AFCC-5FBC9BB2C085}</b:Guid>
    <b:Author>
      <b:Author>
        <b:NameList>
          <b:Person>
            <b:Last>Wright</b:Last>
            <b:First>N.</b:First>
          </b:Person>
        </b:NameList>
      </b:Author>
    </b:Author>
    <b:Title>'Semper honos nomenque tuum laudesque manebunt': Virgil and Twelfth Century Epic</b:Title>
    <b:JournalName>Proceedings of the Virgil Society</b:JournalName>
    <b:Year>2001</b:Year>
    <b:Pages>11-31</b:Pages>
    <b:Volume>24</b:Volume>
    <b:RefOrder>14</b:RefOrder>
  </b:Source>
  <b:Source>
    <b:Tag>ECh03</b:Tag>
    <b:SourceType>Book</b:SourceType>
    <b:Guid>{870DC63B-890C-4D4B-9C59-13011667CBCB}</b:Guid>
    <b:Title>Nero</b:Title>
    <b:Year>2003</b:Year>
    <b:Author>
      <b:Author>
        <b:NameList>
          <b:Person>
            <b:Last>Champlin</b:Last>
            <b:First>E.</b:First>
          </b:Person>
        </b:NameList>
      </b:Author>
    </b:Author>
    <b:City>Cambridge, MA</b:City>
    <b:Publisher>Harvard University Press</b:Publisher>
    <b:RefOrder>15</b:RefOrder>
  </b:Source>
  <b:Source>
    <b:Tag>ASt93</b:Tag>
    <b:SourceType>Book</b:SourceType>
    <b:Guid>{CAEE3E73-7FCB-410A-A69C-5EE90BF2670A}</b:Guid>
    <b:Author>
      <b:Author>
        <b:NameList>
          <b:Person>
            <b:Last>Stewart</b:Last>
            <b:First>A.</b:First>
          </b:Person>
        </b:NameList>
      </b:Author>
    </b:Author>
    <b:Title>Faces of Power: Alexander's Image and Hellenistic Politics</b:Title>
    <b:Year>1993</b:Year>
    <b:City>Berkeley, L.A.; Oxford</b:City>
    <b:Publisher>University of California Press</b:Publisher>
    <b:RefOrder>16</b:RefOrder>
  </b:Source>
  <b:Source>
    <b:Tag>VBr20</b:Tag>
    <b:SourceType>InternetSite</b:SourceType>
    <b:Guid>{927441BC-7CAF-4119-A576-C3CF5DA04D27}</b:Guid>
    <b:Title>'Gloria fallax imperii': Epic and Empire in Northern France in the Later Twelfth Century</b:Title>
    <b:Author>
      <b:Author>
        <b:NameList>
          <b:Person>
            <b:Last>Bridges</b:Last>
            <b:First>V.</b:First>
          </b:Person>
        </b:NameList>
      </b:Author>
    </b:Author>
    <b:YearAccessed>2020</b:YearAccessed>
    <b:MonthAccessed>January</b:MonthAccessed>
    <b:DayAccessed>31</b:DayAccessed>
    <b:URL>https://www.academia.edu/7839823/Gloria_fallax_imperii_Epic_and_Empire_in_northern_France_in_the_Later_Twelfth_Century</b:URL>
    <b:RefOrder>17</b:RefOrder>
  </b:Source>
</b:Sources>
</file>

<file path=customXml/itemProps1.xml><?xml version="1.0" encoding="utf-8"?>
<ds:datastoreItem xmlns:ds="http://schemas.openxmlformats.org/officeDocument/2006/customXml" ds:itemID="{311AC45B-C859-4834-B3AF-B717553F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10</Pages>
  <Words>2738</Words>
  <Characters>14350</Characters>
  <Application>Microsoft Office Word</Application>
  <DocSecurity>0</DocSecurity>
  <Lines>199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23</cp:revision>
  <dcterms:created xsi:type="dcterms:W3CDTF">2020-01-31T16:24:00Z</dcterms:created>
  <dcterms:modified xsi:type="dcterms:W3CDTF">2020-01-31T21:52:00Z</dcterms:modified>
</cp:coreProperties>
</file>