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DB4396" w:rsidP="6BA81473" w:rsidRDefault="77700541" w14:paraId="12D5E18F" w14:textId="7445C32B">
      <w:pPr>
        <w:pStyle w:val="Heading1"/>
      </w:pPr>
      <w:r w:rsidRPr="6BA81473">
        <w:rPr>
          <w:rFonts w:ascii="Arial" w:hAnsi="Arial" w:eastAsia="Arial" w:cs="Arial"/>
          <w:sz w:val="24"/>
          <w:szCs w:val="24"/>
        </w:rPr>
        <w:t xml:space="preserve">Stakeholder Engagement Strategy for the Launch of </w:t>
      </w:r>
      <w:r w:rsidRPr="6BA81473" w:rsidR="73C3A606">
        <w:rPr>
          <w:rFonts w:ascii="Arial" w:hAnsi="Arial" w:eastAsia="Arial" w:cs="Arial"/>
          <w:sz w:val="24"/>
          <w:szCs w:val="24"/>
        </w:rPr>
        <w:t>Connect Plus</w:t>
      </w:r>
      <w:r w:rsidRPr="6BA81473">
        <w:rPr>
          <w:rFonts w:ascii="Arial" w:hAnsi="Arial" w:eastAsia="Arial" w:cs="Arial"/>
          <w:sz w:val="24"/>
          <w:szCs w:val="24"/>
        </w:rPr>
        <w:t xml:space="preserve"> at Amazon UK</w:t>
      </w:r>
    </w:p>
    <w:p w:rsidR="00DB4396" w:rsidP="6BA81473" w:rsidRDefault="77700541" w14:paraId="0FDB0344" w14:textId="2936D4B8">
      <w:pPr>
        <w:pStyle w:val="Heading2"/>
      </w:pPr>
      <w:r w:rsidRPr="6BA81473">
        <w:rPr>
          <w:rFonts w:ascii="Arial" w:hAnsi="Arial" w:eastAsia="Arial" w:cs="Arial"/>
          <w:sz w:val="24"/>
          <w:szCs w:val="24"/>
        </w:rPr>
        <w:t>Executive Summary</w:t>
      </w:r>
    </w:p>
    <w:p w:rsidR="00DB4396" w:rsidRDefault="77700541" w14:paraId="7CAFF93C" w14:textId="25A2E106">
      <w:r w:rsidRPr="6BA81473">
        <w:rPr>
          <w:rFonts w:ascii="Arial" w:hAnsi="Arial" w:eastAsia="Arial" w:cs="Arial"/>
        </w:rPr>
        <w:t xml:space="preserve">This report examines the stakeholder engagement strategy required for the successful implementation of </w:t>
      </w:r>
      <w:r w:rsidRPr="6BA81473" w:rsidR="0C7399A4">
        <w:rPr>
          <w:rFonts w:ascii="Arial" w:hAnsi="Arial" w:eastAsia="Arial" w:cs="Arial"/>
        </w:rPr>
        <w:t>ConnectPlus</w:t>
      </w:r>
      <w:r w:rsidRPr="6BA81473">
        <w:rPr>
          <w:rFonts w:ascii="Arial" w:hAnsi="Arial" w:eastAsia="Arial" w:cs="Arial"/>
        </w:rPr>
        <w:t xml:space="preserve">, a digitally enhanced customer loyalty and engagement platform proposed for Amazon UK and its international markets. </w:t>
      </w:r>
      <w:r w:rsidRPr="6BA81473" w:rsidR="68C762AE">
        <w:rPr>
          <w:rFonts w:ascii="Arial" w:hAnsi="Arial" w:eastAsia="Arial" w:cs="Arial"/>
        </w:rPr>
        <w:t>ConnectPlus</w:t>
      </w:r>
      <w:r w:rsidRPr="6BA81473">
        <w:rPr>
          <w:rFonts w:ascii="Arial" w:hAnsi="Arial" w:eastAsia="Arial" w:cs="Arial"/>
        </w:rPr>
        <w:t xml:space="preserve"> integrates artificial intelligence (AI)-driven recommendations, mobile rewards, and customer analytics to improve customer retention, customer experience, and organisational competitiveness. Effective stakeholder engagement is critical to ensuring the successful deployment and adoption of the platform across diverse cultural and regulatory environments.</w:t>
      </w:r>
    </w:p>
    <w:p w:rsidR="00DB4396" w:rsidRDefault="77700541" w14:paraId="502B15C1" w14:textId="08BF5D9C">
      <w:r w:rsidRPr="6BA81473">
        <w:rPr>
          <w:rFonts w:ascii="Arial" w:hAnsi="Arial" w:eastAsia="Arial" w:cs="Arial"/>
        </w:rPr>
        <w:t>The report identifies key internal and external stakeholders using the Stakeholder Salience Model and the Power-Interest Matrix. It analyses stakeholder roles, responsibilities, benefits, and challenges while evaluating stakeholder engagement frameworks including the RACI Matrix, communication planning, and the 4Cs model. The report further explores ethical considerations associated with data privacy, AI transparency, and customer trust. Finally, it evaluates the impact of sustainable stakeholder engagement on Amazon’s business performance and provides recommendations for long-term success.</w:t>
      </w:r>
    </w:p>
    <w:p w:rsidR="00DB4396" w:rsidP="6BA81473" w:rsidRDefault="00DB4396" w14:paraId="13E52112" w14:textId="7133A27E">
      <w:pPr>
        <w:rPr>
          <w:rFonts w:ascii="Arial" w:hAnsi="Arial" w:eastAsia="Arial" w:cs="Arial"/>
        </w:rPr>
      </w:pPr>
    </w:p>
    <w:p w:rsidR="00DB4396" w:rsidP="6BA81473" w:rsidRDefault="70E4BE4F" w14:paraId="5F048250" w14:textId="39C54127">
      <w:pPr>
        <w:pStyle w:val="Heading1"/>
      </w:pPr>
      <w:r w:rsidRPr="6BA81473">
        <w:rPr>
          <w:rFonts w:ascii="Arial" w:hAnsi="Arial" w:eastAsia="Arial" w:cs="Arial"/>
          <w:sz w:val="24"/>
          <w:szCs w:val="24"/>
        </w:rPr>
        <w:t>. Introduction of the Company</w:t>
      </w:r>
    </w:p>
    <w:p w:rsidR="00DB4396" w:rsidRDefault="70E4BE4F" w14:paraId="0BE2D970" w14:textId="1A4A5A7E">
      <w:r w:rsidRPr="6BA81473">
        <w:rPr>
          <w:rFonts w:ascii="Arial" w:hAnsi="Arial" w:eastAsia="Arial" w:cs="Arial"/>
        </w:rPr>
        <w:t>Amazon is one of the world's leading retail and e-commerce organisations, operating across numerous international markets and serving millions of customers daily. Founded by Jeff Bezos in 1994, Amazon began as an online bookstore before expanding into a diversified multinational corporation offering e-commerce, cloud computing, artificial intelligence (AI), logistics, digital streaming, and consumer technology products. Today, Amazon is recognised for its customer-centric business model, technological innovation, and extensive global supply chain network.</w:t>
      </w:r>
    </w:p>
    <w:p w:rsidR="00DB4396" w:rsidRDefault="70E4BE4F" w14:paraId="79FC5E3C" w14:textId="102606EC">
      <w:r w:rsidRPr="6BA81473">
        <w:rPr>
          <w:rFonts w:ascii="Arial" w:hAnsi="Arial" w:eastAsia="Arial" w:cs="Arial"/>
        </w:rPr>
        <w:t xml:space="preserve">As competition within the retail and e-commerce sector continues to intensify, organisations are increasingly investing in digital technologies to enhance customer experiences and strengthen long-term customer relationships. In response to these market demands, Amazon is preparing to launch </w:t>
      </w:r>
      <w:r w:rsidRPr="6BA81473" w:rsidR="443AE185">
        <w:rPr>
          <w:rFonts w:ascii="Arial" w:hAnsi="Arial" w:eastAsia="Arial" w:cs="Arial"/>
        </w:rPr>
        <w:t>ConnectPlus</w:t>
      </w:r>
      <w:r w:rsidRPr="6BA81473">
        <w:rPr>
          <w:rFonts w:ascii="Arial" w:hAnsi="Arial" w:eastAsia="Arial" w:cs="Arial"/>
        </w:rPr>
        <w:t>, a digitally enhanced customer loyalty and engagement platform designed to improve customer retention, increase customer satisfaction, and support data-driven decision-making across its local and international markets.</w:t>
      </w:r>
    </w:p>
    <w:p w:rsidR="00DB4396" w:rsidRDefault="70E4BE4F" w14:paraId="6AFD0463" w14:textId="4AC2C4BA">
      <w:r w:rsidRPr="6BA81473">
        <w:rPr>
          <w:rFonts w:ascii="Arial" w:hAnsi="Arial" w:eastAsia="Arial" w:cs="Arial"/>
        </w:rPr>
        <w:t>ConnectPlus will integrate AI-powered personalised recommendations, mobile-based rewards, and advanced customer analytics to provide a seamless and customised shopping experience. The platform aims to strengthen customer engagement by offering relevant product suggestions, personalised promotions, and loyalty incentives while enabling Amazon to gain valuable insights into customer behaviour and preferences. The planned rollout across selected international markets within six months presents significant opportunities for business growth but also introduces challenges relating to stakeholder management, cultural diversity, regulatory compliance, and organisational change.</w:t>
      </w:r>
    </w:p>
    <w:p w:rsidR="00DB4396" w:rsidRDefault="70E4BE4F" w14:paraId="6A96A6EC" w14:textId="352FB0E9">
      <w:r w:rsidRPr="6BA81473">
        <w:rPr>
          <w:rFonts w:ascii="Arial" w:hAnsi="Arial" w:eastAsia="Arial" w:cs="Arial"/>
        </w:rPr>
        <w:t>The successful implementation of ConnectPlus will depend on the effective engagement of a wide range of stakeholders, including employees, customers, investors, technology partners, suppliers, and regulatory authorities. According to Freeman's (1984) Stakeholder Theory, organisations achieve sustainable success when they create value for all stakeholder groups rather than focusing solely on shareholder interests. Therefore, Amazon must adopt a structured stakeholder engagement strategy to ensure collaboration, commitment, and support throughout the project lifecycle. This report critically examines the stakeholders involved in the ConnectPlus project and evaluates strategies for their effective engagement to ensure successful implementation and long-term business performance.</w:t>
      </w:r>
    </w:p>
    <w:p w:rsidR="00DB4396" w:rsidP="6BA81473" w:rsidRDefault="042E1A05" w14:paraId="1BB8D857" w14:textId="36032FC4">
      <w:pPr>
        <w:pStyle w:val="Heading1"/>
      </w:pPr>
      <w:r w:rsidRPr="6BA81473">
        <w:rPr>
          <w:rFonts w:ascii="Arial" w:hAnsi="Arial" w:eastAsia="Arial" w:cs="Arial"/>
          <w:sz w:val="24"/>
          <w:szCs w:val="24"/>
        </w:rPr>
        <w:t>2. SMART Objectives</w:t>
      </w:r>
    </w:p>
    <w:p w:rsidR="00DB4396" w:rsidRDefault="042E1A05" w14:paraId="55304670" w14:textId="3C17BF96">
      <w:r w:rsidRPr="6BA81473">
        <w:rPr>
          <w:rFonts w:ascii="Arial" w:hAnsi="Arial" w:eastAsia="Arial" w:cs="Arial"/>
        </w:rPr>
        <w:t>The ConnectPlus project aims to achieve several SMART (Specific, Measurable, Achievable, Relevant and Time-bound) objectives to support Amazon's strategic goals. First, the platform will increase customer retention rates by 15% within 12 months of launch through personalised rewards and AI-driven recommendations. Second, Amazon aims to achieve 80% adoption among targeted customers in selected pilot markets within six months of implementation. Third, customer satisfaction scores will improve by 10% within one year of deployment. Fourth, the project will ensure 100% compliance with GDPR and relevant international data protection regulations before launch. Finally, 95% of employees involved in the project will complete training programmes before implementation to support effective adoption and operational success.</w:t>
      </w:r>
    </w:p>
    <w:p w:rsidR="00DB4396" w:rsidP="6BA81473" w:rsidRDefault="5B0BB95F" w14:paraId="22E7BD31" w14:textId="1D9B1EAA">
      <w:pPr>
        <w:pStyle w:val="Heading1"/>
      </w:pPr>
      <w:r w:rsidRPr="6BA81473">
        <w:rPr>
          <w:rFonts w:ascii="Arial" w:hAnsi="Arial" w:eastAsia="Arial" w:cs="Arial"/>
          <w:sz w:val="24"/>
          <w:szCs w:val="24"/>
        </w:rPr>
        <w:t>Identification and Analysis of Key Internal and External Stakeholders</w:t>
      </w:r>
    </w:p>
    <w:p w:rsidR="00DB4396" w:rsidRDefault="5B0BB95F" w14:paraId="3EC495DF" w14:textId="58E63A08">
      <w:r w:rsidRPr="6BA81473">
        <w:rPr>
          <w:rFonts w:ascii="Arial" w:hAnsi="Arial" w:eastAsia="Arial" w:cs="Arial"/>
        </w:rPr>
        <w:t>The successful implementation of Amazon's ConnectPlus platform requires the active involvement and support of a diverse range of stakeholders. Stakeholders are individuals or groups that can affect or are affected by the achievement of organisational objectives (Freeman, 1984). Effective stakeholder identification enables project managers to understand stakeholder expectations, allocate resources appropriately, and develop suitable engagement strategies. For the ConnectPlus project, Amazon must engage both internal and external stakeholders to ensure successful development, deployment, and adoption across local and international markets.</w:t>
      </w:r>
    </w:p>
    <w:p w:rsidR="00DB4396" w:rsidP="6BA81473" w:rsidRDefault="5B0BB95F" w14:paraId="28616F7E" w14:textId="6B62E4B7">
      <w:pPr>
        <w:pStyle w:val="Heading2"/>
      </w:pPr>
      <w:r w:rsidRPr="6BA81473">
        <w:rPr>
          <w:rFonts w:ascii="Arial" w:hAnsi="Arial" w:eastAsia="Arial" w:cs="Arial"/>
          <w:sz w:val="24"/>
          <w:szCs w:val="24"/>
        </w:rPr>
        <w:t>3.1 Internal Stakeholders</w:t>
      </w:r>
    </w:p>
    <w:p w:rsidR="00DB4396" w:rsidP="6BA81473" w:rsidRDefault="5B0BB95F" w14:paraId="7A712D19" w14:textId="6370D73B">
      <w:pPr>
        <w:pStyle w:val="Heading3"/>
      </w:pPr>
      <w:r w:rsidRPr="6BA81473">
        <w:rPr>
          <w:rFonts w:ascii="Arial" w:hAnsi="Arial" w:eastAsia="Arial" w:cs="Arial"/>
          <w:sz w:val="24"/>
          <w:szCs w:val="24"/>
        </w:rPr>
        <w:t>Senior Management</w:t>
      </w:r>
    </w:p>
    <w:p w:rsidR="00DB4396" w:rsidRDefault="5B0BB95F" w14:paraId="377AA51D" w14:textId="4CC0BDE9">
      <w:r w:rsidRPr="6BA81473">
        <w:rPr>
          <w:rFonts w:ascii="Arial" w:hAnsi="Arial" w:eastAsia="Arial" w:cs="Arial"/>
        </w:rPr>
        <w:t>Senior management, including executive leaders and directors, are critical stakeholders because they provide strategic direction, approve budgets, and ensure alignment with Amazon's long-term business objectives. Their high influence and decision-making authority make them essential for project success.</w:t>
      </w:r>
    </w:p>
    <w:p w:rsidR="00DB4396" w:rsidP="6BA81473" w:rsidRDefault="5B0BB95F" w14:paraId="2519376F" w14:textId="345C47DA">
      <w:pPr>
        <w:pStyle w:val="Heading3"/>
      </w:pPr>
      <w:r w:rsidRPr="6BA81473">
        <w:rPr>
          <w:rFonts w:ascii="Arial" w:hAnsi="Arial" w:eastAsia="Arial" w:cs="Arial"/>
          <w:sz w:val="24"/>
          <w:szCs w:val="24"/>
        </w:rPr>
        <w:t>Project Management Team</w:t>
      </w:r>
    </w:p>
    <w:p w:rsidR="00DB4396" w:rsidRDefault="5B0BB95F" w14:paraId="646785BA" w14:textId="458BD792">
      <w:r w:rsidRPr="6BA81473">
        <w:rPr>
          <w:rFonts w:ascii="Arial" w:hAnsi="Arial" w:eastAsia="Arial" w:cs="Arial"/>
        </w:rPr>
        <w:t>The project management team is responsible for planning, coordinating, monitoring, and controlling all project activities. They act as the central link between stakeholders and ensure that project objectives are achieved within budget, scope, and schedule constraints.</w:t>
      </w:r>
    </w:p>
    <w:p w:rsidR="00DB4396" w:rsidP="6BA81473" w:rsidRDefault="5B0BB95F" w14:paraId="79A9F4BF" w14:textId="0BFEB9CC">
      <w:pPr>
        <w:pStyle w:val="Heading3"/>
      </w:pPr>
      <w:r w:rsidRPr="6BA81473">
        <w:rPr>
          <w:rFonts w:ascii="Arial" w:hAnsi="Arial" w:eastAsia="Arial" w:cs="Arial"/>
          <w:sz w:val="24"/>
          <w:szCs w:val="24"/>
        </w:rPr>
        <w:t>Product Development Team</w:t>
      </w:r>
    </w:p>
    <w:p w:rsidR="00DB4396" w:rsidRDefault="5B0BB95F" w14:paraId="7DCCF171" w14:textId="738B54BA">
      <w:r w:rsidRPr="6BA81473">
        <w:rPr>
          <w:rFonts w:ascii="Arial" w:hAnsi="Arial" w:eastAsia="Arial" w:cs="Arial"/>
        </w:rPr>
        <w:t>The product development team designs and develops the ConnectPlus platform, including AI-driven recommendation systems, customer analytics features, and mobile reward functionalities. Their technical expertise directly influences platform quality and performance.</w:t>
      </w:r>
    </w:p>
    <w:p w:rsidR="00DB4396" w:rsidP="6BA81473" w:rsidRDefault="5B0BB95F" w14:paraId="080FA027" w14:textId="024259D4">
      <w:pPr>
        <w:pStyle w:val="Heading3"/>
      </w:pPr>
      <w:r w:rsidRPr="6BA81473">
        <w:rPr>
          <w:rFonts w:ascii="Arial" w:hAnsi="Arial" w:eastAsia="Arial" w:cs="Arial"/>
          <w:sz w:val="24"/>
          <w:szCs w:val="24"/>
        </w:rPr>
        <w:t>Information Technology and Cybersecurity Teams</w:t>
      </w:r>
    </w:p>
    <w:p w:rsidR="00DB4396" w:rsidRDefault="5B0BB95F" w14:paraId="787153B2" w14:textId="63FB40C5">
      <w:r w:rsidRPr="6BA81473">
        <w:rPr>
          <w:rFonts w:ascii="Arial" w:hAnsi="Arial" w:eastAsia="Arial" w:cs="Arial"/>
        </w:rPr>
        <w:t>IT and cybersecurity specialists ensure the platform operates securely and efficiently. Their responsibilities include system integration, infrastructure management, data protection, and compliance with cybersecurity standards.</w:t>
      </w:r>
    </w:p>
    <w:p w:rsidR="00DB4396" w:rsidP="6BA81473" w:rsidRDefault="5B0BB95F" w14:paraId="1CD33FBF" w14:textId="16301BDC">
      <w:pPr>
        <w:pStyle w:val="Heading3"/>
      </w:pPr>
      <w:r w:rsidRPr="6BA81473">
        <w:rPr>
          <w:rFonts w:ascii="Arial" w:hAnsi="Arial" w:eastAsia="Arial" w:cs="Arial"/>
          <w:sz w:val="24"/>
          <w:szCs w:val="24"/>
        </w:rPr>
        <w:t>Marketing Department</w:t>
      </w:r>
    </w:p>
    <w:p w:rsidR="00DB4396" w:rsidRDefault="5B0BB95F" w14:paraId="21BBE617" w14:textId="49C5471F">
      <w:r w:rsidRPr="6BA81473">
        <w:rPr>
          <w:rFonts w:ascii="Arial" w:hAnsi="Arial" w:eastAsia="Arial" w:cs="Arial"/>
        </w:rPr>
        <w:t>The marketing team develops promotional campaigns and customer communication strategies to encourage platform adoption. Their contribution is essential for generating customer awareness and engagement.</w:t>
      </w:r>
    </w:p>
    <w:p w:rsidR="00DB4396" w:rsidP="6BA81473" w:rsidRDefault="5B0BB95F" w14:paraId="2DC98FBA" w14:textId="44340D05">
      <w:pPr>
        <w:pStyle w:val="Heading3"/>
      </w:pPr>
      <w:r w:rsidRPr="6BA81473">
        <w:rPr>
          <w:rFonts w:ascii="Arial" w:hAnsi="Arial" w:eastAsia="Arial" w:cs="Arial"/>
          <w:sz w:val="24"/>
          <w:szCs w:val="24"/>
        </w:rPr>
        <w:t>Sales and Customer Service Teams</w:t>
      </w:r>
    </w:p>
    <w:p w:rsidR="00DB4396" w:rsidRDefault="5B0BB95F" w14:paraId="7C040F0A" w14:textId="22588498">
      <w:r w:rsidRPr="6BA81473">
        <w:rPr>
          <w:rFonts w:ascii="Arial" w:hAnsi="Arial" w:eastAsia="Arial" w:cs="Arial"/>
        </w:rPr>
        <w:t>These employees interact directly with customers and provide valuable insights into customer needs, preferences, and concerns. Their feedback helps improve customer experience and platform functionality.</w:t>
      </w:r>
    </w:p>
    <w:p w:rsidR="00DB4396" w:rsidP="6BA81473" w:rsidRDefault="5B0BB95F" w14:paraId="72F28327" w14:textId="37D50F95">
      <w:pPr>
        <w:pStyle w:val="Heading3"/>
      </w:pPr>
      <w:r w:rsidRPr="6BA81473">
        <w:rPr>
          <w:rFonts w:ascii="Arial" w:hAnsi="Arial" w:eastAsia="Arial" w:cs="Arial"/>
          <w:sz w:val="24"/>
          <w:szCs w:val="24"/>
        </w:rPr>
        <w:t>Human Resource Department</w:t>
      </w:r>
    </w:p>
    <w:p w:rsidR="00DB4396" w:rsidRDefault="5B0BB95F" w14:paraId="194BB307" w14:textId="47A52E6A">
      <w:r w:rsidRPr="6BA81473">
        <w:rPr>
          <w:rFonts w:ascii="Arial" w:hAnsi="Arial" w:eastAsia="Arial" w:cs="Arial"/>
        </w:rPr>
        <w:t>The HR department supports employee training, organisational change management, and workforce readiness during implementation. Effective employee engagement is necessary to minimise resistance and support successful adoption.</w:t>
      </w:r>
    </w:p>
    <w:p w:rsidR="00DB4396" w:rsidRDefault="00DB4396" w14:paraId="41E94FD7" w14:textId="38C16281"/>
    <w:p w:rsidR="00DB4396" w:rsidP="6BA81473" w:rsidRDefault="5B0BB95F" w14:paraId="35B83115" w14:textId="00F8E991">
      <w:pPr>
        <w:pStyle w:val="Heading2"/>
      </w:pPr>
      <w:r w:rsidRPr="6BA81473">
        <w:rPr>
          <w:rFonts w:ascii="Arial" w:hAnsi="Arial" w:eastAsia="Arial" w:cs="Arial"/>
          <w:sz w:val="24"/>
          <w:szCs w:val="24"/>
        </w:rPr>
        <w:t>3.2 External Stakeholders</w:t>
      </w:r>
    </w:p>
    <w:p w:rsidR="00DB4396" w:rsidP="6BA81473" w:rsidRDefault="5B0BB95F" w14:paraId="6752D0B0" w14:textId="7BC98802">
      <w:pPr>
        <w:pStyle w:val="Heading3"/>
      </w:pPr>
      <w:r w:rsidRPr="6BA81473">
        <w:rPr>
          <w:rFonts w:ascii="Arial" w:hAnsi="Arial" w:eastAsia="Arial" w:cs="Arial"/>
          <w:sz w:val="24"/>
          <w:szCs w:val="24"/>
        </w:rPr>
        <w:t>Customers</w:t>
      </w:r>
    </w:p>
    <w:p w:rsidR="00DB4396" w:rsidRDefault="5B0BB95F" w14:paraId="06B0E3C1" w14:textId="620F0A17">
      <w:r w:rsidRPr="6BA81473">
        <w:rPr>
          <w:rFonts w:ascii="Arial" w:hAnsi="Arial" w:eastAsia="Arial" w:cs="Arial"/>
        </w:rPr>
        <w:t>Customers represent the most important external stakeholder group because the success of ConnectPlus depends on customer adoption and engagement. Customers expect personalised experiences, data security, and valuable rewards in exchange for sharing information.</w:t>
      </w:r>
    </w:p>
    <w:p w:rsidR="00DB4396" w:rsidP="6BA81473" w:rsidRDefault="5B0BB95F" w14:paraId="5D0890EF" w14:textId="7E697257">
      <w:pPr>
        <w:pStyle w:val="Heading3"/>
      </w:pPr>
      <w:r w:rsidRPr="6BA81473">
        <w:rPr>
          <w:rFonts w:ascii="Arial" w:hAnsi="Arial" w:eastAsia="Arial" w:cs="Arial"/>
          <w:sz w:val="24"/>
          <w:szCs w:val="24"/>
        </w:rPr>
        <w:t>Investors and Shareholders</w:t>
      </w:r>
    </w:p>
    <w:p w:rsidR="00DB4396" w:rsidRDefault="5B0BB95F" w14:paraId="7AF06B24" w14:textId="0980B776">
      <w:r w:rsidRPr="6BA81473">
        <w:rPr>
          <w:rFonts w:ascii="Arial" w:hAnsi="Arial" w:eastAsia="Arial" w:cs="Arial"/>
        </w:rPr>
        <w:t>Investors provide financial resources and expect positive returns from Amazon's investment in ConnectPlus. Their support is influenced by the project's ability to improve customer retention and increase profitability.</w:t>
      </w:r>
    </w:p>
    <w:p w:rsidR="00DB4396" w:rsidP="6BA81473" w:rsidRDefault="5B0BB95F" w14:paraId="2359357D" w14:textId="0BD6B875">
      <w:pPr>
        <w:pStyle w:val="Heading3"/>
      </w:pPr>
      <w:r w:rsidRPr="6BA81473">
        <w:rPr>
          <w:rFonts w:ascii="Arial" w:hAnsi="Arial" w:eastAsia="Arial" w:cs="Arial"/>
          <w:sz w:val="24"/>
          <w:szCs w:val="24"/>
        </w:rPr>
        <w:t>Suppliers and Business Partners</w:t>
      </w:r>
    </w:p>
    <w:p w:rsidR="00DB4396" w:rsidRDefault="5B0BB95F" w14:paraId="5E1D253A" w14:textId="6FF152D6">
      <w:r w:rsidRPr="6BA81473">
        <w:rPr>
          <w:rFonts w:ascii="Arial" w:hAnsi="Arial" w:eastAsia="Arial" w:cs="Arial"/>
        </w:rPr>
        <w:t>Suppliers and strategic partners may participate in loyalty reward programmes and support operational activities associated with platform implementation. Strong partnerships contribute to successful service delivery.</w:t>
      </w:r>
    </w:p>
    <w:p w:rsidR="00DB4396" w:rsidP="6BA81473" w:rsidRDefault="5B0BB95F" w14:paraId="63D6872E" w14:textId="4F5C9A15">
      <w:pPr>
        <w:pStyle w:val="Heading3"/>
      </w:pPr>
      <w:r w:rsidRPr="6BA81473">
        <w:rPr>
          <w:rFonts w:ascii="Arial" w:hAnsi="Arial" w:eastAsia="Arial" w:cs="Arial"/>
          <w:sz w:val="24"/>
          <w:szCs w:val="24"/>
        </w:rPr>
        <w:t>Technology Vendors</w:t>
      </w:r>
    </w:p>
    <w:p w:rsidR="00DB4396" w:rsidRDefault="5B0BB95F" w14:paraId="3FA055D0" w14:textId="6C2C7D79">
      <w:r w:rsidRPr="6BA81473">
        <w:rPr>
          <w:rFonts w:ascii="Arial" w:hAnsi="Arial" w:eastAsia="Arial" w:cs="Arial"/>
        </w:rPr>
        <w:t>External technology providers may supply software, cloud infrastructure, AI tools, and technical support services required for ConnectPlus. Their expertise supports innovation and system reliability.</w:t>
      </w:r>
    </w:p>
    <w:p w:rsidR="00DB4396" w:rsidP="6BA81473" w:rsidRDefault="5B0BB95F" w14:paraId="7B62B1D0" w14:textId="13EB2CD3">
      <w:pPr>
        <w:pStyle w:val="Heading3"/>
      </w:pPr>
      <w:r w:rsidRPr="6BA81473">
        <w:rPr>
          <w:rFonts w:ascii="Arial" w:hAnsi="Arial" w:eastAsia="Arial" w:cs="Arial"/>
          <w:sz w:val="24"/>
          <w:szCs w:val="24"/>
        </w:rPr>
        <w:t>Regulatory Authorities</w:t>
      </w:r>
    </w:p>
    <w:p w:rsidR="00DB4396" w:rsidRDefault="5B0BB95F" w14:paraId="5E538661" w14:textId="0607FC84">
      <w:r w:rsidRPr="6BA81473">
        <w:rPr>
          <w:rFonts w:ascii="Arial" w:hAnsi="Arial" w:eastAsia="Arial" w:cs="Arial"/>
        </w:rPr>
        <w:t>Regulators play a significant role in ensuring compliance with data protection laws such as GDPR and consumer protection regulations. Failure to meet regulatory requirements could result in legal penalties and reputational damage.</w:t>
      </w:r>
    </w:p>
    <w:p w:rsidR="00DB4396" w:rsidP="6BA81473" w:rsidRDefault="5B0BB95F" w14:paraId="6B8D148E" w14:textId="10295025">
      <w:pPr>
        <w:pStyle w:val="Heading3"/>
      </w:pPr>
      <w:r w:rsidRPr="6BA81473">
        <w:rPr>
          <w:rFonts w:ascii="Arial" w:hAnsi="Arial" w:eastAsia="Arial" w:cs="Arial"/>
          <w:sz w:val="24"/>
          <w:szCs w:val="24"/>
        </w:rPr>
        <w:t>Local Communities and Consumer Advocacy Groups</w:t>
      </w:r>
    </w:p>
    <w:p w:rsidR="00DB4396" w:rsidRDefault="5B0BB95F" w14:paraId="3EDCE090" w14:textId="1A727AB3">
      <w:r w:rsidRPr="6BA81473">
        <w:rPr>
          <w:rFonts w:ascii="Arial" w:hAnsi="Arial" w:eastAsia="Arial" w:cs="Arial"/>
        </w:rPr>
        <w:t>These stakeholders influence public perception of Amazon's business practices, particularly concerning ethical issues such as data privacy, AI transparency, and corporate responsibility.</w:t>
      </w:r>
    </w:p>
    <w:p w:rsidR="00DB4396" w:rsidRDefault="00DB4396" w14:paraId="6B1488A6" w14:textId="01BAD323"/>
    <w:p w:rsidR="00DB4396" w:rsidP="6BA81473" w:rsidRDefault="5B0BB95F" w14:paraId="558733E3" w14:textId="04BBBA57">
      <w:pPr>
        <w:pStyle w:val="Heading2"/>
      </w:pPr>
      <w:r w:rsidRPr="6BA81473">
        <w:rPr>
          <w:rFonts w:ascii="Arial" w:hAnsi="Arial" w:eastAsia="Arial" w:cs="Arial"/>
          <w:sz w:val="24"/>
          <w:szCs w:val="24"/>
        </w:rPr>
        <w:t>3.3 Application of Mendelow's Power-Interest Matrix</w:t>
      </w:r>
    </w:p>
    <w:p w:rsidR="0E2AAE90" w:rsidP="0E2AAE90" w:rsidRDefault="0E2AAE90" w14:paraId="4B630985" w14:textId="0A7AD7B4">
      <w:pPr>
        <w:pStyle w:val="Heading3"/>
        <w:rPr>
          <w:rFonts w:ascii="Arial" w:hAnsi="Arial" w:eastAsia="Arial" w:cs="Arial"/>
          <w:sz w:val="24"/>
          <w:szCs w:val="24"/>
        </w:rPr>
      </w:pPr>
    </w:p>
    <w:p w:rsidR="00DB4396" w:rsidP="6BA81473" w:rsidRDefault="5B0BB95F" w14:paraId="125A1A84" w14:textId="7EE7BEA7">
      <w:pPr>
        <w:pStyle w:val="Heading3"/>
      </w:pPr>
      <w:r w:rsidRPr="6BA81473">
        <w:rPr>
          <w:rFonts w:ascii="Arial" w:hAnsi="Arial" w:eastAsia="Arial" w:cs="Arial"/>
          <w:sz w:val="24"/>
          <w:szCs w:val="24"/>
        </w:rPr>
        <w:t>High Power – High Interest (Manage Closely)</w:t>
      </w:r>
    </w:p>
    <w:p w:rsidR="00DB4396" w:rsidP="6BA81473" w:rsidRDefault="5B0BB95F" w14:paraId="4304B5A0" w14:textId="61E67CE6">
      <w:pPr>
        <w:pStyle w:val="ListParagraph"/>
        <w:numPr>
          <w:ilvl w:val="0"/>
          <w:numId w:val="1"/>
        </w:numPr>
        <w:spacing w:after="0"/>
        <w:rPr>
          <w:rFonts w:ascii="Arial" w:hAnsi="Arial" w:eastAsia="Arial" w:cs="Arial"/>
        </w:rPr>
      </w:pPr>
      <w:r w:rsidRPr="6BA81473">
        <w:rPr>
          <w:rFonts w:ascii="Arial" w:hAnsi="Arial" w:eastAsia="Arial" w:cs="Arial"/>
        </w:rPr>
        <w:t>Senior Management</w:t>
      </w:r>
    </w:p>
    <w:p w:rsidR="00DB4396" w:rsidP="6BA81473" w:rsidRDefault="5B0BB95F" w14:paraId="1716BE09" w14:textId="4E699879">
      <w:pPr>
        <w:pStyle w:val="ListParagraph"/>
        <w:numPr>
          <w:ilvl w:val="0"/>
          <w:numId w:val="1"/>
        </w:numPr>
        <w:spacing w:after="0"/>
        <w:rPr>
          <w:rFonts w:ascii="Arial" w:hAnsi="Arial" w:eastAsia="Arial" w:cs="Arial"/>
        </w:rPr>
      </w:pPr>
      <w:r w:rsidRPr="6BA81473">
        <w:rPr>
          <w:rFonts w:ascii="Arial" w:hAnsi="Arial" w:eastAsia="Arial" w:cs="Arial"/>
        </w:rPr>
        <w:t>Project Management Team</w:t>
      </w:r>
    </w:p>
    <w:p w:rsidR="00DB4396" w:rsidP="6BA81473" w:rsidRDefault="5B0BB95F" w14:paraId="033A0D19" w14:textId="72E41D2E">
      <w:pPr>
        <w:pStyle w:val="ListParagraph"/>
        <w:numPr>
          <w:ilvl w:val="0"/>
          <w:numId w:val="1"/>
        </w:numPr>
        <w:spacing w:after="0"/>
        <w:rPr>
          <w:rFonts w:ascii="Arial" w:hAnsi="Arial" w:eastAsia="Arial" w:cs="Arial"/>
        </w:rPr>
      </w:pPr>
      <w:r w:rsidRPr="6BA81473">
        <w:rPr>
          <w:rFonts w:ascii="Arial" w:hAnsi="Arial" w:eastAsia="Arial" w:cs="Arial"/>
        </w:rPr>
        <w:t>Regulatory Authorities</w:t>
      </w:r>
    </w:p>
    <w:p w:rsidR="00DB4396" w:rsidP="6BA81473" w:rsidRDefault="5B0BB95F" w14:paraId="4B52DC44" w14:textId="6828879F">
      <w:pPr>
        <w:pStyle w:val="ListParagraph"/>
        <w:numPr>
          <w:ilvl w:val="0"/>
          <w:numId w:val="1"/>
        </w:numPr>
        <w:spacing w:after="0"/>
        <w:rPr>
          <w:rFonts w:ascii="Arial" w:hAnsi="Arial" w:eastAsia="Arial" w:cs="Arial"/>
        </w:rPr>
      </w:pPr>
      <w:r w:rsidRPr="6BA81473">
        <w:rPr>
          <w:rFonts w:ascii="Arial" w:hAnsi="Arial" w:eastAsia="Arial" w:cs="Arial"/>
        </w:rPr>
        <w:t>Major Investors</w:t>
      </w:r>
    </w:p>
    <w:p w:rsidR="00DB4396" w:rsidRDefault="5B0BB95F" w14:paraId="1E5CEDC7" w14:textId="02EFA046">
      <w:r w:rsidRPr="6BA81473">
        <w:rPr>
          <w:rFonts w:ascii="Arial" w:hAnsi="Arial" w:eastAsia="Arial" w:cs="Arial"/>
        </w:rPr>
        <w:t>These stakeholders possess significant influence and require continuous communication and involvement in decision-making processes.</w:t>
      </w:r>
    </w:p>
    <w:p w:rsidR="00DB4396" w:rsidP="6BA81473" w:rsidRDefault="5B0BB95F" w14:paraId="7E61A4F7" w14:textId="38E97A87">
      <w:pPr>
        <w:pStyle w:val="Heading3"/>
      </w:pPr>
      <w:r w:rsidRPr="6BA81473">
        <w:rPr>
          <w:rFonts w:ascii="Arial" w:hAnsi="Arial" w:eastAsia="Arial" w:cs="Arial"/>
          <w:sz w:val="24"/>
          <w:szCs w:val="24"/>
        </w:rPr>
        <w:t>High Power – Low Interest (Keep Satisfied)</w:t>
      </w:r>
    </w:p>
    <w:p w:rsidR="00DB4396" w:rsidP="6BA81473" w:rsidRDefault="5B0BB95F" w14:paraId="566BC4B6" w14:textId="3D43EF52">
      <w:pPr>
        <w:pStyle w:val="ListParagraph"/>
        <w:numPr>
          <w:ilvl w:val="0"/>
          <w:numId w:val="4"/>
        </w:numPr>
        <w:spacing w:after="0"/>
        <w:rPr>
          <w:rFonts w:ascii="Arial" w:hAnsi="Arial" w:eastAsia="Arial" w:cs="Arial"/>
        </w:rPr>
      </w:pPr>
      <w:r w:rsidRPr="6BA81473">
        <w:rPr>
          <w:rFonts w:ascii="Arial" w:hAnsi="Arial" w:eastAsia="Arial" w:cs="Arial"/>
        </w:rPr>
        <w:t>Technology Vendors</w:t>
      </w:r>
    </w:p>
    <w:p w:rsidR="00DB4396" w:rsidP="6BA81473" w:rsidRDefault="5B0BB95F" w14:paraId="045C92E0" w14:textId="0C8D1C24">
      <w:pPr>
        <w:pStyle w:val="ListParagraph"/>
        <w:numPr>
          <w:ilvl w:val="0"/>
          <w:numId w:val="4"/>
        </w:numPr>
        <w:spacing w:after="0"/>
        <w:rPr>
          <w:rFonts w:ascii="Arial" w:hAnsi="Arial" w:eastAsia="Arial" w:cs="Arial"/>
        </w:rPr>
      </w:pPr>
      <w:r w:rsidRPr="6BA81473">
        <w:rPr>
          <w:rFonts w:ascii="Arial" w:hAnsi="Arial" w:eastAsia="Arial" w:cs="Arial"/>
        </w:rPr>
        <w:t>Strategic Business Partners</w:t>
      </w:r>
    </w:p>
    <w:p w:rsidR="00DB4396" w:rsidRDefault="5B0BB95F" w14:paraId="51377B8F" w14:textId="79F2DCBA">
      <w:r w:rsidRPr="6BA81473">
        <w:rPr>
          <w:rFonts w:ascii="Arial" w:hAnsi="Arial" w:eastAsia="Arial" w:cs="Arial"/>
        </w:rPr>
        <w:t>Although these stakeholders have considerable influence, they may not be involved in daily project activities. Regular updates help maintain their support.</w:t>
      </w:r>
    </w:p>
    <w:p w:rsidR="00DB4396" w:rsidP="6BA81473" w:rsidRDefault="5B0BB95F" w14:paraId="230AD483" w14:textId="443E5528">
      <w:pPr>
        <w:pStyle w:val="Heading3"/>
      </w:pPr>
      <w:r w:rsidRPr="6BA81473">
        <w:rPr>
          <w:rFonts w:ascii="Arial" w:hAnsi="Arial" w:eastAsia="Arial" w:cs="Arial"/>
          <w:sz w:val="24"/>
          <w:szCs w:val="24"/>
        </w:rPr>
        <w:t>Low Power – High Interest (Keep Informed)</w:t>
      </w:r>
    </w:p>
    <w:p w:rsidR="00DB4396" w:rsidP="6BA81473" w:rsidRDefault="5B0BB95F" w14:paraId="1A65E5AB" w14:textId="0ADD4646">
      <w:pPr>
        <w:pStyle w:val="ListParagraph"/>
        <w:numPr>
          <w:ilvl w:val="0"/>
          <w:numId w:val="7"/>
        </w:numPr>
        <w:spacing w:after="0"/>
        <w:rPr>
          <w:rFonts w:ascii="Arial" w:hAnsi="Arial" w:eastAsia="Arial" w:cs="Arial"/>
        </w:rPr>
      </w:pPr>
      <w:r w:rsidRPr="6BA81473">
        <w:rPr>
          <w:rFonts w:ascii="Arial" w:hAnsi="Arial" w:eastAsia="Arial" w:cs="Arial"/>
        </w:rPr>
        <w:t>Customers</w:t>
      </w:r>
    </w:p>
    <w:p w:rsidR="00DB4396" w:rsidP="6BA81473" w:rsidRDefault="5B0BB95F" w14:paraId="0C5FA39D" w14:textId="52CCE792">
      <w:pPr>
        <w:pStyle w:val="ListParagraph"/>
        <w:numPr>
          <w:ilvl w:val="0"/>
          <w:numId w:val="7"/>
        </w:numPr>
        <w:spacing w:after="0"/>
        <w:rPr>
          <w:rFonts w:ascii="Arial" w:hAnsi="Arial" w:eastAsia="Arial" w:cs="Arial"/>
        </w:rPr>
      </w:pPr>
      <w:r w:rsidRPr="6BA81473">
        <w:rPr>
          <w:rFonts w:ascii="Arial" w:hAnsi="Arial" w:eastAsia="Arial" w:cs="Arial"/>
        </w:rPr>
        <w:t>Customer Service Employees</w:t>
      </w:r>
    </w:p>
    <w:p w:rsidR="00DB4396" w:rsidP="6BA81473" w:rsidRDefault="5B0BB95F" w14:paraId="7766A63E" w14:textId="2C4364B4">
      <w:pPr>
        <w:pStyle w:val="ListParagraph"/>
        <w:numPr>
          <w:ilvl w:val="0"/>
          <w:numId w:val="7"/>
        </w:numPr>
        <w:spacing w:after="0"/>
        <w:rPr>
          <w:rFonts w:ascii="Arial" w:hAnsi="Arial" w:eastAsia="Arial" w:cs="Arial"/>
        </w:rPr>
      </w:pPr>
      <w:r w:rsidRPr="6BA81473">
        <w:rPr>
          <w:rFonts w:ascii="Arial" w:hAnsi="Arial" w:eastAsia="Arial" w:cs="Arial"/>
        </w:rPr>
        <w:t>Sales Teams</w:t>
      </w:r>
    </w:p>
    <w:p w:rsidR="00DB4396" w:rsidRDefault="5B0BB95F" w14:paraId="034B346B" w14:textId="07B8D1EC">
      <w:r w:rsidRPr="6BA81473">
        <w:rPr>
          <w:rFonts w:ascii="Arial" w:hAnsi="Arial" w:eastAsia="Arial" w:cs="Arial"/>
        </w:rPr>
        <w:t>These stakeholders are highly interested in project outcomes but have limited authority. Frequent communication and consultation are necessary to maintain engagement.</w:t>
      </w:r>
    </w:p>
    <w:p w:rsidR="00DB4396" w:rsidP="6BA81473" w:rsidRDefault="5B0BB95F" w14:paraId="4C0DFE21" w14:textId="4F3108D2">
      <w:pPr>
        <w:pStyle w:val="Heading3"/>
      </w:pPr>
      <w:r w:rsidRPr="6BA81473">
        <w:rPr>
          <w:rFonts w:ascii="Arial" w:hAnsi="Arial" w:eastAsia="Arial" w:cs="Arial"/>
          <w:sz w:val="24"/>
          <w:szCs w:val="24"/>
        </w:rPr>
        <w:t>Low Power – Low Interest (Monitor)</w:t>
      </w:r>
    </w:p>
    <w:p w:rsidR="00DB4396" w:rsidP="6BA81473" w:rsidRDefault="5B0BB95F" w14:paraId="0408A2FF" w14:textId="5F9F2C08">
      <w:pPr>
        <w:pStyle w:val="ListParagraph"/>
        <w:numPr>
          <w:ilvl w:val="0"/>
          <w:numId w:val="8"/>
        </w:numPr>
        <w:spacing w:after="0"/>
        <w:rPr>
          <w:rFonts w:ascii="Arial" w:hAnsi="Arial" w:eastAsia="Arial" w:cs="Arial"/>
        </w:rPr>
      </w:pPr>
      <w:r w:rsidRPr="6BA81473">
        <w:rPr>
          <w:rFonts w:ascii="Arial" w:hAnsi="Arial" w:eastAsia="Arial" w:cs="Arial"/>
        </w:rPr>
        <w:t>Local Communities</w:t>
      </w:r>
    </w:p>
    <w:p w:rsidR="00DB4396" w:rsidP="6BA81473" w:rsidRDefault="5B0BB95F" w14:paraId="2604DDE3" w14:textId="1B039A80">
      <w:pPr>
        <w:pStyle w:val="ListParagraph"/>
        <w:numPr>
          <w:ilvl w:val="0"/>
          <w:numId w:val="8"/>
        </w:numPr>
        <w:spacing w:after="0"/>
        <w:rPr>
          <w:rFonts w:ascii="Arial" w:hAnsi="Arial" w:eastAsia="Arial" w:cs="Arial"/>
        </w:rPr>
      </w:pPr>
      <w:r w:rsidRPr="6BA81473">
        <w:rPr>
          <w:rFonts w:ascii="Arial" w:hAnsi="Arial" w:eastAsia="Arial" w:cs="Arial"/>
        </w:rPr>
        <w:t>Consumer Interest Groups</w:t>
      </w:r>
    </w:p>
    <w:p w:rsidR="00DB4396" w:rsidRDefault="5B0BB95F" w14:paraId="67FEC599" w14:textId="65E860F3">
      <w:r w:rsidRPr="6BA81473">
        <w:rPr>
          <w:rFonts w:ascii="Arial" w:hAnsi="Arial" w:eastAsia="Arial" w:cs="Arial"/>
        </w:rPr>
        <w:t>These stakeholders require monitoring to identify emerging concerns that could affect organisational reputation.</w:t>
      </w:r>
    </w:p>
    <w:p w:rsidR="00DB4396" w:rsidRDefault="5B0BB95F" w14:paraId="52D4E9F9" w14:textId="25390EE4">
      <w:r w:rsidRPr="6BA81473">
        <w:rPr>
          <w:rFonts w:ascii="Arial" w:hAnsi="Arial" w:eastAsia="Arial" w:cs="Arial"/>
        </w:rPr>
        <w:t>The Power-Interest Matrix enables Amazon to allocate stakeholder management efforts efficiently and prioritise engagement activities based on stakeholder influence and project impact.</w:t>
      </w:r>
    </w:p>
    <w:p w:rsidR="00DB4396" w:rsidRDefault="00DB4396" w14:paraId="46C1EA1A" w14:textId="367C55EA"/>
    <w:p w:rsidR="00DB4396" w:rsidP="6BA81473" w:rsidRDefault="5B0BB95F" w14:paraId="4AF9814F" w14:textId="51BFB6C7">
      <w:pPr>
        <w:pStyle w:val="Heading2"/>
      </w:pPr>
      <w:r w:rsidRPr="1355A7E2" w:rsidR="5B0BB95F">
        <w:rPr>
          <w:rFonts w:ascii="Arial" w:hAnsi="Arial" w:eastAsia="Arial" w:cs="Arial"/>
          <w:sz w:val="24"/>
          <w:szCs w:val="24"/>
        </w:rPr>
        <w:t>3.4 Application of the Stakeholder Salience Model</w:t>
      </w:r>
    </w:p>
    <w:p w:rsidR="5B0BB95F" w:rsidRDefault="5B0BB95F" w14:paraId="56DEEB53" w14:textId="54558BF7">
      <w:r w:rsidRPr="1355A7E2" w:rsidR="5B0BB95F">
        <w:rPr>
          <w:rFonts w:ascii="Arial" w:hAnsi="Arial" w:eastAsia="Arial" w:cs="Arial"/>
        </w:rPr>
        <w:t>Mitchell, Agle and Wood (1997) proposed that stakeholder importance should be determined according to three attributes: power, legitimacy, and urgency.</w:t>
      </w:r>
    </w:p>
    <w:p w:rsidR="5B0BB95F" w:rsidP="1355A7E2" w:rsidRDefault="5B0BB95F" w14:paraId="23216CC7" w14:textId="0C0D076F">
      <w:pPr>
        <w:pStyle w:val="Heading3"/>
      </w:pPr>
      <w:r w:rsidRPr="1355A7E2" w:rsidR="5B0BB95F">
        <w:rPr>
          <w:rFonts w:ascii="Arial" w:hAnsi="Arial" w:eastAsia="Arial" w:cs="Arial"/>
          <w:sz w:val="24"/>
          <w:szCs w:val="24"/>
        </w:rPr>
        <w:t>Definitive Stakeholders</w:t>
      </w:r>
    </w:p>
    <w:p w:rsidR="5B0BB95F" w:rsidP="1355A7E2" w:rsidRDefault="5B0BB95F" w14:paraId="49B04B44" w14:textId="7F5647B3">
      <w:pPr>
        <w:rPr>
          <w:rFonts w:ascii="Arial" w:hAnsi="Arial" w:eastAsia="Arial" w:cs="Arial"/>
        </w:rPr>
      </w:pPr>
      <w:bookmarkStart w:name="_Int_I7aKMppM" w:id="249673355"/>
      <w:r w:rsidRPr="1355A7E2" w:rsidR="5B0BB95F">
        <w:rPr>
          <w:rFonts w:ascii="Arial" w:hAnsi="Arial" w:eastAsia="Arial" w:cs="Arial"/>
        </w:rPr>
        <w:t>Definitive stakeholders possess all three attributes and require immediate attention.</w:t>
      </w:r>
      <w:bookmarkEnd w:id="249673355"/>
    </w:p>
    <w:p w:rsidR="5B0BB95F" w:rsidP="1355A7E2" w:rsidRDefault="5B0BB95F" w14:paraId="2C2114EA" w14:textId="082EBCF8">
      <w:pPr>
        <w:pStyle w:val="ListParagraph"/>
        <w:numPr>
          <w:ilvl w:val="0"/>
          <w:numId w:val="17"/>
        </w:numPr>
        <w:spacing w:after="0"/>
        <w:rPr>
          <w:rFonts w:ascii="Arial" w:hAnsi="Arial" w:eastAsia="Arial" w:cs="Arial"/>
        </w:rPr>
      </w:pPr>
      <w:r w:rsidRPr="1355A7E2" w:rsidR="5B0BB95F">
        <w:rPr>
          <w:rFonts w:ascii="Arial" w:hAnsi="Arial" w:eastAsia="Arial" w:cs="Arial"/>
        </w:rPr>
        <w:t>Senior Management</w:t>
      </w:r>
    </w:p>
    <w:p w:rsidR="5B0BB95F" w:rsidP="1355A7E2" w:rsidRDefault="5B0BB95F" w14:paraId="08D64C19" w14:textId="4A8B5BCE">
      <w:pPr>
        <w:pStyle w:val="ListParagraph"/>
        <w:numPr>
          <w:ilvl w:val="0"/>
          <w:numId w:val="17"/>
        </w:numPr>
        <w:spacing w:after="0"/>
        <w:rPr>
          <w:rFonts w:ascii="Arial" w:hAnsi="Arial" w:eastAsia="Arial" w:cs="Arial"/>
        </w:rPr>
      </w:pPr>
      <w:r w:rsidRPr="1355A7E2" w:rsidR="5B0BB95F">
        <w:rPr>
          <w:rFonts w:ascii="Arial" w:hAnsi="Arial" w:eastAsia="Arial" w:cs="Arial"/>
        </w:rPr>
        <w:t>Regulatory Authorities</w:t>
      </w:r>
    </w:p>
    <w:p w:rsidR="5B0BB95F" w:rsidRDefault="5B0BB95F" w14:paraId="68A833F1" w14:textId="0C62808B">
      <w:r w:rsidRPr="1355A7E2" w:rsidR="5B0BB95F">
        <w:rPr>
          <w:rFonts w:ascii="Arial" w:hAnsi="Arial" w:eastAsia="Arial" w:cs="Arial"/>
        </w:rPr>
        <w:t>These stakeholders have the authority to influence project decisions and can significantly affect project outcomes.</w:t>
      </w:r>
    </w:p>
    <w:p w:rsidR="5B0BB95F" w:rsidP="1355A7E2" w:rsidRDefault="5B0BB95F" w14:paraId="51D85BE7" w14:textId="16DCCCF9">
      <w:pPr>
        <w:pStyle w:val="Heading3"/>
      </w:pPr>
      <w:r w:rsidRPr="1355A7E2" w:rsidR="5B0BB95F">
        <w:rPr>
          <w:rFonts w:ascii="Arial" w:hAnsi="Arial" w:eastAsia="Arial" w:cs="Arial"/>
          <w:sz w:val="24"/>
          <w:szCs w:val="24"/>
        </w:rPr>
        <w:t>Dominant Stakeholders</w:t>
      </w:r>
    </w:p>
    <w:p w:rsidR="5B0BB95F" w:rsidRDefault="5B0BB95F" w14:paraId="2669B2A1" w14:textId="761CBF55">
      <w:r w:rsidRPr="1355A7E2" w:rsidR="5B0BB95F">
        <w:rPr>
          <w:rFonts w:ascii="Arial" w:hAnsi="Arial" w:eastAsia="Arial" w:cs="Arial"/>
        </w:rPr>
        <w:t>Dominant stakeholders possess power and legitimacy but may not have urgent claims.</w:t>
      </w:r>
    </w:p>
    <w:p w:rsidR="5B0BB95F" w:rsidP="1355A7E2" w:rsidRDefault="5B0BB95F" w14:paraId="7133691B" w14:textId="3ABB5C97">
      <w:pPr>
        <w:pStyle w:val="ListParagraph"/>
        <w:numPr>
          <w:ilvl w:val="0"/>
          <w:numId w:val="15"/>
        </w:numPr>
        <w:spacing w:after="0"/>
        <w:rPr>
          <w:rFonts w:ascii="Arial" w:hAnsi="Arial" w:eastAsia="Arial" w:cs="Arial"/>
        </w:rPr>
      </w:pPr>
      <w:r w:rsidRPr="1355A7E2" w:rsidR="5B0BB95F">
        <w:rPr>
          <w:rFonts w:ascii="Arial" w:hAnsi="Arial" w:eastAsia="Arial" w:cs="Arial"/>
        </w:rPr>
        <w:t>Investors</w:t>
      </w:r>
    </w:p>
    <w:p w:rsidR="5B0BB95F" w:rsidP="1355A7E2" w:rsidRDefault="5B0BB95F" w14:paraId="285757DE" w14:textId="3198D016">
      <w:pPr>
        <w:pStyle w:val="ListParagraph"/>
        <w:numPr>
          <w:ilvl w:val="0"/>
          <w:numId w:val="15"/>
        </w:numPr>
        <w:spacing w:after="0"/>
        <w:rPr>
          <w:rFonts w:ascii="Arial" w:hAnsi="Arial" w:eastAsia="Arial" w:cs="Arial"/>
        </w:rPr>
      </w:pPr>
      <w:r w:rsidRPr="1355A7E2" w:rsidR="5B0BB95F">
        <w:rPr>
          <w:rFonts w:ascii="Arial" w:hAnsi="Arial" w:eastAsia="Arial" w:cs="Arial"/>
        </w:rPr>
        <w:t>Technology Partners</w:t>
      </w:r>
    </w:p>
    <w:p w:rsidR="5B0BB95F" w:rsidRDefault="5B0BB95F" w14:paraId="0AEE5839" w14:textId="21DF3BBF">
      <w:r w:rsidRPr="1355A7E2" w:rsidR="5B0BB95F">
        <w:rPr>
          <w:rFonts w:ascii="Arial" w:hAnsi="Arial" w:eastAsia="Arial" w:cs="Arial"/>
        </w:rPr>
        <w:t>Their support is important for securing financial and technical resources.</w:t>
      </w:r>
    </w:p>
    <w:p w:rsidR="5B0BB95F" w:rsidP="1355A7E2" w:rsidRDefault="5B0BB95F" w14:paraId="25A8E2B8" w14:textId="5FABA927">
      <w:pPr>
        <w:pStyle w:val="Heading3"/>
      </w:pPr>
      <w:r w:rsidRPr="1355A7E2" w:rsidR="5B0BB95F">
        <w:rPr>
          <w:rFonts w:ascii="Arial" w:hAnsi="Arial" w:eastAsia="Arial" w:cs="Arial"/>
          <w:sz w:val="24"/>
          <w:szCs w:val="24"/>
        </w:rPr>
        <w:t>Dependent Stakeholders</w:t>
      </w:r>
    </w:p>
    <w:p w:rsidR="5B0BB95F" w:rsidRDefault="5B0BB95F" w14:paraId="7F3D9B0F" w14:textId="085C87F2">
      <w:r w:rsidRPr="1355A7E2" w:rsidR="5B0BB95F">
        <w:rPr>
          <w:rFonts w:ascii="Arial" w:hAnsi="Arial" w:eastAsia="Arial" w:cs="Arial"/>
        </w:rPr>
        <w:t>Dependent stakeholders possess legitimacy and urgency but limited power.</w:t>
      </w:r>
    </w:p>
    <w:p w:rsidR="5B0BB95F" w:rsidP="1355A7E2" w:rsidRDefault="5B0BB95F" w14:paraId="2BA0C28E" w14:textId="59310345">
      <w:pPr>
        <w:pStyle w:val="ListParagraph"/>
        <w:numPr>
          <w:ilvl w:val="0"/>
          <w:numId w:val="9"/>
        </w:numPr>
        <w:spacing w:after="0"/>
        <w:rPr>
          <w:rFonts w:ascii="Arial" w:hAnsi="Arial" w:eastAsia="Arial" w:cs="Arial"/>
        </w:rPr>
      </w:pPr>
      <w:r w:rsidRPr="1355A7E2" w:rsidR="5B0BB95F">
        <w:rPr>
          <w:rFonts w:ascii="Arial" w:hAnsi="Arial" w:eastAsia="Arial" w:cs="Arial"/>
        </w:rPr>
        <w:t>Customers</w:t>
      </w:r>
    </w:p>
    <w:p w:rsidR="5B0BB95F" w:rsidP="1355A7E2" w:rsidRDefault="5B0BB95F" w14:paraId="1319E60B" w14:textId="0BC2BDAA">
      <w:pPr>
        <w:pStyle w:val="ListParagraph"/>
        <w:numPr>
          <w:ilvl w:val="0"/>
          <w:numId w:val="9"/>
        </w:numPr>
        <w:spacing w:after="0"/>
        <w:rPr>
          <w:rFonts w:ascii="Arial" w:hAnsi="Arial" w:eastAsia="Arial" w:cs="Arial"/>
        </w:rPr>
      </w:pPr>
      <w:r w:rsidRPr="1355A7E2" w:rsidR="5B0BB95F">
        <w:rPr>
          <w:rFonts w:ascii="Arial" w:hAnsi="Arial" w:eastAsia="Arial" w:cs="Arial"/>
        </w:rPr>
        <w:t>Employees</w:t>
      </w:r>
    </w:p>
    <w:p w:rsidR="5B0BB95F" w:rsidRDefault="5B0BB95F" w14:paraId="6B41762D" w14:textId="55B30737">
      <w:r w:rsidRPr="1355A7E2" w:rsidR="5B0BB95F">
        <w:rPr>
          <w:rFonts w:ascii="Arial" w:hAnsi="Arial" w:eastAsia="Arial" w:cs="Arial"/>
        </w:rPr>
        <w:t>Although they may lack decision-making authority, their needs and concerns must be addressed to ensure successful adoption and stakeholder satisfaction.</w:t>
      </w:r>
    </w:p>
    <w:p w:rsidR="5B0BB95F" w:rsidRDefault="5B0BB95F" w14:paraId="568A74D8" w14:textId="0408DC89">
      <w:r w:rsidRPr="1355A7E2" w:rsidR="5B0BB95F">
        <w:rPr>
          <w:rFonts w:ascii="Arial" w:hAnsi="Arial" w:eastAsia="Arial" w:cs="Arial"/>
        </w:rPr>
        <w:t>The Salience Model provides Amazon with a more dynamic approach to stakeholder prioritisation than traditional stakeholder mapping because it considers changing stakeholder influence throughout the project lifecycle.</w:t>
      </w:r>
    </w:p>
    <w:p w:rsidR="5B0BB95F" w:rsidRDefault="5B0BB95F" w14:paraId="240931BC" w14:textId="684C3C88">
      <w:r w:rsidRPr="1355A7E2" w:rsidR="5B0BB95F">
        <w:rPr>
          <w:rFonts w:ascii="Arial" w:hAnsi="Arial" w:eastAsia="Arial" w:cs="Arial"/>
        </w:rPr>
        <w:t>In conclusion, the combination of Mendelow's Power-Interest Matrix and the Stakeholder Salience Model enables Amazon to systematically identify, classify, and prioritise stakeholders involved in the ConnectPlus project. These frameworks provide the foundation for developing effective stakeholder engagement strategies that support collaboration, trust, and successful project implementation across international markets.</w:t>
      </w:r>
    </w:p>
    <w:p w:rsidR="00DB4396" w:rsidP="6BA81473" w:rsidRDefault="5B0BB95F" w14:paraId="64346E93" w14:textId="53DEA87E">
      <w:pPr>
        <w:pStyle w:val="Heading1"/>
      </w:pPr>
      <w:r w:rsidRPr="1355A7E2" w:rsidR="5B0BB95F">
        <w:rPr>
          <w:rFonts w:ascii="Arial" w:hAnsi="Arial" w:eastAsia="Arial" w:cs="Arial"/>
          <w:sz w:val="24"/>
          <w:szCs w:val="24"/>
        </w:rPr>
        <w:t>4. Roles, Responsibilities, Benefits and Challenges of Key Stakeholders</w:t>
      </w:r>
    </w:p>
    <w:p w:rsidR="00DB4396" w:rsidRDefault="5B0BB95F" w14:paraId="3F71F11A" w14:textId="36BE1D85">
      <w:r w:rsidRPr="6BA81473">
        <w:rPr>
          <w:rFonts w:ascii="Arial" w:hAnsi="Arial" w:eastAsia="Arial" w:cs="Arial"/>
        </w:rPr>
        <w:t>The successful implementation of Amazon's ConnectPlus platform depends on the contribution of various internal and external stakeholders. Each stakeholder group has specific roles and responsibilities that influence project outcomes. While stakeholders provide valuable benefits to the project, they may also encounter challenges that could affect their level of engagement and support.</w:t>
      </w:r>
    </w:p>
    <w:p w:rsidR="00DB4396" w:rsidP="6BA81473" w:rsidRDefault="5B0BB95F" w14:paraId="2C8B585C" w14:textId="31A82132">
      <w:pPr>
        <w:pStyle w:val="Heading2"/>
      </w:pPr>
      <w:r w:rsidRPr="6BA81473">
        <w:rPr>
          <w:rFonts w:ascii="Arial" w:hAnsi="Arial" w:eastAsia="Arial" w:cs="Arial"/>
          <w:sz w:val="24"/>
          <w:szCs w:val="24"/>
        </w:rPr>
        <w:t>Senior Management</w:t>
      </w:r>
    </w:p>
    <w:p w:rsidR="00DB4396" w:rsidRDefault="5B0BB95F" w14:paraId="4700C12E" w14:textId="193077A6">
      <w:r w:rsidRPr="6BA81473">
        <w:rPr>
          <w:rFonts w:ascii="Arial" w:hAnsi="Arial" w:eastAsia="Arial" w:cs="Arial"/>
        </w:rPr>
        <w:t>Senior management plays a strategic role by providing leadership, approving budgets, allocating resources, and ensuring that ConnectPlus aligns with Amazon's corporate objectives. They are responsible for overseeing project governance and making critical decisions throughout the project lifecycle. Their support brings significant benefits, including strategic direction, financial investment, and organisational commitment. However, senior managers may face challenges in balancing stakeholder expectations, managing project risks, and ensuring that the project delivers a satisfactory return on investment.</w:t>
      </w:r>
    </w:p>
    <w:p w:rsidR="00DB4396" w:rsidP="6BA81473" w:rsidRDefault="5B0BB95F" w14:paraId="314806BB" w14:textId="5313D80B">
      <w:pPr>
        <w:pStyle w:val="Heading2"/>
      </w:pPr>
      <w:r w:rsidRPr="6BA81473">
        <w:rPr>
          <w:rFonts w:ascii="Arial" w:hAnsi="Arial" w:eastAsia="Arial" w:cs="Arial"/>
          <w:sz w:val="24"/>
          <w:szCs w:val="24"/>
        </w:rPr>
        <w:t>Project Management Team</w:t>
      </w:r>
    </w:p>
    <w:p w:rsidR="00DB4396" w:rsidRDefault="5B0BB95F" w14:paraId="7EA7DBDA" w14:textId="709519E1">
      <w:r w:rsidRPr="6BA81473">
        <w:rPr>
          <w:rFonts w:ascii="Arial" w:hAnsi="Arial" w:eastAsia="Arial" w:cs="Arial"/>
        </w:rPr>
        <w:t xml:space="preserve">The project management team is responsible for planning, coordinating, monitoring, and controlling project activities. </w:t>
      </w:r>
      <w:bookmarkStart w:name="_Int_8gJa8oV7" w:id="1810135044"/>
      <w:r w:rsidRPr="6BA81473">
        <w:rPr>
          <w:rFonts w:ascii="Arial" w:hAnsi="Arial" w:eastAsia="Arial" w:cs="Arial"/>
        </w:rPr>
        <w:t>They ensure that project objectives are achieved within agreed time, cost, and quality constraints.</w:t>
      </w:r>
      <w:bookmarkEnd w:id="1810135044"/>
      <w:r w:rsidRPr="6BA81473">
        <w:rPr>
          <w:rFonts w:ascii="Arial" w:hAnsi="Arial" w:eastAsia="Arial" w:cs="Arial"/>
        </w:rPr>
        <w:t xml:space="preserve"> Their contribution helps improve communication, stakeholder coordination, and risk management. Nevertheless, project managers may face challenges such as conflicting stakeholder interests, resource limitations, and pressure to meet deadlines while maintaining project quality.</w:t>
      </w:r>
    </w:p>
    <w:p w:rsidR="00DB4396" w:rsidP="6BA81473" w:rsidRDefault="5B0BB95F" w14:paraId="246BBFF0" w14:textId="4121997A">
      <w:pPr>
        <w:pStyle w:val="Heading2"/>
      </w:pPr>
      <w:r w:rsidRPr="6BA81473">
        <w:rPr>
          <w:rFonts w:ascii="Arial" w:hAnsi="Arial" w:eastAsia="Arial" w:cs="Arial"/>
          <w:sz w:val="24"/>
          <w:szCs w:val="24"/>
        </w:rPr>
        <w:t>Product Development and IT Teams</w:t>
      </w:r>
    </w:p>
    <w:p w:rsidR="00DB4396" w:rsidRDefault="5B0BB95F" w14:paraId="709B5244" w14:textId="55C6BAB8">
      <w:r w:rsidRPr="6BA81473">
        <w:rPr>
          <w:rFonts w:ascii="Arial" w:hAnsi="Arial" w:eastAsia="Arial" w:cs="Arial"/>
        </w:rPr>
        <w:t>The product development and IT teams are responsible for designing, developing, testing, and maintaining the ConnectPlus platform. They ensure that AI-powered recommendations, customer analytics, and mobile reward features function effectively. These teams bring technical expertise, innovation, and problem-solving capabilities that are essential for project success. However, they may encounter challenges including system integration issues, cybersecurity threats, technological complexity, and rapidly changing customer requirements.</w:t>
      </w:r>
    </w:p>
    <w:p w:rsidR="00DB4396" w:rsidP="6BA81473" w:rsidRDefault="5B0BB95F" w14:paraId="434DDF17" w14:textId="548BC1F2">
      <w:pPr>
        <w:pStyle w:val="Heading2"/>
      </w:pPr>
      <w:r w:rsidRPr="6BA81473">
        <w:rPr>
          <w:rFonts w:ascii="Arial" w:hAnsi="Arial" w:eastAsia="Arial" w:cs="Arial"/>
          <w:sz w:val="24"/>
          <w:szCs w:val="24"/>
        </w:rPr>
        <w:t>Marketing and Customer Service Teams</w:t>
      </w:r>
    </w:p>
    <w:p w:rsidR="00DB4396" w:rsidRDefault="5B0BB95F" w14:paraId="0A920CFE" w14:textId="391AD21E">
      <w:r w:rsidRPr="6BA81473">
        <w:rPr>
          <w:rFonts w:ascii="Arial" w:hAnsi="Arial" w:eastAsia="Arial" w:cs="Arial"/>
        </w:rPr>
        <w:t xml:space="preserve">The marketing department is responsible for promoting ConnectPlus and encouraging customer adoption through targeted campaigns. Customer service teams provide direct support to users and gather valuable customer feedback. Their involvement helps improve customer engagement, satisfaction, and platform acceptance. Challenges may include managing customer expectations, </w:t>
      </w:r>
      <w:r w:rsidRPr="6BA81473" w:rsidR="2AF4D057">
        <w:rPr>
          <w:rFonts w:ascii="Arial" w:hAnsi="Arial" w:eastAsia="Arial" w:cs="Arial"/>
        </w:rPr>
        <w:t>address</w:t>
      </w:r>
      <w:r w:rsidRPr="6BA81473">
        <w:rPr>
          <w:rFonts w:ascii="Arial" w:hAnsi="Arial" w:eastAsia="Arial" w:cs="Arial"/>
        </w:rPr>
        <w:t xml:space="preserve"> negative feedback, and adapting communication strategies across different international markets.</w:t>
      </w:r>
    </w:p>
    <w:p w:rsidR="00DB4396" w:rsidP="6BA81473" w:rsidRDefault="5B0BB95F" w14:paraId="2CA1CB89" w14:textId="7C34ABDD">
      <w:pPr>
        <w:pStyle w:val="Heading2"/>
      </w:pPr>
      <w:r w:rsidRPr="6BA81473">
        <w:rPr>
          <w:rFonts w:ascii="Arial" w:hAnsi="Arial" w:eastAsia="Arial" w:cs="Arial"/>
          <w:sz w:val="24"/>
          <w:szCs w:val="24"/>
        </w:rPr>
        <w:t>Customers</w:t>
      </w:r>
    </w:p>
    <w:p w:rsidR="00DB4396" w:rsidRDefault="5B0BB95F" w14:paraId="29EF8E0D" w14:textId="5A8EA0CE">
      <w:r w:rsidRPr="6BA81473">
        <w:rPr>
          <w:rFonts w:ascii="Arial" w:hAnsi="Arial" w:eastAsia="Arial" w:cs="Arial"/>
        </w:rPr>
        <w:t>Customers are the primary beneficiaries of ConnectPlus and play a crucial role in determining its success. Their responsibilities include adopting the platform, participating in loyalty programmes, and providing feedback on user experience. Customers bring benefits through increased engagement, revenue generation, and valuable behavioural insights. However, concerns regarding data privacy, information security, and trust in AI-driven recommendations may reduce their willingness to participate.</w:t>
      </w:r>
    </w:p>
    <w:p w:rsidR="00DB4396" w:rsidP="6BA81473" w:rsidRDefault="5B0BB95F" w14:paraId="241955D9" w14:textId="1DE34C10">
      <w:pPr>
        <w:pStyle w:val="Heading2"/>
      </w:pPr>
      <w:r w:rsidRPr="6BA81473">
        <w:rPr>
          <w:rFonts w:ascii="Arial" w:hAnsi="Arial" w:eastAsia="Arial" w:cs="Arial"/>
          <w:sz w:val="24"/>
          <w:szCs w:val="24"/>
        </w:rPr>
        <w:t>Investors, Technology Partners and Regulators</w:t>
      </w:r>
    </w:p>
    <w:p w:rsidR="00DB4396" w:rsidRDefault="5B0BB95F" w14:paraId="3645D606" w14:textId="0D7FC7EB">
      <w:r w:rsidRPr="6BA81473">
        <w:rPr>
          <w:rFonts w:ascii="Arial" w:hAnsi="Arial" w:eastAsia="Arial" w:cs="Arial"/>
        </w:rPr>
        <w:t>Investors provide financial support and expect improved profitability and long-term business growth. Technology partners contribute specialist knowledge, software solutions, and technical support that enhance platform performance. Regulatory authorities ensure compliance with data protection and consumer protection legislation. These stakeholders provide financial stability, innovation, and legal oversight. However, investors may be concerned about project costs and financial risks, technology partners may face integration challenges, and regulators may impose strict compliance requirements that increase implementation complexity.</w:t>
      </w:r>
    </w:p>
    <w:p w:rsidR="00DB4396" w:rsidRDefault="5B0BB95F" w14:paraId="6E513275" w14:textId="338D1559">
      <w:r w:rsidRPr="6BA81473">
        <w:rPr>
          <w:rFonts w:ascii="Arial" w:hAnsi="Arial" w:eastAsia="Arial" w:cs="Arial"/>
        </w:rPr>
        <w:t>Overall, each stakeholder contributes unique expertise, resources, and perspectives that support the successful implementation of ConnectPlus. Effective stakeholder management is therefore essential to maximise benefits, address challenges, and ensure that stakeholder expectations remain aligned with Amazon's strategic objectives.</w:t>
      </w:r>
    </w:p>
    <w:p w:rsidR="00DB4396" w:rsidP="6BA81473" w:rsidRDefault="0CE7E3C1" w14:paraId="3867BB3E" w14:textId="3178D939">
      <w:pPr>
        <w:pStyle w:val="Heading1"/>
      </w:pPr>
      <w:r w:rsidRPr="6BA81473">
        <w:rPr>
          <w:rFonts w:ascii="Arial" w:hAnsi="Arial" w:eastAsia="Arial" w:cs="Arial"/>
          <w:sz w:val="24"/>
          <w:szCs w:val="24"/>
        </w:rPr>
        <w:t>5. Stakeholder Engagement Process and Conflict Management</w:t>
      </w:r>
    </w:p>
    <w:p w:rsidR="00DB4396" w:rsidRDefault="0CE7E3C1" w14:paraId="20894013" w14:textId="163040E4">
      <w:r w:rsidRPr="6BA81473">
        <w:rPr>
          <w:rFonts w:ascii="Arial" w:hAnsi="Arial" w:eastAsia="Arial" w:cs="Arial"/>
        </w:rPr>
        <w:t>The successful implementation of Amazon's ConnectPlus platform depends on effective stakeholder engagement throughout the project lifecycle. Stakeholder engagement refers to the process of involving individuals and groups who can influence or are affected by a project (Freeman, 1984). Effective engagement helps organisations build trust, encourage collaboration, reduce resistance to change, and improve project outcomes. As Project Manager, I would adopt a structured stakeholder engagement process supported by recognised frameworks including the Stakeholder Matrix, Stakeholder Typology, SWANS and OWANS analysis, Communication Plan, RACI Matrix, and the 4C's Stakeholder Engagement Model.</w:t>
      </w:r>
    </w:p>
    <w:p w:rsidR="00DB4396" w:rsidP="6BA81473" w:rsidRDefault="0CE7E3C1" w14:paraId="07419EC0" w14:textId="5DD5FF94">
      <w:pPr>
        <w:pStyle w:val="Heading2"/>
      </w:pPr>
      <w:r w:rsidRPr="6BA81473">
        <w:rPr>
          <w:rFonts w:ascii="Arial" w:hAnsi="Arial" w:eastAsia="Arial" w:cs="Arial"/>
          <w:sz w:val="24"/>
          <w:szCs w:val="24"/>
        </w:rPr>
        <w:t>5.1 Stakeholder Engagement Process</w:t>
      </w:r>
    </w:p>
    <w:p w:rsidR="00DB4396" w:rsidP="6BA81473" w:rsidRDefault="0CE7E3C1" w14:paraId="701835B0" w14:textId="6F6C77D5">
      <w:pPr>
        <w:pStyle w:val="Heading3"/>
      </w:pPr>
      <w:r w:rsidRPr="6BA81473">
        <w:rPr>
          <w:rFonts w:ascii="Arial" w:hAnsi="Arial" w:eastAsia="Arial" w:cs="Arial"/>
          <w:sz w:val="24"/>
          <w:szCs w:val="24"/>
        </w:rPr>
        <w:t>Stage 1: Stakeholder Identification</w:t>
      </w:r>
    </w:p>
    <w:p w:rsidR="00DB4396" w:rsidRDefault="0CE7E3C1" w14:paraId="097C486F" w14:textId="3071A296">
      <w:r w:rsidRPr="6BA81473">
        <w:rPr>
          <w:rFonts w:ascii="Arial" w:hAnsi="Arial" w:eastAsia="Arial" w:cs="Arial"/>
        </w:rPr>
        <w:t>The first step involves identifying all stakeholders affected by ConnectPlus. This includes internal stakeholders such as senior management, project teams, IT specialists, marketing departments, customer service teams, and employees, as well as external stakeholders including customers, investors, suppliers, technology partners, and regulatory authorities.</w:t>
      </w:r>
    </w:p>
    <w:p w:rsidR="00DB4396" w:rsidRDefault="0CE7E3C1" w14:paraId="033661DC" w14:textId="4F66911E">
      <w:r w:rsidRPr="6BA81473">
        <w:rPr>
          <w:rFonts w:ascii="Arial" w:hAnsi="Arial" w:eastAsia="Arial" w:cs="Arial"/>
        </w:rPr>
        <w:t>According to Freeman (1984), organisations must recognise the interests of all stakeholder groups to achieve sustainable success. Failure to identify key stakeholders early may result in resistance, communication breakdowns, and project delays.</w:t>
      </w:r>
    </w:p>
    <w:p w:rsidR="00DB4396" w:rsidP="6BA81473" w:rsidRDefault="0CE7E3C1" w14:paraId="148AAAAC" w14:textId="1FF7E016">
      <w:pPr>
        <w:pStyle w:val="Heading3"/>
      </w:pPr>
      <w:r w:rsidRPr="6BA81473">
        <w:rPr>
          <w:rFonts w:ascii="Arial" w:hAnsi="Arial" w:eastAsia="Arial" w:cs="Arial"/>
          <w:sz w:val="24"/>
          <w:szCs w:val="24"/>
        </w:rPr>
        <w:t>Stage 2: Stakeholder Analysis and Prioritisation</w:t>
      </w:r>
    </w:p>
    <w:p w:rsidR="00DB4396" w:rsidRDefault="0CE7E3C1" w14:paraId="4BDBC583" w14:textId="7E28AE1F">
      <w:r w:rsidRPr="6BA81473">
        <w:rPr>
          <w:rFonts w:ascii="Arial" w:hAnsi="Arial" w:eastAsia="Arial" w:cs="Arial"/>
        </w:rPr>
        <w:t>After identification, stakeholders must be analysed according to their influence, interest, power, legitimacy, and urgency. Mendelow's Power-Interest Matrix and the Salience Model can be used to prioritise stakeholders.</w:t>
      </w:r>
    </w:p>
    <w:p w:rsidR="00DB4396" w:rsidRDefault="0CE7E3C1" w14:paraId="5C6C7079" w14:textId="3D6991A9">
      <w:r w:rsidRPr="6BA81473">
        <w:rPr>
          <w:rFonts w:ascii="Arial" w:hAnsi="Arial" w:eastAsia="Arial" w:cs="Arial"/>
        </w:rPr>
        <w:t>For example:</w:t>
      </w:r>
    </w:p>
    <w:p w:rsidR="00DB4396" w:rsidP="6BA81473" w:rsidRDefault="0CE7E3C1" w14:paraId="66D9521F" w14:textId="3D93EA20">
      <w:pPr>
        <w:pStyle w:val="ListParagraph"/>
        <w:numPr>
          <w:ilvl w:val="0"/>
          <w:numId w:val="14"/>
        </w:numPr>
        <w:spacing w:after="0"/>
        <w:rPr>
          <w:rFonts w:ascii="Arial" w:hAnsi="Arial" w:eastAsia="Arial" w:cs="Arial"/>
        </w:rPr>
      </w:pPr>
      <w:r w:rsidRPr="6BA81473">
        <w:rPr>
          <w:rFonts w:ascii="Arial" w:hAnsi="Arial" w:eastAsia="Arial" w:cs="Arial"/>
        </w:rPr>
        <w:t>Senior Management – High Power, High Interest</w:t>
      </w:r>
    </w:p>
    <w:p w:rsidR="00DB4396" w:rsidP="6BA81473" w:rsidRDefault="0CE7E3C1" w14:paraId="0078BB1A" w14:textId="527FF01E">
      <w:pPr>
        <w:pStyle w:val="ListParagraph"/>
        <w:numPr>
          <w:ilvl w:val="0"/>
          <w:numId w:val="14"/>
        </w:numPr>
        <w:spacing w:after="0"/>
        <w:rPr>
          <w:rFonts w:ascii="Arial" w:hAnsi="Arial" w:eastAsia="Arial" w:cs="Arial"/>
        </w:rPr>
      </w:pPr>
      <w:r w:rsidRPr="6BA81473">
        <w:rPr>
          <w:rFonts w:ascii="Arial" w:hAnsi="Arial" w:eastAsia="Arial" w:cs="Arial"/>
        </w:rPr>
        <w:t>Customers – High Interest, Lower Power</w:t>
      </w:r>
    </w:p>
    <w:p w:rsidR="00DB4396" w:rsidP="6BA81473" w:rsidRDefault="0CE7E3C1" w14:paraId="100CFB93" w14:textId="7388A30F">
      <w:pPr>
        <w:pStyle w:val="ListParagraph"/>
        <w:numPr>
          <w:ilvl w:val="0"/>
          <w:numId w:val="14"/>
        </w:numPr>
        <w:spacing w:after="0"/>
        <w:rPr>
          <w:rFonts w:ascii="Arial" w:hAnsi="Arial" w:eastAsia="Arial" w:cs="Arial"/>
        </w:rPr>
      </w:pPr>
      <w:r w:rsidRPr="6BA81473">
        <w:rPr>
          <w:rFonts w:ascii="Arial" w:hAnsi="Arial" w:eastAsia="Arial" w:cs="Arial"/>
        </w:rPr>
        <w:t>Regulators – High Power and High Urgency</w:t>
      </w:r>
    </w:p>
    <w:p w:rsidR="00DB4396" w:rsidP="6BA81473" w:rsidRDefault="0CE7E3C1" w14:paraId="3D6ADE76" w14:textId="6EA06C4C">
      <w:pPr>
        <w:pStyle w:val="ListParagraph"/>
        <w:numPr>
          <w:ilvl w:val="0"/>
          <w:numId w:val="14"/>
        </w:numPr>
        <w:spacing w:after="0"/>
        <w:rPr>
          <w:rFonts w:ascii="Arial" w:hAnsi="Arial" w:eastAsia="Arial" w:cs="Arial"/>
        </w:rPr>
      </w:pPr>
      <w:r w:rsidRPr="6BA81473">
        <w:rPr>
          <w:rFonts w:ascii="Arial" w:hAnsi="Arial" w:eastAsia="Arial" w:cs="Arial"/>
        </w:rPr>
        <w:t>Technology Partners – Moderate Power and Interest</w:t>
      </w:r>
    </w:p>
    <w:p w:rsidR="00DB4396" w:rsidRDefault="0CE7E3C1" w14:paraId="7B62C984" w14:textId="6F14CF0D">
      <w:r w:rsidRPr="6BA81473">
        <w:rPr>
          <w:rFonts w:ascii="Arial" w:hAnsi="Arial" w:eastAsia="Arial" w:cs="Arial"/>
        </w:rPr>
        <w:t>This analysis allows the project manager to allocate engagement resources efficiently and develop stakeholder-specific communication strategies.</w:t>
      </w:r>
    </w:p>
    <w:p w:rsidR="00DB4396" w:rsidP="6BA81473" w:rsidRDefault="0CE7E3C1" w14:paraId="78409E99" w14:textId="1138CEC0">
      <w:pPr>
        <w:pStyle w:val="Heading3"/>
      </w:pPr>
      <w:r w:rsidRPr="6BA81473">
        <w:rPr>
          <w:rFonts w:ascii="Arial" w:hAnsi="Arial" w:eastAsia="Arial" w:cs="Arial"/>
          <w:sz w:val="24"/>
          <w:szCs w:val="24"/>
        </w:rPr>
        <w:t>Stage 3: Developing a Stakeholder Engagement Plan</w:t>
      </w:r>
    </w:p>
    <w:p w:rsidR="00DB4396" w:rsidRDefault="0CE7E3C1" w14:paraId="680D118C" w14:textId="17675803">
      <w:r w:rsidRPr="6BA81473">
        <w:rPr>
          <w:rFonts w:ascii="Arial" w:hAnsi="Arial" w:eastAsia="Arial" w:cs="Arial"/>
        </w:rPr>
        <w:t>A stakeholder engagement plan outlines how stakeholders will be informed, consulted, involved, and managed throughout the project lifecycle.</w:t>
      </w:r>
    </w:p>
    <w:p w:rsidR="00DB4396" w:rsidRDefault="0CE7E3C1" w14:paraId="4A9B493B" w14:textId="1C159821">
      <w:r w:rsidRPr="6BA81473">
        <w:rPr>
          <w:rFonts w:ascii="Arial" w:hAnsi="Arial" w:eastAsia="Arial" w:cs="Arial"/>
        </w:rPr>
        <w:t>The engagement plan should specify:</w:t>
      </w:r>
    </w:p>
    <w:p w:rsidR="00DB4396" w:rsidP="6BA81473" w:rsidRDefault="0CE7E3C1" w14:paraId="1630D7F4" w14:textId="327BE677">
      <w:pPr>
        <w:pStyle w:val="ListParagraph"/>
        <w:numPr>
          <w:ilvl w:val="0"/>
          <w:numId w:val="11"/>
        </w:numPr>
        <w:spacing w:after="0"/>
        <w:rPr>
          <w:rFonts w:ascii="Arial" w:hAnsi="Arial" w:eastAsia="Arial" w:cs="Arial"/>
        </w:rPr>
      </w:pPr>
      <w:r w:rsidRPr="6BA81473">
        <w:rPr>
          <w:rFonts w:ascii="Arial" w:hAnsi="Arial" w:eastAsia="Arial" w:cs="Arial"/>
        </w:rPr>
        <w:t>Stakeholder expectations</w:t>
      </w:r>
    </w:p>
    <w:p w:rsidR="00DB4396" w:rsidP="6BA81473" w:rsidRDefault="0CE7E3C1" w14:paraId="6C2BD305" w14:textId="23F4C2D5">
      <w:pPr>
        <w:pStyle w:val="ListParagraph"/>
        <w:numPr>
          <w:ilvl w:val="0"/>
          <w:numId w:val="11"/>
        </w:numPr>
        <w:spacing w:after="0"/>
        <w:rPr>
          <w:rFonts w:ascii="Arial" w:hAnsi="Arial" w:eastAsia="Arial" w:cs="Arial"/>
        </w:rPr>
      </w:pPr>
      <w:r w:rsidRPr="6BA81473">
        <w:rPr>
          <w:rFonts w:ascii="Arial" w:hAnsi="Arial" w:eastAsia="Arial" w:cs="Arial"/>
        </w:rPr>
        <w:t>Communication channels</w:t>
      </w:r>
    </w:p>
    <w:p w:rsidR="00DB4396" w:rsidP="6BA81473" w:rsidRDefault="0CE7E3C1" w14:paraId="6E193663" w14:textId="79D93DA7">
      <w:pPr>
        <w:pStyle w:val="ListParagraph"/>
        <w:numPr>
          <w:ilvl w:val="0"/>
          <w:numId w:val="11"/>
        </w:numPr>
        <w:spacing w:after="0"/>
        <w:rPr>
          <w:rFonts w:ascii="Arial" w:hAnsi="Arial" w:eastAsia="Arial" w:cs="Arial"/>
        </w:rPr>
      </w:pPr>
      <w:r w:rsidRPr="6BA81473">
        <w:rPr>
          <w:rFonts w:ascii="Arial" w:hAnsi="Arial" w:eastAsia="Arial" w:cs="Arial"/>
        </w:rPr>
        <w:t>Meeting schedules</w:t>
      </w:r>
    </w:p>
    <w:p w:rsidR="00DB4396" w:rsidP="6BA81473" w:rsidRDefault="0CE7E3C1" w14:paraId="0B416884" w14:textId="25715D78">
      <w:pPr>
        <w:pStyle w:val="ListParagraph"/>
        <w:numPr>
          <w:ilvl w:val="0"/>
          <w:numId w:val="11"/>
        </w:numPr>
        <w:spacing w:after="0"/>
        <w:rPr>
          <w:rFonts w:ascii="Arial" w:hAnsi="Arial" w:eastAsia="Arial" w:cs="Arial"/>
        </w:rPr>
      </w:pPr>
      <w:r w:rsidRPr="6BA81473">
        <w:rPr>
          <w:rFonts w:ascii="Arial" w:hAnsi="Arial" w:eastAsia="Arial" w:cs="Arial"/>
        </w:rPr>
        <w:t>Reporting requirements</w:t>
      </w:r>
    </w:p>
    <w:p w:rsidR="00DB4396" w:rsidP="6BA81473" w:rsidRDefault="0CE7E3C1" w14:paraId="5E27E1C6" w14:textId="034CE1C9">
      <w:pPr>
        <w:pStyle w:val="ListParagraph"/>
        <w:numPr>
          <w:ilvl w:val="0"/>
          <w:numId w:val="11"/>
        </w:numPr>
        <w:spacing w:after="0"/>
        <w:rPr>
          <w:rFonts w:ascii="Arial" w:hAnsi="Arial" w:eastAsia="Arial" w:cs="Arial"/>
        </w:rPr>
      </w:pPr>
      <w:r w:rsidRPr="6BA81473">
        <w:rPr>
          <w:rFonts w:ascii="Arial" w:hAnsi="Arial" w:eastAsia="Arial" w:cs="Arial"/>
        </w:rPr>
        <w:t>Feedback mechanisms</w:t>
      </w:r>
    </w:p>
    <w:p w:rsidR="00DB4396" w:rsidP="6BA81473" w:rsidRDefault="0CE7E3C1" w14:paraId="52F99F98" w14:textId="007C3162">
      <w:pPr>
        <w:pStyle w:val="ListParagraph"/>
        <w:numPr>
          <w:ilvl w:val="0"/>
          <w:numId w:val="11"/>
        </w:numPr>
        <w:spacing w:after="0"/>
        <w:rPr>
          <w:rFonts w:ascii="Arial" w:hAnsi="Arial" w:eastAsia="Arial" w:cs="Arial"/>
        </w:rPr>
      </w:pPr>
      <w:r w:rsidRPr="6BA81473">
        <w:rPr>
          <w:rFonts w:ascii="Arial" w:hAnsi="Arial" w:eastAsia="Arial" w:cs="Arial"/>
        </w:rPr>
        <w:t>Escalation procedures</w:t>
      </w:r>
    </w:p>
    <w:p w:rsidR="00DB4396" w:rsidRDefault="0CE7E3C1" w14:paraId="1D88B630" w14:textId="51A7CC76">
      <w:r w:rsidRPr="6BA81473">
        <w:rPr>
          <w:rFonts w:ascii="Arial" w:hAnsi="Arial" w:eastAsia="Arial" w:cs="Arial"/>
        </w:rPr>
        <w:t>Chinyio and Akintoye (2008) argue that structured engagement plans improve stakeholder participation and project performance by creating clear communication pathways.</w:t>
      </w:r>
    </w:p>
    <w:p w:rsidR="00DB4396" w:rsidP="6BA81473" w:rsidRDefault="0CE7E3C1" w14:paraId="0FE1B63D" w14:textId="65C65F23">
      <w:pPr>
        <w:pStyle w:val="Heading3"/>
      </w:pPr>
      <w:r w:rsidRPr="6BA81473">
        <w:rPr>
          <w:rFonts w:ascii="Arial" w:hAnsi="Arial" w:eastAsia="Arial" w:cs="Arial"/>
          <w:sz w:val="24"/>
          <w:szCs w:val="24"/>
        </w:rPr>
        <w:t>Stage 4: Continuous Monitoring and Review</w:t>
      </w:r>
    </w:p>
    <w:p w:rsidR="00DB4396" w:rsidRDefault="0CE7E3C1" w14:paraId="1B226A18" w14:textId="0F7DDE4D">
      <w:r w:rsidRPr="6BA81473">
        <w:rPr>
          <w:rFonts w:ascii="Arial" w:hAnsi="Arial" w:eastAsia="Arial" w:cs="Arial"/>
        </w:rPr>
        <w:t>Stakeholder attitudes and influence may change throughout the project lifecycle. Therefore, stakeholder analysis should be reviewed regularly to identify emerging risks, concerns, and opportunities. Continuous monitoring ensures that engagement strategies remain effective and responsive to stakeholder needs.</w:t>
      </w:r>
    </w:p>
    <w:p w:rsidR="00DB4396" w:rsidRDefault="00DB4396" w14:paraId="11E87C2F" w14:textId="28D7FD53"/>
    <w:p w:rsidR="00DB4396" w:rsidP="6BA81473" w:rsidRDefault="0CE7E3C1" w14:paraId="723F0C49" w14:textId="101912E3">
      <w:pPr>
        <w:pStyle w:val="Heading2"/>
      </w:pPr>
      <w:r w:rsidRPr="6BA81473">
        <w:rPr>
          <w:rFonts w:ascii="Arial" w:hAnsi="Arial" w:eastAsia="Arial" w:cs="Arial"/>
          <w:sz w:val="24"/>
          <w:szCs w:val="24"/>
        </w:rPr>
        <w:t>5.2 Application of the 4C's Stakeholder Engagement Model</w:t>
      </w:r>
    </w:p>
    <w:p w:rsidR="00DB4396" w:rsidRDefault="0CE7E3C1" w14:paraId="4C956265" w14:textId="4AECFC45">
      <w:r w:rsidRPr="6BA81473">
        <w:rPr>
          <w:rFonts w:ascii="Arial" w:hAnsi="Arial" w:eastAsia="Arial" w:cs="Arial"/>
        </w:rPr>
        <w:t>The 4C's Model provides a practical framework for engaging stakeholders throughout the ConnectPlus project.</w:t>
      </w:r>
    </w:p>
    <w:p w:rsidR="00DB4396" w:rsidP="6BA81473" w:rsidRDefault="0CE7E3C1" w14:paraId="45D32315" w14:textId="1CAFBC46">
      <w:pPr>
        <w:pStyle w:val="Heading3"/>
      </w:pPr>
      <w:r w:rsidRPr="6BA81473">
        <w:rPr>
          <w:rFonts w:ascii="Arial" w:hAnsi="Arial" w:eastAsia="Arial" w:cs="Arial"/>
          <w:sz w:val="24"/>
          <w:szCs w:val="24"/>
        </w:rPr>
        <w:t>Communication</w:t>
      </w:r>
    </w:p>
    <w:p w:rsidR="00DB4396" w:rsidRDefault="0CE7E3C1" w14:paraId="5F0A197A" w14:textId="30CBDB7F">
      <w:r w:rsidRPr="6BA81473">
        <w:rPr>
          <w:rFonts w:ascii="Arial" w:hAnsi="Arial" w:eastAsia="Arial" w:cs="Arial"/>
        </w:rPr>
        <w:t>Communication involves sharing accurate and timely information with stakeholders. Effective communication reduces uncertainty and builds trust.</w:t>
      </w:r>
    </w:p>
    <w:p w:rsidR="00DB4396" w:rsidRDefault="0CE7E3C1" w14:paraId="2F786AAD" w14:textId="7FE286E4">
      <w:r w:rsidRPr="6BA81473">
        <w:rPr>
          <w:rFonts w:ascii="Arial" w:hAnsi="Arial" w:eastAsia="Arial" w:cs="Arial"/>
        </w:rPr>
        <w:t>Examples include:</w:t>
      </w:r>
    </w:p>
    <w:p w:rsidR="00DB4396" w:rsidP="6BA81473" w:rsidRDefault="0CE7E3C1" w14:paraId="23B2C81F" w14:textId="503CA208">
      <w:pPr>
        <w:pStyle w:val="ListParagraph"/>
        <w:numPr>
          <w:ilvl w:val="0"/>
          <w:numId w:val="3"/>
        </w:numPr>
        <w:spacing w:after="0"/>
        <w:rPr>
          <w:rFonts w:ascii="Arial" w:hAnsi="Arial" w:eastAsia="Arial" w:cs="Arial"/>
        </w:rPr>
      </w:pPr>
      <w:r w:rsidRPr="6BA81473">
        <w:rPr>
          <w:rFonts w:ascii="Arial" w:hAnsi="Arial" w:eastAsia="Arial" w:cs="Arial"/>
        </w:rPr>
        <w:t>Executive reports for senior management</w:t>
      </w:r>
    </w:p>
    <w:p w:rsidR="00DB4396" w:rsidP="6BA81473" w:rsidRDefault="0CE7E3C1" w14:paraId="27EC796F" w14:textId="798719C0">
      <w:pPr>
        <w:pStyle w:val="ListParagraph"/>
        <w:numPr>
          <w:ilvl w:val="0"/>
          <w:numId w:val="3"/>
        </w:numPr>
        <w:spacing w:after="0"/>
        <w:rPr>
          <w:rFonts w:ascii="Arial" w:hAnsi="Arial" w:eastAsia="Arial" w:cs="Arial"/>
        </w:rPr>
      </w:pPr>
      <w:r w:rsidRPr="6BA81473">
        <w:rPr>
          <w:rFonts w:ascii="Arial" w:hAnsi="Arial" w:eastAsia="Arial" w:cs="Arial"/>
        </w:rPr>
        <w:t>Progress updates for project teams</w:t>
      </w:r>
    </w:p>
    <w:p w:rsidR="00DB4396" w:rsidP="6BA81473" w:rsidRDefault="0CE7E3C1" w14:paraId="70A4506E" w14:textId="557E28B9">
      <w:pPr>
        <w:pStyle w:val="ListParagraph"/>
        <w:numPr>
          <w:ilvl w:val="0"/>
          <w:numId w:val="3"/>
        </w:numPr>
        <w:spacing w:after="0"/>
        <w:rPr>
          <w:rFonts w:ascii="Arial" w:hAnsi="Arial" w:eastAsia="Arial" w:cs="Arial"/>
        </w:rPr>
      </w:pPr>
      <w:r w:rsidRPr="6BA81473">
        <w:rPr>
          <w:rFonts w:ascii="Arial" w:hAnsi="Arial" w:eastAsia="Arial" w:cs="Arial"/>
        </w:rPr>
        <w:t>Customer newsletters</w:t>
      </w:r>
    </w:p>
    <w:p w:rsidR="00DB4396" w:rsidP="6BA81473" w:rsidRDefault="0CE7E3C1" w14:paraId="1B696A65" w14:textId="2E3112D4">
      <w:pPr>
        <w:pStyle w:val="ListParagraph"/>
        <w:numPr>
          <w:ilvl w:val="0"/>
          <w:numId w:val="3"/>
        </w:numPr>
        <w:spacing w:after="0"/>
        <w:rPr>
          <w:rFonts w:ascii="Arial" w:hAnsi="Arial" w:eastAsia="Arial" w:cs="Arial"/>
        </w:rPr>
      </w:pPr>
      <w:r w:rsidRPr="6BA81473">
        <w:rPr>
          <w:rFonts w:ascii="Arial" w:hAnsi="Arial" w:eastAsia="Arial" w:cs="Arial"/>
        </w:rPr>
        <w:t>Compliance reports for regulators</w:t>
      </w:r>
    </w:p>
    <w:p w:rsidR="00DB4396" w:rsidRDefault="0CE7E3C1" w14:paraId="67B6EF7E" w14:textId="714FF82D">
      <w:r w:rsidRPr="6BA81473">
        <w:rPr>
          <w:rFonts w:ascii="Arial" w:hAnsi="Arial" w:eastAsia="Arial" w:cs="Arial"/>
        </w:rPr>
        <w:t>Regular communication helps minimise misinformation and ensures stakeholder alignment.</w:t>
      </w:r>
    </w:p>
    <w:p w:rsidR="00DB4396" w:rsidP="6BA81473" w:rsidRDefault="0CE7E3C1" w14:paraId="783DC628" w14:textId="5DAEE42C">
      <w:pPr>
        <w:pStyle w:val="Heading3"/>
      </w:pPr>
      <w:r w:rsidRPr="6BA81473">
        <w:rPr>
          <w:rFonts w:ascii="Arial" w:hAnsi="Arial" w:eastAsia="Arial" w:cs="Arial"/>
          <w:sz w:val="24"/>
          <w:szCs w:val="24"/>
        </w:rPr>
        <w:t>Consultation</w:t>
      </w:r>
    </w:p>
    <w:p w:rsidR="00DB4396" w:rsidRDefault="0CE7E3C1" w14:paraId="45F5C155" w14:textId="7A6E5BF1">
      <w:r w:rsidRPr="6BA81473">
        <w:rPr>
          <w:rFonts w:ascii="Arial" w:hAnsi="Arial" w:eastAsia="Arial" w:cs="Arial"/>
        </w:rPr>
        <w:t>Consultation enables stakeholders to provide feedback and contribute to decision-making processes.</w:t>
      </w:r>
    </w:p>
    <w:p w:rsidR="00DB4396" w:rsidRDefault="0CE7E3C1" w14:paraId="2197B2E8" w14:textId="481CFF34">
      <w:r w:rsidRPr="6BA81473">
        <w:rPr>
          <w:rFonts w:ascii="Arial" w:hAnsi="Arial" w:eastAsia="Arial" w:cs="Arial"/>
        </w:rPr>
        <w:t>Methods include:</w:t>
      </w:r>
    </w:p>
    <w:p w:rsidR="00DB4396" w:rsidP="6BA81473" w:rsidRDefault="0CE7E3C1" w14:paraId="24FE27EA" w14:textId="0A32FCDC">
      <w:pPr>
        <w:pStyle w:val="ListParagraph"/>
        <w:numPr>
          <w:ilvl w:val="0"/>
          <w:numId w:val="2"/>
        </w:numPr>
        <w:spacing w:after="0"/>
        <w:rPr>
          <w:rFonts w:ascii="Arial" w:hAnsi="Arial" w:eastAsia="Arial" w:cs="Arial"/>
        </w:rPr>
      </w:pPr>
      <w:r w:rsidRPr="6BA81473">
        <w:rPr>
          <w:rFonts w:ascii="Arial" w:hAnsi="Arial" w:eastAsia="Arial" w:cs="Arial"/>
        </w:rPr>
        <w:t>Customer surveys</w:t>
      </w:r>
    </w:p>
    <w:p w:rsidR="00DB4396" w:rsidP="6BA81473" w:rsidRDefault="0CE7E3C1" w14:paraId="7CA56509" w14:textId="69AF36CD">
      <w:pPr>
        <w:pStyle w:val="ListParagraph"/>
        <w:numPr>
          <w:ilvl w:val="0"/>
          <w:numId w:val="2"/>
        </w:numPr>
        <w:spacing w:after="0"/>
        <w:rPr>
          <w:rFonts w:ascii="Arial" w:hAnsi="Arial" w:eastAsia="Arial" w:cs="Arial"/>
        </w:rPr>
      </w:pPr>
      <w:r w:rsidRPr="6BA81473">
        <w:rPr>
          <w:rFonts w:ascii="Arial" w:hAnsi="Arial" w:eastAsia="Arial" w:cs="Arial"/>
        </w:rPr>
        <w:t>Focus groups</w:t>
      </w:r>
    </w:p>
    <w:p w:rsidR="00DB4396" w:rsidP="6BA81473" w:rsidRDefault="0CE7E3C1" w14:paraId="200BE5F8" w14:textId="507BFEF6">
      <w:pPr>
        <w:pStyle w:val="ListParagraph"/>
        <w:numPr>
          <w:ilvl w:val="0"/>
          <w:numId w:val="2"/>
        </w:numPr>
        <w:spacing w:after="0"/>
        <w:rPr>
          <w:rFonts w:ascii="Arial" w:hAnsi="Arial" w:eastAsia="Arial" w:cs="Arial"/>
        </w:rPr>
      </w:pPr>
      <w:r w:rsidRPr="6BA81473">
        <w:rPr>
          <w:rFonts w:ascii="Arial" w:hAnsi="Arial" w:eastAsia="Arial" w:cs="Arial"/>
        </w:rPr>
        <w:t>Workshops</w:t>
      </w:r>
    </w:p>
    <w:p w:rsidR="00DB4396" w:rsidP="6BA81473" w:rsidRDefault="0CE7E3C1" w14:paraId="0A3BDFB5" w14:textId="582077A0">
      <w:pPr>
        <w:pStyle w:val="ListParagraph"/>
        <w:numPr>
          <w:ilvl w:val="0"/>
          <w:numId w:val="2"/>
        </w:numPr>
        <w:spacing w:after="0"/>
        <w:rPr>
          <w:rFonts w:ascii="Arial" w:hAnsi="Arial" w:eastAsia="Arial" w:cs="Arial"/>
        </w:rPr>
      </w:pPr>
      <w:r w:rsidRPr="6BA81473">
        <w:rPr>
          <w:rFonts w:ascii="Arial" w:hAnsi="Arial" w:eastAsia="Arial" w:cs="Arial"/>
        </w:rPr>
        <w:t>Employee feedback sessions</w:t>
      </w:r>
    </w:p>
    <w:p w:rsidR="00DB4396" w:rsidRDefault="0CE7E3C1" w14:paraId="28A2A072" w14:textId="3456EE81">
      <w:r w:rsidRPr="6BA81473">
        <w:rPr>
          <w:rFonts w:ascii="Arial" w:hAnsi="Arial" w:eastAsia="Arial" w:cs="Arial"/>
        </w:rPr>
        <w:t>Consultation is particularly important because customers and employees possess valuable insights regarding platform functionality and user experience.</w:t>
      </w:r>
    </w:p>
    <w:p w:rsidR="00DB4396" w:rsidP="6BA81473" w:rsidRDefault="0CE7E3C1" w14:paraId="0289F576" w14:textId="62D4E4EC">
      <w:pPr>
        <w:pStyle w:val="Heading3"/>
      </w:pPr>
      <w:r w:rsidRPr="6BA81473">
        <w:rPr>
          <w:rFonts w:ascii="Arial" w:hAnsi="Arial" w:eastAsia="Arial" w:cs="Arial"/>
          <w:sz w:val="24"/>
          <w:szCs w:val="24"/>
        </w:rPr>
        <w:t>Collaboration</w:t>
      </w:r>
    </w:p>
    <w:p w:rsidR="00DB4396" w:rsidRDefault="0CE7E3C1" w14:paraId="1F8B32AE" w14:textId="4FFAE8A9">
      <w:r w:rsidRPr="6BA81473">
        <w:rPr>
          <w:rFonts w:ascii="Arial" w:hAnsi="Arial" w:eastAsia="Arial" w:cs="Arial"/>
        </w:rPr>
        <w:t>Collaboration involves stakeholders actively participating in project activities.</w:t>
      </w:r>
    </w:p>
    <w:p w:rsidR="00DB4396" w:rsidRDefault="0CE7E3C1" w14:paraId="74086DFE" w14:textId="7BC768DC">
      <w:r w:rsidRPr="6BA81473">
        <w:rPr>
          <w:rFonts w:ascii="Arial" w:hAnsi="Arial" w:eastAsia="Arial" w:cs="Arial"/>
        </w:rPr>
        <w:t>Examples include:</w:t>
      </w:r>
    </w:p>
    <w:p w:rsidR="00DB4396" w:rsidP="6BA81473" w:rsidRDefault="0CE7E3C1" w14:paraId="394D3E40" w14:textId="381AE3F7">
      <w:pPr>
        <w:pStyle w:val="ListParagraph"/>
        <w:numPr>
          <w:ilvl w:val="0"/>
          <w:numId w:val="10"/>
        </w:numPr>
        <w:spacing w:after="0"/>
        <w:rPr>
          <w:rFonts w:ascii="Arial" w:hAnsi="Arial" w:eastAsia="Arial" w:cs="Arial"/>
        </w:rPr>
      </w:pPr>
      <w:r w:rsidRPr="6BA81473">
        <w:rPr>
          <w:rFonts w:ascii="Arial" w:hAnsi="Arial" w:eastAsia="Arial" w:cs="Arial"/>
        </w:rPr>
        <w:t>Cross-functional project teams</w:t>
      </w:r>
    </w:p>
    <w:p w:rsidR="00DB4396" w:rsidP="6BA81473" w:rsidRDefault="0CE7E3C1" w14:paraId="204EF763" w14:textId="12C09E52">
      <w:pPr>
        <w:pStyle w:val="ListParagraph"/>
        <w:numPr>
          <w:ilvl w:val="0"/>
          <w:numId w:val="10"/>
        </w:numPr>
        <w:spacing w:after="0"/>
        <w:rPr>
          <w:rFonts w:ascii="Arial" w:hAnsi="Arial" w:eastAsia="Arial" w:cs="Arial"/>
        </w:rPr>
      </w:pPr>
      <w:r w:rsidRPr="6BA81473">
        <w:rPr>
          <w:rFonts w:ascii="Arial" w:hAnsi="Arial" w:eastAsia="Arial" w:cs="Arial"/>
        </w:rPr>
        <w:t>Joint development workshops</w:t>
      </w:r>
    </w:p>
    <w:p w:rsidR="00DB4396" w:rsidP="6BA81473" w:rsidRDefault="0CE7E3C1" w14:paraId="77D4A6A9" w14:textId="01FAD74E">
      <w:pPr>
        <w:pStyle w:val="ListParagraph"/>
        <w:numPr>
          <w:ilvl w:val="0"/>
          <w:numId w:val="10"/>
        </w:numPr>
        <w:spacing w:after="0"/>
        <w:rPr>
          <w:rFonts w:ascii="Arial" w:hAnsi="Arial" w:eastAsia="Arial" w:cs="Arial"/>
        </w:rPr>
      </w:pPr>
      <w:r w:rsidRPr="6BA81473">
        <w:rPr>
          <w:rFonts w:ascii="Arial" w:hAnsi="Arial" w:eastAsia="Arial" w:cs="Arial"/>
        </w:rPr>
        <w:t>Strategic partnerships with technology providers</w:t>
      </w:r>
    </w:p>
    <w:p w:rsidR="00DB4396" w:rsidRDefault="0CE7E3C1" w14:paraId="5A945654" w14:textId="46F8BC4B">
      <w:r w:rsidRPr="6BA81473">
        <w:rPr>
          <w:rFonts w:ascii="Arial" w:hAnsi="Arial" w:eastAsia="Arial" w:cs="Arial"/>
        </w:rPr>
        <w:t>Collaboration enhances innovation and improves stakeholder ownership of project outcomes.</w:t>
      </w:r>
    </w:p>
    <w:p w:rsidR="00DB4396" w:rsidP="6BA81473" w:rsidRDefault="0CE7E3C1" w14:paraId="668BEC4F" w14:textId="0FB2506E">
      <w:pPr>
        <w:pStyle w:val="Heading3"/>
      </w:pPr>
      <w:r w:rsidRPr="6BA81473">
        <w:rPr>
          <w:rFonts w:ascii="Arial" w:hAnsi="Arial" w:eastAsia="Arial" w:cs="Arial"/>
          <w:sz w:val="24"/>
          <w:szCs w:val="24"/>
        </w:rPr>
        <w:t>Commitment</w:t>
      </w:r>
    </w:p>
    <w:p w:rsidR="00DB4396" w:rsidRDefault="0CE7E3C1" w14:paraId="6C7074E1" w14:textId="5082647B">
      <w:r w:rsidRPr="6BA81473">
        <w:rPr>
          <w:rFonts w:ascii="Arial" w:hAnsi="Arial" w:eastAsia="Arial" w:cs="Arial"/>
        </w:rPr>
        <w:t>Commitment focuses on maintaining long-term stakeholder support and engagement.</w:t>
      </w:r>
    </w:p>
    <w:p w:rsidR="00DB4396" w:rsidRDefault="0CE7E3C1" w14:paraId="1195B97B" w14:textId="68F0BE9C">
      <w:r w:rsidRPr="6BA81473">
        <w:rPr>
          <w:rFonts w:ascii="Arial" w:hAnsi="Arial" w:eastAsia="Arial" w:cs="Arial"/>
        </w:rPr>
        <w:t>This can be achieved through:</w:t>
      </w:r>
    </w:p>
    <w:p w:rsidR="00DB4396" w:rsidP="6BA81473" w:rsidRDefault="0CE7E3C1" w14:paraId="5A7459C3" w14:textId="7494C83A">
      <w:pPr>
        <w:pStyle w:val="ListParagraph"/>
        <w:numPr>
          <w:ilvl w:val="0"/>
          <w:numId w:val="13"/>
        </w:numPr>
        <w:spacing w:after="0"/>
        <w:rPr>
          <w:rFonts w:ascii="Arial" w:hAnsi="Arial" w:eastAsia="Arial" w:cs="Arial"/>
        </w:rPr>
      </w:pPr>
      <w:r w:rsidRPr="6BA81473">
        <w:rPr>
          <w:rFonts w:ascii="Arial" w:hAnsi="Arial" w:eastAsia="Arial" w:cs="Arial"/>
        </w:rPr>
        <w:t>Leadership sponsorship</w:t>
      </w:r>
    </w:p>
    <w:p w:rsidR="00DB4396" w:rsidP="6BA81473" w:rsidRDefault="0CE7E3C1" w14:paraId="5081C4D0" w14:textId="70871848">
      <w:pPr>
        <w:pStyle w:val="ListParagraph"/>
        <w:numPr>
          <w:ilvl w:val="0"/>
          <w:numId w:val="13"/>
        </w:numPr>
        <w:spacing w:after="0"/>
        <w:rPr>
          <w:rFonts w:ascii="Arial" w:hAnsi="Arial" w:eastAsia="Arial" w:cs="Arial"/>
        </w:rPr>
      </w:pPr>
      <w:r w:rsidRPr="6BA81473">
        <w:rPr>
          <w:rFonts w:ascii="Arial" w:hAnsi="Arial" w:eastAsia="Arial" w:cs="Arial"/>
        </w:rPr>
        <w:t>Employee recognition programmes</w:t>
      </w:r>
    </w:p>
    <w:p w:rsidR="00DB4396" w:rsidP="6BA81473" w:rsidRDefault="0CE7E3C1" w14:paraId="50F6AF87" w14:textId="709EDEFC">
      <w:pPr>
        <w:pStyle w:val="ListParagraph"/>
        <w:numPr>
          <w:ilvl w:val="0"/>
          <w:numId w:val="13"/>
        </w:numPr>
        <w:spacing w:after="0"/>
        <w:rPr>
          <w:rFonts w:ascii="Arial" w:hAnsi="Arial" w:eastAsia="Arial" w:cs="Arial"/>
        </w:rPr>
      </w:pPr>
      <w:r w:rsidRPr="6BA81473">
        <w:rPr>
          <w:rFonts w:ascii="Arial" w:hAnsi="Arial" w:eastAsia="Arial" w:cs="Arial"/>
        </w:rPr>
        <w:t>Customer loyalty incentives</w:t>
      </w:r>
    </w:p>
    <w:p w:rsidR="00DB4396" w:rsidP="6BA81473" w:rsidRDefault="0CE7E3C1" w14:paraId="41BA2672" w14:textId="4928BC57">
      <w:pPr>
        <w:pStyle w:val="ListParagraph"/>
        <w:numPr>
          <w:ilvl w:val="0"/>
          <w:numId w:val="13"/>
        </w:numPr>
        <w:spacing w:after="0"/>
        <w:rPr>
          <w:rFonts w:ascii="Arial" w:hAnsi="Arial" w:eastAsia="Arial" w:cs="Arial"/>
        </w:rPr>
      </w:pPr>
      <w:r w:rsidRPr="6BA81473">
        <w:rPr>
          <w:rFonts w:ascii="Arial" w:hAnsi="Arial" w:eastAsia="Arial" w:cs="Arial"/>
        </w:rPr>
        <w:t>Continuous stakeholder relationship management</w:t>
      </w:r>
    </w:p>
    <w:p w:rsidR="00DB4396" w:rsidRDefault="0CE7E3C1" w14:paraId="69769AA9" w14:textId="0F8C0C9E">
      <w:r w:rsidRPr="6BA81473">
        <w:rPr>
          <w:rFonts w:ascii="Arial" w:hAnsi="Arial" w:eastAsia="Arial" w:cs="Arial"/>
        </w:rPr>
        <w:t>According to Payne, Christopher and Ballantyne (2002), long-term commitment strengthens stakeholder relationships and supports sustainable value creation.</w:t>
      </w:r>
    </w:p>
    <w:p w:rsidR="00DB4396" w:rsidRDefault="00DB4396" w14:paraId="18CBF956" w14:textId="2C0A535E"/>
    <w:p w:rsidR="00DB4396" w:rsidP="6BA81473" w:rsidRDefault="0CE7E3C1" w14:paraId="29CCD26E" w14:textId="2DE86861">
      <w:pPr>
        <w:pStyle w:val="Heading2"/>
      </w:pPr>
      <w:r w:rsidRPr="6BA81473">
        <w:rPr>
          <w:rFonts w:ascii="Arial" w:hAnsi="Arial" w:eastAsia="Arial" w:cs="Arial"/>
          <w:sz w:val="24"/>
          <w:szCs w:val="24"/>
        </w:rPr>
        <w:t>5.3 Application of SWANS and OWANS Analysis</w:t>
      </w:r>
    </w:p>
    <w:p w:rsidR="00DB4396" w:rsidRDefault="0CE7E3C1" w14:paraId="02B6EC4B" w14:textId="0EE66E23">
      <w:r w:rsidRPr="6BA81473">
        <w:rPr>
          <w:rFonts w:ascii="Arial" w:hAnsi="Arial" w:eastAsia="Arial" w:cs="Arial"/>
        </w:rPr>
        <w:t>SWANS and OWANS are useful tools for understanding stakeholder perspectives and managing expectations.</w:t>
      </w:r>
    </w:p>
    <w:p w:rsidR="00DB4396" w:rsidP="6BA81473" w:rsidRDefault="0CE7E3C1" w14:paraId="7221536B" w14:textId="3E713115">
      <w:pPr>
        <w:pStyle w:val="Heading3"/>
      </w:pPr>
      <w:r w:rsidRPr="6BA81473">
        <w:rPr>
          <w:rFonts w:ascii="Arial" w:hAnsi="Arial" w:eastAsia="Arial" w:cs="Arial"/>
          <w:sz w:val="24"/>
          <w:szCs w:val="24"/>
        </w:rPr>
        <w:t>SWANS Analysis</w:t>
      </w:r>
    </w:p>
    <w:p w:rsidR="00DB4396" w:rsidRDefault="0CE7E3C1" w14:paraId="4B0DAF2A" w14:textId="1EC7914C">
      <w:r w:rsidRPr="6BA81473">
        <w:rPr>
          <w:rFonts w:ascii="Arial" w:hAnsi="Arial" w:eastAsia="Arial" w:cs="Arial"/>
        </w:rPr>
        <w:t>SWANS identifies:</w:t>
      </w:r>
    </w:p>
    <w:p w:rsidR="00DB4396" w:rsidP="6BA81473" w:rsidRDefault="0CE7E3C1" w14:paraId="3763A485" w14:textId="7B94DBFF">
      <w:pPr>
        <w:pStyle w:val="ListParagraph"/>
        <w:numPr>
          <w:ilvl w:val="0"/>
          <w:numId w:val="12"/>
        </w:numPr>
        <w:spacing w:after="0"/>
        <w:rPr>
          <w:rFonts w:ascii="Arial" w:hAnsi="Arial" w:eastAsia="Arial" w:cs="Arial"/>
        </w:rPr>
      </w:pPr>
      <w:r w:rsidRPr="6BA81473">
        <w:rPr>
          <w:rFonts w:ascii="Arial" w:hAnsi="Arial" w:eastAsia="Arial" w:cs="Arial"/>
        </w:rPr>
        <w:t>Strengths</w:t>
      </w:r>
    </w:p>
    <w:p w:rsidR="00DB4396" w:rsidP="6BA81473" w:rsidRDefault="0CE7E3C1" w14:paraId="20CBFB93" w14:textId="5D023C7A">
      <w:pPr>
        <w:pStyle w:val="ListParagraph"/>
        <w:numPr>
          <w:ilvl w:val="0"/>
          <w:numId w:val="12"/>
        </w:numPr>
        <w:spacing w:after="0"/>
        <w:rPr>
          <w:rFonts w:ascii="Arial" w:hAnsi="Arial" w:eastAsia="Arial" w:cs="Arial"/>
        </w:rPr>
      </w:pPr>
      <w:r w:rsidRPr="6BA81473">
        <w:rPr>
          <w:rFonts w:ascii="Arial" w:hAnsi="Arial" w:eastAsia="Arial" w:cs="Arial"/>
        </w:rPr>
        <w:t>Weaknesses</w:t>
      </w:r>
    </w:p>
    <w:p w:rsidR="00DB4396" w:rsidP="6BA81473" w:rsidRDefault="0CE7E3C1" w14:paraId="0CAC2CBF" w14:textId="29E8CACC">
      <w:pPr>
        <w:pStyle w:val="ListParagraph"/>
        <w:numPr>
          <w:ilvl w:val="0"/>
          <w:numId w:val="12"/>
        </w:numPr>
        <w:spacing w:after="0"/>
        <w:rPr>
          <w:rFonts w:ascii="Arial" w:hAnsi="Arial" w:eastAsia="Arial" w:cs="Arial"/>
        </w:rPr>
      </w:pPr>
      <w:r w:rsidRPr="6BA81473">
        <w:rPr>
          <w:rFonts w:ascii="Arial" w:hAnsi="Arial" w:eastAsia="Arial" w:cs="Arial"/>
        </w:rPr>
        <w:t>Aspirations</w:t>
      </w:r>
    </w:p>
    <w:p w:rsidR="00DB4396" w:rsidP="6BA81473" w:rsidRDefault="0CE7E3C1" w14:paraId="2BDBBEAA" w14:textId="7A0C5E2E">
      <w:pPr>
        <w:pStyle w:val="ListParagraph"/>
        <w:numPr>
          <w:ilvl w:val="0"/>
          <w:numId w:val="12"/>
        </w:numPr>
        <w:spacing w:after="0"/>
        <w:rPr>
          <w:rFonts w:ascii="Arial" w:hAnsi="Arial" w:eastAsia="Arial" w:cs="Arial"/>
        </w:rPr>
      </w:pPr>
      <w:r w:rsidRPr="6BA81473">
        <w:rPr>
          <w:rFonts w:ascii="Arial" w:hAnsi="Arial" w:eastAsia="Arial" w:cs="Arial"/>
        </w:rPr>
        <w:t>Needs</w:t>
      </w:r>
    </w:p>
    <w:p w:rsidR="00DB4396" w:rsidP="6BA81473" w:rsidRDefault="0CE7E3C1" w14:paraId="3593D940" w14:textId="2B85D447">
      <w:pPr>
        <w:pStyle w:val="ListParagraph"/>
        <w:numPr>
          <w:ilvl w:val="0"/>
          <w:numId w:val="12"/>
        </w:numPr>
        <w:spacing w:after="0"/>
        <w:rPr>
          <w:rFonts w:ascii="Arial" w:hAnsi="Arial" w:eastAsia="Arial" w:cs="Arial"/>
        </w:rPr>
      </w:pPr>
      <w:r w:rsidRPr="6BA81473">
        <w:rPr>
          <w:rFonts w:ascii="Arial" w:hAnsi="Arial" w:eastAsia="Arial" w:cs="Arial"/>
        </w:rPr>
        <w:t>Success Factors</w:t>
      </w:r>
    </w:p>
    <w:p w:rsidR="00DB4396" w:rsidRDefault="0CE7E3C1" w14:paraId="070F57E8" w14:textId="6FF44B8C">
      <w:r w:rsidRPr="6BA81473">
        <w:rPr>
          <w:rFonts w:ascii="Arial" w:hAnsi="Arial" w:eastAsia="Arial" w:cs="Arial"/>
        </w:rPr>
        <w:t>For example, customers may value personalised recommendations (strength), while expressing concerns regarding data privacy (weakness).</w:t>
      </w:r>
    </w:p>
    <w:p w:rsidR="00DB4396" w:rsidP="6BA81473" w:rsidRDefault="0CE7E3C1" w14:paraId="4A59465A" w14:textId="10AB9CDE">
      <w:pPr>
        <w:pStyle w:val="Heading3"/>
      </w:pPr>
      <w:r w:rsidRPr="6BA81473">
        <w:rPr>
          <w:rFonts w:ascii="Arial" w:hAnsi="Arial" w:eastAsia="Arial" w:cs="Arial"/>
          <w:sz w:val="24"/>
          <w:szCs w:val="24"/>
        </w:rPr>
        <w:t>OWANS Analysis</w:t>
      </w:r>
    </w:p>
    <w:p w:rsidR="00DB4396" w:rsidRDefault="0CE7E3C1" w14:paraId="73D05D69" w14:textId="5E5BEB5B">
      <w:r w:rsidRPr="6BA81473">
        <w:rPr>
          <w:rFonts w:ascii="Arial" w:hAnsi="Arial" w:eastAsia="Arial" w:cs="Arial"/>
        </w:rPr>
        <w:t>OWANS examines:</w:t>
      </w:r>
    </w:p>
    <w:p w:rsidR="00DB4396" w:rsidP="6BA81473" w:rsidRDefault="0CE7E3C1" w14:paraId="0A93E962" w14:textId="589009BC">
      <w:pPr>
        <w:pStyle w:val="ListParagraph"/>
        <w:numPr>
          <w:ilvl w:val="0"/>
          <w:numId w:val="6"/>
        </w:numPr>
        <w:spacing w:after="0"/>
        <w:rPr>
          <w:rFonts w:ascii="Arial" w:hAnsi="Arial" w:eastAsia="Arial" w:cs="Arial"/>
        </w:rPr>
      </w:pPr>
      <w:r w:rsidRPr="6BA81473">
        <w:rPr>
          <w:rFonts w:ascii="Arial" w:hAnsi="Arial" w:eastAsia="Arial" w:cs="Arial"/>
        </w:rPr>
        <w:t>Obstacles</w:t>
      </w:r>
    </w:p>
    <w:p w:rsidR="00DB4396" w:rsidP="6BA81473" w:rsidRDefault="0CE7E3C1" w14:paraId="6F85E9B0" w14:textId="4907F3B7">
      <w:pPr>
        <w:pStyle w:val="ListParagraph"/>
        <w:numPr>
          <w:ilvl w:val="0"/>
          <w:numId w:val="6"/>
        </w:numPr>
        <w:spacing w:after="0"/>
        <w:rPr>
          <w:rFonts w:ascii="Arial" w:hAnsi="Arial" w:eastAsia="Arial" w:cs="Arial"/>
        </w:rPr>
      </w:pPr>
      <w:r w:rsidRPr="6BA81473">
        <w:rPr>
          <w:rFonts w:ascii="Arial" w:hAnsi="Arial" w:eastAsia="Arial" w:cs="Arial"/>
        </w:rPr>
        <w:t>Weaknesses</w:t>
      </w:r>
    </w:p>
    <w:p w:rsidR="00DB4396" w:rsidP="6BA81473" w:rsidRDefault="0CE7E3C1" w14:paraId="248A33C8" w14:textId="2E468531">
      <w:pPr>
        <w:pStyle w:val="ListParagraph"/>
        <w:numPr>
          <w:ilvl w:val="0"/>
          <w:numId w:val="6"/>
        </w:numPr>
        <w:spacing w:after="0"/>
        <w:rPr>
          <w:rFonts w:ascii="Arial" w:hAnsi="Arial" w:eastAsia="Arial" w:cs="Arial"/>
        </w:rPr>
      </w:pPr>
      <w:r w:rsidRPr="6BA81473">
        <w:rPr>
          <w:rFonts w:ascii="Arial" w:hAnsi="Arial" w:eastAsia="Arial" w:cs="Arial"/>
        </w:rPr>
        <w:t>Aspirations</w:t>
      </w:r>
    </w:p>
    <w:p w:rsidR="00DB4396" w:rsidP="6BA81473" w:rsidRDefault="0CE7E3C1" w14:paraId="36A5CD07" w14:textId="54B8F0D7">
      <w:pPr>
        <w:pStyle w:val="ListParagraph"/>
        <w:numPr>
          <w:ilvl w:val="0"/>
          <w:numId w:val="6"/>
        </w:numPr>
        <w:spacing w:after="0"/>
        <w:rPr>
          <w:rFonts w:ascii="Arial" w:hAnsi="Arial" w:eastAsia="Arial" w:cs="Arial"/>
        </w:rPr>
      </w:pPr>
      <w:r w:rsidRPr="6BA81473">
        <w:rPr>
          <w:rFonts w:ascii="Arial" w:hAnsi="Arial" w:eastAsia="Arial" w:cs="Arial"/>
        </w:rPr>
        <w:t>Needs</w:t>
      </w:r>
    </w:p>
    <w:p w:rsidR="00DB4396" w:rsidP="6BA81473" w:rsidRDefault="0CE7E3C1" w14:paraId="76EFCCDC" w14:textId="5EFA09EE">
      <w:pPr>
        <w:pStyle w:val="ListParagraph"/>
        <w:numPr>
          <w:ilvl w:val="0"/>
          <w:numId w:val="6"/>
        </w:numPr>
        <w:spacing w:after="0"/>
        <w:rPr>
          <w:rFonts w:ascii="Arial" w:hAnsi="Arial" w:eastAsia="Arial" w:cs="Arial"/>
        </w:rPr>
      </w:pPr>
      <w:r w:rsidRPr="6BA81473">
        <w:rPr>
          <w:rFonts w:ascii="Arial" w:hAnsi="Arial" w:eastAsia="Arial" w:cs="Arial"/>
        </w:rPr>
        <w:t>Solutions</w:t>
      </w:r>
    </w:p>
    <w:p w:rsidR="00DB4396" w:rsidRDefault="0CE7E3C1" w14:paraId="394DF958" w14:textId="68769DA1">
      <w:r w:rsidRPr="6BA81473">
        <w:rPr>
          <w:rFonts w:ascii="Arial" w:hAnsi="Arial" w:eastAsia="Arial" w:cs="Arial"/>
        </w:rPr>
        <w:t>For ConnectPlus, a major obstacle may be resistance to AI-driven technologies. Proposed solutions include transparent communication and enhanced cybersecurity measures.</w:t>
      </w:r>
    </w:p>
    <w:p w:rsidR="00DB4396" w:rsidRDefault="0CE7E3C1" w14:paraId="2E91A07B" w14:textId="1052C540">
      <w:r w:rsidRPr="6BA81473">
        <w:rPr>
          <w:rFonts w:ascii="Arial" w:hAnsi="Arial" w:eastAsia="Arial" w:cs="Arial"/>
        </w:rPr>
        <w:t>Using both approaches allows Amazon to understand stakeholder concerns more effectively and develop targeted engagement strategies.</w:t>
      </w:r>
    </w:p>
    <w:p w:rsidR="00DB4396" w:rsidRDefault="00DB4396" w14:paraId="3DACEB14" w14:textId="4B370BBC"/>
    <w:p w:rsidR="00DB4396" w:rsidP="6BA81473" w:rsidRDefault="0CE7E3C1" w14:paraId="1894F44E" w14:textId="07AAA5A7">
      <w:pPr>
        <w:pStyle w:val="Heading2"/>
      </w:pPr>
      <w:r w:rsidRPr="6BA81473">
        <w:rPr>
          <w:rFonts w:ascii="Arial" w:hAnsi="Arial" w:eastAsia="Arial" w:cs="Arial"/>
          <w:sz w:val="24"/>
          <w:szCs w:val="24"/>
        </w:rPr>
        <w:t>5.4 Communication Plan</w:t>
      </w:r>
    </w:p>
    <w:p w:rsidR="00DB4396" w:rsidRDefault="0CE7E3C1" w14:paraId="77FA402E" w14:textId="7D47280F">
      <w:r w:rsidRPr="6BA81473">
        <w:rPr>
          <w:rFonts w:ascii="Arial" w:hAnsi="Arial" w:eastAsia="Arial" w:cs="Arial"/>
        </w:rPr>
        <w:t>An effective communication plan ensures stakeholders receive appropriate information at the right time.</w:t>
      </w:r>
    </w:p>
    <w:tbl>
      <w:tblPr>
        <w:tblW w:w="9015" w:type="dxa"/>
        <w:tblLook w:val="06A0" w:firstRow="1" w:lastRow="0" w:firstColumn="1" w:lastColumn="0" w:noHBand="1" w:noVBand="1"/>
      </w:tblPr>
      <w:tblGrid>
        <w:gridCol w:w="3600"/>
        <w:gridCol w:w="2410"/>
        <w:gridCol w:w="3005"/>
      </w:tblGrid>
      <w:tr w:rsidR="6BA81473" w:rsidTr="4A5EE241" w14:paraId="0A1DE8DC" w14:textId="77777777">
        <w:trPr>
          <w:trHeight w:val="300"/>
        </w:trPr>
        <w:tc>
          <w:tcPr>
            <w:tcW w:w="3600" w:type="dxa"/>
            <w:tcMar/>
            <w:vAlign w:val="center"/>
          </w:tcPr>
          <w:p w:rsidR="6BA81473" w:rsidP="6BA81473" w:rsidRDefault="6BA81473" w14:paraId="50998F76" w14:textId="1B6298D4">
            <w:pPr>
              <w:spacing w:after="0"/>
              <w:jc w:val="center"/>
            </w:pPr>
            <w:r w:rsidRPr="6BA81473">
              <w:rPr>
                <w:b/>
                <w:bCs/>
              </w:rPr>
              <w:t>Stakeholder</w:t>
            </w:r>
          </w:p>
        </w:tc>
        <w:tc>
          <w:tcPr>
            <w:tcW w:w="2410" w:type="dxa"/>
            <w:tcMar/>
            <w:vAlign w:val="center"/>
          </w:tcPr>
          <w:p w:rsidR="6BA81473" w:rsidP="6BA81473" w:rsidRDefault="6BA81473" w14:paraId="58016592" w14:textId="65DB4B15">
            <w:pPr>
              <w:spacing w:after="0"/>
              <w:jc w:val="center"/>
            </w:pPr>
            <w:r w:rsidRPr="6BA81473">
              <w:rPr>
                <w:b/>
                <w:bCs/>
              </w:rPr>
              <w:t>Communication Method</w:t>
            </w:r>
          </w:p>
        </w:tc>
        <w:tc>
          <w:tcPr>
            <w:tcW w:w="3005" w:type="dxa"/>
            <w:tcMar/>
            <w:vAlign w:val="center"/>
          </w:tcPr>
          <w:p w:rsidR="6BA81473" w:rsidP="6BA81473" w:rsidRDefault="6BA81473" w14:paraId="2926726D" w14:textId="2FD13056">
            <w:pPr>
              <w:spacing w:after="0"/>
              <w:jc w:val="center"/>
            </w:pPr>
            <w:r w:rsidRPr="6BA81473">
              <w:rPr>
                <w:b/>
                <w:bCs/>
              </w:rPr>
              <w:t>Frequency</w:t>
            </w:r>
          </w:p>
        </w:tc>
      </w:tr>
      <w:tr w:rsidR="6BA81473" w:rsidTr="4A5EE241" w14:paraId="3AD6E154" w14:textId="77777777">
        <w:trPr>
          <w:trHeight w:val="300"/>
        </w:trPr>
        <w:tc>
          <w:tcPr>
            <w:tcW w:w="3600" w:type="dxa"/>
            <w:tcMar/>
            <w:vAlign w:val="center"/>
          </w:tcPr>
          <w:p w:rsidR="6BA81473" w:rsidP="6BA81473" w:rsidRDefault="6BA81473" w14:paraId="6670DC6B" w14:textId="6F1CFB15">
            <w:pPr>
              <w:spacing w:after="0"/>
            </w:pPr>
            <w:r>
              <w:t>Senior Management</w:t>
            </w:r>
          </w:p>
        </w:tc>
        <w:tc>
          <w:tcPr>
            <w:tcW w:w="2410" w:type="dxa"/>
            <w:tcMar/>
            <w:vAlign w:val="center"/>
          </w:tcPr>
          <w:p w:rsidR="6BA81473" w:rsidP="6BA81473" w:rsidRDefault="6BA81473" w14:paraId="06E3AC02" w14:textId="3E165590">
            <w:pPr>
              <w:spacing w:after="0"/>
            </w:pPr>
            <w:r>
              <w:t>Executive Reports</w:t>
            </w:r>
          </w:p>
        </w:tc>
        <w:tc>
          <w:tcPr>
            <w:tcW w:w="3005" w:type="dxa"/>
            <w:tcMar/>
            <w:vAlign w:val="center"/>
          </w:tcPr>
          <w:p w:rsidR="6BA81473" w:rsidP="6BA81473" w:rsidRDefault="6BA81473" w14:paraId="6DC2C651" w14:textId="1E5DE3BB">
            <w:pPr>
              <w:spacing w:after="0"/>
            </w:pPr>
            <w:r>
              <w:t>Monthly</w:t>
            </w:r>
          </w:p>
        </w:tc>
      </w:tr>
      <w:tr w:rsidR="6BA81473" w:rsidTr="4A5EE241" w14:paraId="15AD0722" w14:textId="77777777">
        <w:trPr>
          <w:trHeight w:val="300"/>
        </w:trPr>
        <w:tc>
          <w:tcPr>
            <w:tcW w:w="3600" w:type="dxa"/>
            <w:tcMar/>
            <w:vAlign w:val="center"/>
          </w:tcPr>
          <w:p w:rsidR="6BA81473" w:rsidP="6BA81473" w:rsidRDefault="6BA81473" w14:paraId="5EF4EAED" w14:textId="55236C95">
            <w:pPr>
              <w:spacing w:after="0"/>
            </w:pPr>
            <w:r>
              <w:t>Project Team</w:t>
            </w:r>
          </w:p>
        </w:tc>
        <w:tc>
          <w:tcPr>
            <w:tcW w:w="2410" w:type="dxa"/>
            <w:tcMar/>
            <w:vAlign w:val="center"/>
          </w:tcPr>
          <w:p w:rsidR="6BA81473" w:rsidP="6BA81473" w:rsidRDefault="6BA81473" w14:paraId="1F183709" w14:textId="60564F4E">
            <w:pPr>
              <w:spacing w:after="0"/>
            </w:pPr>
            <w:r>
              <w:t>Team Meetings</w:t>
            </w:r>
          </w:p>
        </w:tc>
        <w:tc>
          <w:tcPr>
            <w:tcW w:w="3005" w:type="dxa"/>
            <w:tcMar/>
            <w:vAlign w:val="center"/>
          </w:tcPr>
          <w:p w:rsidR="6BA81473" w:rsidP="6BA81473" w:rsidRDefault="6BA81473" w14:paraId="752E0D3D" w14:textId="1B2FEB0E">
            <w:pPr>
              <w:spacing w:after="0"/>
            </w:pPr>
            <w:r>
              <w:t>Weekly</w:t>
            </w:r>
          </w:p>
        </w:tc>
      </w:tr>
      <w:tr w:rsidR="6BA81473" w:rsidTr="4A5EE241" w14:paraId="28E7DD1D" w14:textId="77777777">
        <w:trPr>
          <w:trHeight w:val="300"/>
        </w:trPr>
        <w:tc>
          <w:tcPr>
            <w:tcW w:w="3600" w:type="dxa"/>
            <w:tcMar/>
            <w:vAlign w:val="center"/>
          </w:tcPr>
          <w:p w:rsidR="6BA81473" w:rsidP="6BA81473" w:rsidRDefault="6BA81473" w14:paraId="059B4086" w14:textId="3C2F338D">
            <w:pPr>
              <w:spacing w:after="0"/>
            </w:pPr>
            <w:r>
              <w:t>Customers</w:t>
            </w:r>
          </w:p>
        </w:tc>
        <w:tc>
          <w:tcPr>
            <w:tcW w:w="2410" w:type="dxa"/>
            <w:tcMar/>
            <w:vAlign w:val="center"/>
          </w:tcPr>
          <w:p w:rsidR="6BA81473" w:rsidP="6BA81473" w:rsidRDefault="6BA81473" w14:paraId="31C49657" w14:textId="16B9D008">
            <w:pPr>
              <w:spacing w:after="0"/>
            </w:pPr>
            <w:r>
              <w:t>Email Updates and Surveys</w:t>
            </w:r>
          </w:p>
        </w:tc>
        <w:tc>
          <w:tcPr>
            <w:tcW w:w="3005" w:type="dxa"/>
            <w:tcMar/>
            <w:vAlign w:val="center"/>
          </w:tcPr>
          <w:p w:rsidR="6BA81473" w:rsidP="6BA81473" w:rsidRDefault="6BA81473" w14:paraId="2E94E026" w14:textId="1748A632">
            <w:pPr>
              <w:spacing w:after="0"/>
            </w:pPr>
            <w:r>
              <w:t>Monthly</w:t>
            </w:r>
          </w:p>
        </w:tc>
      </w:tr>
      <w:tr w:rsidR="6BA81473" w:rsidTr="4A5EE241" w14:paraId="0AC72DAD" w14:textId="77777777">
        <w:trPr>
          <w:trHeight w:val="300"/>
        </w:trPr>
        <w:tc>
          <w:tcPr>
            <w:tcW w:w="3600" w:type="dxa"/>
            <w:tcMar/>
            <w:vAlign w:val="center"/>
          </w:tcPr>
          <w:p w:rsidR="6BA81473" w:rsidP="6BA81473" w:rsidRDefault="6BA81473" w14:paraId="0477B715" w14:textId="51655AF9">
            <w:pPr>
              <w:spacing w:after="0"/>
            </w:pPr>
            <w:r>
              <w:t>Technology Partners</w:t>
            </w:r>
          </w:p>
        </w:tc>
        <w:tc>
          <w:tcPr>
            <w:tcW w:w="2410" w:type="dxa"/>
            <w:tcMar/>
            <w:vAlign w:val="center"/>
          </w:tcPr>
          <w:p w:rsidR="6BA81473" w:rsidP="6BA81473" w:rsidRDefault="6BA81473" w14:paraId="761ED4BB" w14:textId="140B46F0">
            <w:pPr>
              <w:spacing w:after="0"/>
            </w:pPr>
            <w:r>
              <w:t>Progress Reviews</w:t>
            </w:r>
          </w:p>
        </w:tc>
        <w:tc>
          <w:tcPr>
            <w:tcW w:w="3005" w:type="dxa"/>
            <w:tcMar/>
            <w:vAlign w:val="center"/>
          </w:tcPr>
          <w:p w:rsidR="6BA81473" w:rsidP="6BA81473" w:rsidRDefault="6BA81473" w14:paraId="45A8A956" w14:textId="3FF678BF">
            <w:pPr>
              <w:spacing w:after="0"/>
            </w:pPr>
            <w:r>
              <w:t>Monthly</w:t>
            </w:r>
          </w:p>
        </w:tc>
      </w:tr>
      <w:tr w:rsidR="6BA81473" w:rsidTr="4A5EE241" w14:paraId="035AE6BA" w14:textId="77777777">
        <w:trPr>
          <w:trHeight w:val="300"/>
        </w:trPr>
        <w:tc>
          <w:tcPr>
            <w:tcW w:w="3600" w:type="dxa"/>
            <w:tcMar/>
            <w:vAlign w:val="center"/>
          </w:tcPr>
          <w:p w:rsidR="6BA81473" w:rsidP="6BA81473" w:rsidRDefault="6BA81473" w14:paraId="4BCA301F" w14:textId="1CD4A420">
            <w:pPr>
              <w:spacing w:after="0"/>
            </w:pPr>
            <w:r>
              <w:t>Regulators</w:t>
            </w:r>
          </w:p>
        </w:tc>
        <w:tc>
          <w:tcPr>
            <w:tcW w:w="2410" w:type="dxa"/>
            <w:tcMar/>
            <w:vAlign w:val="center"/>
          </w:tcPr>
          <w:p w:rsidR="6BA81473" w:rsidP="6BA81473" w:rsidRDefault="6BA81473" w14:paraId="498D03DA" w14:textId="71B1686C">
            <w:pPr>
              <w:spacing w:after="0"/>
            </w:pPr>
            <w:r>
              <w:t>Compliance Reports</w:t>
            </w:r>
          </w:p>
        </w:tc>
        <w:tc>
          <w:tcPr>
            <w:tcW w:w="3005" w:type="dxa"/>
            <w:tcMar/>
            <w:vAlign w:val="center"/>
          </w:tcPr>
          <w:p w:rsidR="6BA81473" w:rsidP="6BA81473" w:rsidRDefault="6BA81473" w14:paraId="08FC4F86" w14:textId="06C165DF">
            <w:pPr>
              <w:spacing w:after="0"/>
            </w:pPr>
            <w:r>
              <w:t>Quarterly</w:t>
            </w:r>
          </w:p>
        </w:tc>
      </w:tr>
      <w:tr w:rsidR="6BA81473" w:rsidTr="4A5EE241" w14:paraId="32AF4295" w14:textId="77777777">
        <w:trPr>
          <w:trHeight w:val="300"/>
        </w:trPr>
        <w:tc>
          <w:tcPr>
            <w:tcW w:w="3600" w:type="dxa"/>
            <w:tcMar/>
            <w:vAlign w:val="center"/>
          </w:tcPr>
          <w:p w:rsidR="6BA81473" w:rsidP="6BA81473" w:rsidRDefault="6BA81473" w14:paraId="2E607B05" w14:textId="30FB0443">
            <w:pPr>
              <w:spacing w:after="0"/>
            </w:pPr>
            <w:r>
              <w:t>Investors</w:t>
            </w:r>
          </w:p>
        </w:tc>
        <w:tc>
          <w:tcPr>
            <w:tcW w:w="2410" w:type="dxa"/>
            <w:tcMar/>
            <w:vAlign w:val="center"/>
          </w:tcPr>
          <w:p w:rsidR="6BA81473" w:rsidP="6BA81473" w:rsidRDefault="6BA81473" w14:paraId="6B2617E4" w14:textId="56F75282">
            <w:pPr>
              <w:spacing w:after="0"/>
            </w:pPr>
            <w:r>
              <w:t>Performance Reports</w:t>
            </w:r>
          </w:p>
        </w:tc>
        <w:tc>
          <w:tcPr>
            <w:tcW w:w="3005" w:type="dxa"/>
            <w:tcMar/>
            <w:vAlign w:val="center"/>
          </w:tcPr>
          <w:p w:rsidR="6BA81473" w:rsidP="6BA81473" w:rsidRDefault="6BA81473" w14:paraId="159906FF" w14:textId="0CBC6098">
            <w:pPr>
              <w:spacing w:after="0"/>
            </w:pPr>
            <w:r>
              <w:t>Quarterly</w:t>
            </w:r>
          </w:p>
        </w:tc>
      </w:tr>
    </w:tbl>
    <w:p w:rsidR="00DB4396" w:rsidRDefault="0CE7E3C1" w14:paraId="04CD3E01" w14:textId="3D9A8FAF">
      <w:r w:rsidRPr="6BA81473">
        <w:rPr>
          <w:rFonts w:ascii="Arial" w:hAnsi="Arial" w:eastAsia="Arial" w:cs="Arial"/>
        </w:rPr>
        <w:t>The communication plan improves transparency, accountability, and stakeholder confidence throughout the project.</w:t>
      </w:r>
    </w:p>
    <w:p w:rsidR="00DB4396" w:rsidRDefault="00DB4396" w14:paraId="08AE1D24" w14:textId="65314F2C"/>
    <w:p w:rsidR="00DB4396" w:rsidP="6BA81473" w:rsidRDefault="0CE7E3C1" w14:paraId="1E26B368" w14:textId="78D0CA8A">
      <w:pPr>
        <w:pStyle w:val="Heading2"/>
      </w:pPr>
      <w:r w:rsidRPr="6BA81473">
        <w:rPr>
          <w:rFonts w:ascii="Arial" w:hAnsi="Arial" w:eastAsia="Arial" w:cs="Arial"/>
          <w:sz w:val="24"/>
          <w:szCs w:val="24"/>
        </w:rPr>
        <w:t>5.5 Application of the RACI Matrix</w:t>
      </w:r>
    </w:p>
    <w:p w:rsidR="00DB4396" w:rsidRDefault="0CE7E3C1" w14:paraId="433C6234" w14:textId="1CBF867E">
      <w:r w:rsidRPr="6BA81473">
        <w:rPr>
          <w:rFonts w:ascii="Arial" w:hAnsi="Arial" w:eastAsia="Arial" w:cs="Arial"/>
        </w:rPr>
        <w:t>The RACI Matrix clarifies stakeholder responsibilities and reduces confusion during project implementation.</w:t>
      </w:r>
    </w:p>
    <w:tbl>
      <w:tblPr>
        <w:tblW w:w="0" w:type="auto"/>
        <w:tblLook w:val="06A0" w:firstRow="1" w:lastRow="0" w:firstColumn="1" w:lastColumn="0" w:noHBand="1" w:noVBand="1"/>
      </w:tblPr>
      <w:tblGrid>
        <w:gridCol w:w="1803"/>
        <w:gridCol w:w="1803"/>
        <w:gridCol w:w="1803"/>
        <w:gridCol w:w="1803"/>
        <w:gridCol w:w="1803"/>
      </w:tblGrid>
      <w:tr w:rsidR="6BA81473" w:rsidTr="6BA81473" w14:paraId="30FA90C2" w14:textId="77777777">
        <w:trPr>
          <w:trHeight w:val="300"/>
        </w:trPr>
        <w:tc>
          <w:tcPr>
            <w:tcW w:w="1803" w:type="dxa"/>
            <w:vAlign w:val="center"/>
          </w:tcPr>
          <w:p w:rsidR="6BA81473" w:rsidP="6BA81473" w:rsidRDefault="6BA81473" w14:paraId="7A7C80F8" w14:textId="3158B3B7">
            <w:pPr>
              <w:spacing w:after="0"/>
            </w:pPr>
            <w:r>
              <w:t>Activity</w:t>
            </w:r>
          </w:p>
        </w:tc>
        <w:tc>
          <w:tcPr>
            <w:tcW w:w="1803" w:type="dxa"/>
            <w:vAlign w:val="center"/>
          </w:tcPr>
          <w:p w:rsidR="6BA81473" w:rsidP="6BA81473" w:rsidRDefault="6BA81473" w14:paraId="7028A19D" w14:textId="54ED65D9">
            <w:pPr>
              <w:spacing w:after="0"/>
            </w:pPr>
            <w:r>
              <w:t>Project Manager</w:t>
            </w:r>
          </w:p>
        </w:tc>
        <w:tc>
          <w:tcPr>
            <w:tcW w:w="1803" w:type="dxa"/>
            <w:vAlign w:val="center"/>
          </w:tcPr>
          <w:p w:rsidR="6BA81473" w:rsidP="6BA81473" w:rsidRDefault="6BA81473" w14:paraId="58FAC869" w14:textId="6F0BEC60">
            <w:pPr>
              <w:spacing w:after="0"/>
            </w:pPr>
            <w:r>
              <w:t>IT Team</w:t>
            </w:r>
          </w:p>
        </w:tc>
        <w:tc>
          <w:tcPr>
            <w:tcW w:w="1803" w:type="dxa"/>
            <w:vAlign w:val="center"/>
          </w:tcPr>
          <w:p w:rsidR="6BA81473" w:rsidP="6BA81473" w:rsidRDefault="6BA81473" w14:paraId="01645731" w14:textId="3293067F">
            <w:pPr>
              <w:spacing w:after="0"/>
            </w:pPr>
            <w:r>
              <w:t>Marketing Team</w:t>
            </w:r>
          </w:p>
        </w:tc>
        <w:tc>
          <w:tcPr>
            <w:tcW w:w="1803" w:type="dxa"/>
            <w:vAlign w:val="center"/>
          </w:tcPr>
          <w:p w:rsidR="6BA81473" w:rsidP="6BA81473" w:rsidRDefault="6BA81473" w14:paraId="01AF01EC" w14:textId="2BFB3E03">
            <w:pPr>
              <w:spacing w:after="0"/>
            </w:pPr>
            <w:r>
              <w:t>Senior Management</w:t>
            </w:r>
          </w:p>
        </w:tc>
      </w:tr>
      <w:tr w:rsidR="6BA81473" w:rsidTr="6BA81473" w14:paraId="4207E56C" w14:textId="77777777">
        <w:trPr>
          <w:trHeight w:val="300"/>
        </w:trPr>
        <w:tc>
          <w:tcPr>
            <w:tcW w:w="1803" w:type="dxa"/>
            <w:vAlign w:val="center"/>
          </w:tcPr>
          <w:p w:rsidR="6BA81473" w:rsidP="6BA81473" w:rsidRDefault="6BA81473" w14:paraId="7D4CF600" w14:textId="20F7DF7A">
            <w:pPr>
              <w:spacing w:after="0"/>
            </w:pPr>
            <w:r>
              <w:t>Platform Development</w:t>
            </w:r>
          </w:p>
        </w:tc>
        <w:tc>
          <w:tcPr>
            <w:tcW w:w="1803" w:type="dxa"/>
            <w:vAlign w:val="center"/>
          </w:tcPr>
          <w:p w:rsidR="6BA81473" w:rsidP="6BA81473" w:rsidRDefault="6BA81473" w14:paraId="7C3E8A48" w14:textId="41A719CB">
            <w:pPr>
              <w:spacing w:after="0"/>
            </w:pPr>
            <w:r>
              <w:t>A</w:t>
            </w:r>
          </w:p>
        </w:tc>
        <w:tc>
          <w:tcPr>
            <w:tcW w:w="1803" w:type="dxa"/>
            <w:vAlign w:val="center"/>
          </w:tcPr>
          <w:p w:rsidR="6BA81473" w:rsidP="6BA81473" w:rsidRDefault="6BA81473" w14:paraId="233B4277" w14:textId="497EA5BB">
            <w:pPr>
              <w:spacing w:after="0"/>
            </w:pPr>
            <w:r>
              <w:t>R</w:t>
            </w:r>
          </w:p>
        </w:tc>
        <w:tc>
          <w:tcPr>
            <w:tcW w:w="1803" w:type="dxa"/>
            <w:vAlign w:val="center"/>
          </w:tcPr>
          <w:p w:rsidR="6BA81473" w:rsidP="6BA81473" w:rsidRDefault="6BA81473" w14:paraId="1C38115A" w14:textId="2548C7F8">
            <w:pPr>
              <w:spacing w:after="0"/>
            </w:pPr>
            <w:r>
              <w:t>C</w:t>
            </w:r>
          </w:p>
        </w:tc>
        <w:tc>
          <w:tcPr>
            <w:tcW w:w="1803" w:type="dxa"/>
            <w:vAlign w:val="center"/>
          </w:tcPr>
          <w:p w:rsidR="6BA81473" w:rsidP="6BA81473" w:rsidRDefault="6BA81473" w14:paraId="0FA824DB" w14:textId="368D7CD0">
            <w:pPr>
              <w:spacing w:after="0"/>
            </w:pPr>
            <w:r>
              <w:t>I</w:t>
            </w:r>
          </w:p>
        </w:tc>
      </w:tr>
      <w:tr w:rsidR="6BA81473" w:rsidTr="6BA81473" w14:paraId="4BFCE48A" w14:textId="77777777">
        <w:trPr>
          <w:trHeight w:val="300"/>
        </w:trPr>
        <w:tc>
          <w:tcPr>
            <w:tcW w:w="1803" w:type="dxa"/>
            <w:vAlign w:val="center"/>
          </w:tcPr>
          <w:p w:rsidR="6BA81473" w:rsidP="6BA81473" w:rsidRDefault="6BA81473" w14:paraId="149B86B3" w14:textId="48612381">
            <w:pPr>
              <w:spacing w:after="0"/>
            </w:pPr>
            <w:r>
              <w:t>Customer Testing</w:t>
            </w:r>
          </w:p>
        </w:tc>
        <w:tc>
          <w:tcPr>
            <w:tcW w:w="1803" w:type="dxa"/>
            <w:vAlign w:val="center"/>
          </w:tcPr>
          <w:p w:rsidR="6BA81473" w:rsidP="6BA81473" w:rsidRDefault="6BA81473" w14:paraId="34DD1682" w14:textId="212D8F42">
            <w:pPr>
              <w:spacing w:after="0"/>
            </w:pPr>
            <w:r>
              <w:t>A</w:t>
            </w:r>
          </w:p>
        </w:tc>
        <w:tc>
          <w:tcPr>
            <w:tcW w:w="1803" w:type="dxa"/>
            <w:vAlign w:val="center"/>
          </w:tcPr>
          <w:p w:rsidR="6BA81473" w:rsidP="6BA81473" w:rsidRDefault="6BA81473" w14:paraId="3C15265E" w14:textId="51F62C0E">
            <w:pPr>
              <w:spacing w:after="0"/>
            </w:pPr>
            <w:r>
              <w:t>R</w:t>
            </w:r>
          </w:p>
        </w:tc>
        <w:tc>
          <w:tcPr>
            <w:tcW w:w="1803" w:type="dxa"/>
            <w:vAlign w:val="center"/>
          </w:tcPr>
          <w:p w:rsidR="6BA81473" w:rsidP="6BA81473" w:rsidRDefault="6BA81473" w14:paraId="217CEA7C" w14:textId="425C9FFD">
            <w:pPr>
              <w:spacing w:after="0"/>
            </w:pPr>
            <w:r>
              <w:t>C</w:t>
            </w:r>
          </w:p>
        </w:tc>
        <w:tc>
          <w:tcPr>
            <w:tcW w:w="1803" w:type="dxa"/>
            <w:vAlign w:val="center"/>
          </w:tcPr>
          <w:p w:rsidR="6BA81473" w:rsidP="6BA81473" w:rsidRDefault="6BA81473" w14:paraId="2413FB80" w14:textId="464D9A45">
            <w:pPr>
              <w:spacing w:after="0"/>
            </w:pPr>
            <w:r>
              <w:t>I</w:t>
            </w:r>
          </w:p>
        </w:tc>
      </w:tr>
      <w:tr w:rsidR="6BA81473" w:rsidTr="6BA81473" w14:paraId="7FB11AE4" w14:textId="77777777">
        <w:trPr>
          <w:trHeight w:val="300"/>
        </w:trPr>
        <w:tc>
          <w:tcPr>
            <w:tcW w:w="1803" w:type="dxa"/>
            <w:vAlign w:val="center"/>
          </w:tcPr>
          <w:p w:rsidR="6BA81473" w:rsidP="6BA81473" w:rsidRDefault="6BA81473" w14:paraId="6B67362E" w14:textId="089BFB49">
            <w:pPr>
              <w:spacing w:after="0"/>
            </w:pPr>
            <w:r>
              <w:t>Marketing Campaign</w:t>
            </w:r>
          </w:p>
        </w:tc>
        <w:tc>
          <w:tcPr>
            <w:tcW w:w="1803" w:type="dxa"/>
            <w:vAlign w:val="center"/>
          </w:tcPr>
          <w:p w:rsidR="6BA81473" w:rsidP="6BA81473" w:rsidRDefault="6BA81473" w14:paraId="4EA14B0F" w14:textId="2A84C65D">
            <w:pPr>
              <w:spacing w:after="0"/>
            </w:pPr>
            <w:r>
              <w:t>C</w:t>
            </w:r>
          </w:p>
        </w:tc>
        <w:tc>
          <w:tcPr>
            <w:tcW w:w="1803" w:type="dxa"/>
            <w:vAlign w:val="center"/>
          </w:tcPr>
          <w:p w:rsidR="6BA81473" w:rsidP="6BA81473" w:rsidRDefault="6BA81473" w14:paraId="6F5E1D45" w14:textId="63122054">
            <w:pPr>
              <w:spacing w:after="0"/>
            </w:pPr>
            <w:r>
              <w:t>I</w:t>
            </w:r>
          </w:p>
        </w:tc>
        <w:tc>
          <w:tcPr>
            <w:tcW w:w="1803" w:type="dxa"/>
            <w:vAlign w:val="center"/>
          </w:tcPr>
          <w:p w:rsidR="6BA81473" w:rsidP="6BA81473" w:rsidRDefault="6BA81473" w14:paraId="4A9B7EA5" w14:textId="281925D3">
            <w:pPr>
              <w:spacing w:after="0"/>
            </w:pPr>
            <w:r>
              <w:t>R</w:t>
            </w:r>
          </w:p>
        </w:tc>
        <w:tc>
          <w:tcPr>
            <w:tcW w:w="1803" w:type="dxa"/>
            <w:vAlign w:val="center"/>
          </w:tcPr>
          <w:p w:rsidR="6BA81473" w:rsidP="6BA81473" w:rsidRDefault="6BA81473" w14:paraId="32B0F1D0" w14:textId="125A8042">
            <w:pPr>
              <w:spacing w:after="0"/>
            </w:pPr>
            <w:r>
              <w:t>I</w:t>
            </w:r>
          </w:p>
        </w:tc>
      </w:tr>
      <w:tr w:rsidR="6BA81473" w:rsidTr="6BA81473" w14:paraId="1E699E2C" w14:textId="77777777">
        <w:trPr>
          <w:trHeight w:val="300"/>
        </w:trPr>
        <w:tc>
          <w:tcPr>
            <w:tcW w:w="1803" w:type="dxa"/>
            <w:vAlign w:val="center"/>
          </w:tcPr>
          <w:p w:rsidR="6BA81473" w:rsidP="6BA81473" w:rsidRDefault="6BA81473" w14:paraId="6650C9C4" w14:textId="6517C3F0">
            <w:pPr>
              <w:spacing w:after="0"/>
            </w:pPr>
            <w:r>
              <w:t>Project Approval</w:t>
            </w:r>
          </w:p>
        </w:tc>
        <w:tc>
          <w:tcPr>
            <w:tcW w:w="1803" w:type="dxa"/>
            <w:vAlign w:val="center"/>
          </w:tcPr>
          <w:p w:rsidR="6BA81473" w:rsidP="6BA81473" w:rsidRDefault="6BA81473" w14:paraId="15A82D6B" w14:textId="246486E4">
            <w:pPr>
              <w:spacing w:after="0"/>
            </w:pPr>
            <w:r>
              <w:t>C</w:t>
            </w:r>
          </w:p>
        </w:tc>
        <w:tc>
          <w:tcPr>
            <w:tcW w:w="1803" w:type="dxa"/>
            <w:vAlign w:val="center"/>
          </w:tcPr>
          <w:p w:rsidR="6BA81473" w:rsidP="6BA81473" w:rsidRDefault="6BA81473" w14:paraId="687C7C07" w14:textId="064D33CE">
            <w:pPr>
              <w:spacing w:after="0"/>
            </w:pPr>
            <w:r>
              <w:t>I</w:t>
            </w:r>
          </w:p>
        </w:tc>
        <w:tc>
          <w:tcPr>
            <w:tcW w:w="1803" w:type="dxa"/>
            <w:vAlign w:val="center"/>
          </w:tcPr>
          <w:p w:rsidR="6BA81473" w:rsidP="6BA81473" w:rsidRDefault="6BA81473" w14:paraId="70AABFE4" w14:textId="3C599471">
            <w:pPr>
              <w:spacing w:after="0"/>
            </w:pPr>
            <w:r>
              <w:t>I</w:t>
            </w:r>
          </w:p>
        </w:tc>
        <w:tc>
          <w:tcPr>
            <w:tcW w:w="1803" w:type="dxa"/>
            <w:vAlign w:val="center"/>
          </w:tcPr>
          <w:p w:rsidR="6BA81473" w:rsidP="6BA81473" w:rsidRDefault="6BA81473" w14:paraId="68AAFA91" w14:textId="090BBC83">
            <w:pPr>
              <w:spacing w:after="0"/>
            </w:pPr>
            <w:r>
              <w:t>A</w:t>
            </w:r>
          </w:p>
        </w:tc>
      </w:tr>
      <w:tr w:rsidR="6BA81473" w:rsidTr="6BA81473" w14:paraId="5834D473" w14:textId="77777777">
        <w:trPr>
          <w:trHeight w:val="300"/>
        </w:trPr>
        <w:tc>
          <w:tcPr>
            <w:tcW w:w="1803" w:type="dxa"/>
            <w:vAlign w:val="center"/>
          </w:tcPr>
          <w:p w:rsidR="6BA81473" w:rsidP="6BA81473" w:rsidRDefault="6BA81473" w14:paraId="0F608FB1" w14:textId="10EA57F1">
            <w:pPr>
              <w:spacing w:after="0"/>
            </w:pPr>
            <w:r>
              <w:t>Employee Training</w:t>
            </w:r>
          </w:p>
        </w:tc>
        <w:tc>
          <w:tcPr>
            <w:tcW w:w="1803" w:type="dxa"/>
            <w:vAlign w:val="center"/>
          </w:tcPr>
          <w:p w:rsidR="6BA81473" w:rsidP="6BA81473" w:rsidRDefault="6BA81473" w14:paraId="0D19589E" w14:textId="25513F7F">
            <w:pPr>
              <w:spacing w:after="0"/>
            </w:pPr>
            <w:r>
              <w:t>A</w:t>
            </w:r>
          </w:p>
        </w:tc>
        <w:tc>
          <w:tcPr>
            <w:tcW w:w="1803" w:type="dxa"/>
            <w:vAlign w:val="center"/>
          </w:tcPr>
          <w:p w:rsidR="6BA81473" w:rsidP="6BA81473" w:rsidRDefault="6BA81473" w14:paraId="364C56E7" w14:textId="50FD9506">
            <w:pPr>
              <w:spacing w:after="0"/>
            </w:pPr>
            <w:r>
              <w:t>C</w:t>
            </w:r>
          </w:p>
        </w:tc>
        <w:tc>
          <w:tcPr>
            <w:tcW w:w="1803" w:type="dxa"/>
            <w:vAlign w:val="center"/>
          </w:tcPr>
          <w:p w:rsidR="6BA81473" w:rsidP="6BA81473" w:rsidRDefault="6BA81473" w14:paraId="0362BCCE" w14:textId="78FEA104">
            <w:pPr>
              <w:spacing w:after="0"/>
            </w:pPr>
            <w:r>
              <w:t>I</w:t>
            </w:r>
          </w:p>
        </w:tc>
        <w:tc>
          <w:tcPr>
            <w:tcW w:w="1803" w:type="dxa"/>
            <w:vAlign w:val="center"/>
          </w:tcPr>
          <w:p w:rsidR="6BA81473" w:rsidP="6BA81473" w:rsidRDefault="6BA81473" w14:paraId="20CB9DF6" w14:textId="727D46E3">
            <w:pPr>
              <w:spacing w:after="0"/>
            </w:pPr>
            <w:r>
              <w:t>I</w:t>
            </w:r>
          </w:p>
        </w:tc>
      </w:tr>
    </w:tbl>
    <w:p w:rsidR="00DB4396" w:rsidRDefault="0CE7E3C1" w14:paraId="1EB26527" w14:textId="626E074C">
      <w:r w:rsidRPr="6BA81473">
        <w:rPr>
          <w:rFonts w:ascii="Arial" w:hAnsi="Arial" w:eastAsia="Arial" w:cs="Arial"/>
        </w:rPr>
        <w:t>Key:</w:t>
      </w:r>
    </w:p>
    <w:p w:rsidR="00DB4396" w:rsidP="6BA81473" w:rsidRDefault="0CE7E3C1" w14:paraId="0934E2A0" w14:textId="2C7797EE">
      <w:pPr>
        <w:pStyle w:val="ListParagraph"/>
        <w:numPr>
          <w:ilvl w:val="0"/>
          <w:numId w:val="16"/>
        </w:numPr>
        <w:spacing w:after="0"/>
        <w:rPr>
          <w:rFonts w:ascii="Arial" w:hAnsi="Arial" w:eastAsia="Arial" w:cs="Arial"/>
        </w:rPr>
      </w:pPr>
      <w:r w:rsidRPr="6BA81473">
        <w:rPr>
          <w:rFonts w:ascii="Arial" w:hAnsi="Arial" w:eastAsia="Arial" w:cs="Arial"/>
        </w:rPr>
        <w:t>R = Responsible</w:t>
      </w:r>
    </w:p>
    <w:p w:rsidR="00DB4396" w:rsidP="6BA81473" w:rsidRDefault="0CE7E3C1" w14:paraId="4D0B7B15" w14:textId="502A8A9A">
      <w:pPr>
        <w:pStyle w:val="ListParagraph"/>
        <w:numPr>
          <w:ilvl w:val="0"/>
          <w:numId w:val="16"/>
        </w:numPr>
        <w:spacing w:after="0"/>
        <w:rPr>
          <w:rFonts w:ascii="Arial" w:hAnsi="Arial" w:eastAsia="Arial" w:cs="Arial"/>
        </w:rPr>
      </w:pPr>
      <w:r w:rsidRPr="6BA81473">
        <w:rPr>
          <w:rFonts w:ascii="Arial" w:hAnsi="Arial" w:eastAsia="Arial" w:cs="Arial"/>
        </w:rPr>
        <w:t>A = Accountable</w:t>
      </w:r>
    </w:p>
    <w:p w:rsidR="00DB4396" w:rsidP="6BA81473" w:rsidRDefault="0CE7E3C1" w14:paraId="09A5E2EC" w14:textId="63CF06D9">
      <w:pPr>
        <w:pStyle w:val="ListParagraph"/>
        <w:numPr>
          <w:ilvl w:val="0"/>
          <w:numId w:val="16"/>
        </w:numPr>
        <w:spacing w:after="0"/>
        <w:rPr>
          <w:rFonts w:ascii="Arial" w:hAnsi="Arial" w:eastAsia="Arial" w:cs="Arial"/>
        </w:rPr>
      </w:pPr>
      <w:r w:rsidRPr="6BA81473">
        <w:rPr>
          <w:rFonts w:ascii="Arial" w:hAnsi="Arial" w:eastAsia="Arial" w:cs="Arial"/>
        </w:rPr>
        <w:t>C = Consulted</w:t>
      </w:r>
    </w:p>
    <w:p w:rsidR="00DB4396" w:rsidP="6BA81473" w:rsidRDefault="0CE7E3C1" w14:paraId="18DFB6B3" w14:textId="51F1057D">
      <w:pPr>
        <w:pStyle w:val="ListParagraph"/>
        <w:numPr>
          <w:ilvl w:val="0"/>
          <w:numId w:val="16"/>
        </w:numPr>
        <w:spacing w:after="0"/>
        <w:rPr>
          <w:rFonts w:ascii="Arial" w:hAnsi="Arial" w:eastAsia="Arial" w:cs="Arial"/>
        </w:rPr>
      </w:pPr>
      <w:r w:rsidRPr="6BA81473">
        <w:rPr>
          <w:rFonts w:ascii="Arial" w:hAnsi="Arial" w:eastAsia="Arial" w:cs="Arial"/>
        </w:rPr>
        <w:t>I = Informed</w:t>
      </w:r>
    </w:p>
    <w:p w:rsidR="00DB4396" w:rsidRDefault="0CE7E3C1" w14:paraId="78721B0E" w14:textId="0ACD882B">
      <w:r w:rsidRPr="6BA81473">
        <w:rPr>
          <w:rFonts w:ascii="Arial" w:hAnsi="Arial" w:eastAsia="Arial" w:cs="Arial"/>
        </w:rPr>
        <w:t>The RACI Matrix helps eliminate role ambiguity and improves coordination between stakeholder groups.</w:t>
      </w:r>
    </w:p>
    <w:p w:rsidR="00DB4396" w:rsidRDefault="00DB4396" w14:paraId="5DFB4D06" w14:textId="5E9A3767"/>
    <w:p w:rsidR="00DB4396" w:rsidP="6BA81473" w:rsidRDefault="0CE7E3C1" w14:paraId="6D840B71" w14:textId="08F754E3">
      <w:pPr>
        <w:pStyle w:val="Heading2"/>
      </w:pPr>
      <w:r w:rsidRPr="6BA81473">
        <w:rPr>
          <w:rFonts w:ascii="Arial" w:hAnsi="Arial" w:eastAsia="Arial" w:cs="Arial"/>
          <w:sz w:val="24"/>
          <w:szCs w:val="24"/>
        </w:rPr>
        <w:t>5.6 Conflict Management Strategies</w:t>
      </w:r>
    </w:p>
    <w:p w:rsidR="00DB4396" w:rsidRDefault="0CE7E3C1" w14:paraId="01DD5ACE" w14:textId="2D51CA64">
      <w:r w:rsidRPr="6BA81473">
        <w:rPr>
          <w:rFonts w:ascii="Arial" w:hAnsi="Arial" w:eastAsia="Arial" w:cs="Arial"/>
        </w:rPr>
        <w:t>Conflict is common in complex projects involving multiple stakeholders with different objectives and expectations. Effective conflict management is therefore essential for project success.</w:t>
      </w:r>
    </w:p>
    <w:p w:rsidR="00DB4396" w:rsidP="6BA81473" w:rsidRDefault="0CE7E3C1" w14:paraId="66D68B9C" w14:textId="51F56700">
      <w:pPr>
        <w:pStyle w:val="Heading3"/>
      </w:pPr>
      <w:r w:rsidRPr="6BA81473">
        <w:rPr>
          <w:rFonts w:ascii="Arial" w:hAnsi="Arial" w:eastAsia="Arial" w:cs="Arial"/>
          <w:sz w:val="24"/>
          <w:szCs w:val="24"/>
        </w:rPr>
        <w:t>Potential Sources of Conflict</w:t>
      </w:r>
    </w:p>
    <w:p w:rsidR="00DB4396" w:rsidP="6BA81473" w:rsidRDefault="0CE7E3C1" w14:paraId="59935696" w14:textId="0B7418FB">
      <w:pPr>
        <w:pStyle w:val="Heading4"/>
      </w:pPr>
      <w:r w:rsidRPr="6BA81473">
        <w:rPr>
          <w:rFonts w:ascii="Arial" w:hAnsi="Arial" w:eastAsia="Arial" w:cs="Arial"/>
        </w:rPr>
        <w:t>Data Privacy Concerns</w:t>
      </w:r>
    </w:p>
    <w:p w:rsidR="00DB4396" w:rsidRDefault="0CE7E3C1" w14:paraId="41B58D99" w14:textId="24F302FB">
      <w:r w:rsidRPr="6BA81473">
        <w:rPr>
          <w:rFonts w:ascii="Arial" w:hAnsi="Arial" w:eastAsia="Arial" w:cs="Arial"/>
        </w:rPr>
        <w:t>Customers may be reluctant to share personal information due to concerns about data misuse and security breaches.</w:t>
      </w:r>
    </w:p>
    <w:p w:rsidR="00DB4396" w:rsidP="6BA81473" w:rsidRDefault="0CE7E3C1" w14:paraId="6D000279" w14:textId="151C76E6">
      <w:pPr>
        <w:pStyle w:val="Heading4"/>
      </w:pPr>
      <w:r w:rsidRPr="6BA81473">
        <w:rPr>
          <w:rFonts w:ascii="Arial" w:hAnsi="Arial" w:eastAsia="Arial" w:cs="Arial"/>
        </w:rPr>
        <w:t>Resource Allocation</w:t>
      </w:r>
    </w:p>
    <w:p w:rsidR="00DB4396" w:rsidRDefault="0CE7E3C1" w14:paraId="43CEA2B4" w14:textId="7A9207A2">
      <w:r w:rsidRPr="6BA81473">
        <w:rPr>
          <w:rFonts w:ascii="Arial" w:hAnsi="Arial" w:eastAsia="Arial" w:cs="Arial"/>
        </w:rPr>
        <w:t>Departments may compete for financial resources, personnel, and technology infrastructure.</w:t>
      </w:r>
    </w:p>
    <w:p w:rsidR="00DB4396" w:rsidP="6BA81473" w:rsidRDefault="0CE7E3C1" w14:paraId="39AC565C" w14:textId="2E3EC64F">
      <w:pPr>
        <w:pStyle w:val="Heading4"/>
      </w:pPr>
      <w:r w:rsidRPr="6BA81473">
        <w:rPr>
          <w:rFonts w:ascii="Arial" w:hAnsi="Arial" w:eastAsia="Arial" w:cs="Arial"/>
        </w:rPr>
        <w:t>Project Priorities</w:t>
      </w:r>
    </w:p>
    <w:p w:rsidR="00DB4396" w:rsidRDefault="0CE7E3C1" w14:paraId="174ED16D" w14:textId="212BD482">
      <w:r w:rsidRPr="6BA81473">
        <w:rPr>
          <w:rFonts w:ascii="Arial" w:hAnsi="Arial" w:eastAsia="Arial" w:cs="Arial"/>
        </w:rPr>
        <w:t>Senior management may prioritise cost reduction, while technical teams focus on system quality and innovation.</w:t>
      </w:r>
    </w:p>
    <w:p w:rsidR="00DB4396" w:rsidP="6BA81473" w:rsidRDefault="0CE7E3C1" w14:paraId="63490259" w14:textId="756CEC2B">
      <w:pPr>
        <w:pStyle w:val="Heading4"/>
      </w:pPr>
      <w:r w:rsidRPr="6BA81473">
        <w:rPr>
          <w:rFonts w:ascii="Arial" w:hAnsi="Arial" w:eastAsia="Arial" w:cs="Arial"/>
        </w:rPr>
        <w:t>Cultural Differences</w:t>
      </w:r>
    </w:p>
    <w:p w:rsidR="00DB4396" w:rsidRDefault="0CE7E3C1" w14:paraId="45ACB7F7" w14:textId="10E33779">
      <w:r w:rsidRPr="6BA81473">
        <w:rPr>
          <w:rFonts w:ascii="Arial" w:hAnsi="Arial" w:eastAsia="Arial" w:cs="Arial"/>
        </w:rPr>
        <w:t>International stakeholders may have different communication styles, expectations, and regulatory requirements.</w:t>
      </w:r>
    </w:p>
    <w:p w:rsidR="00DB4396" w:rsidRDefault="00DB4396" w14:paraId="574F03BB" w14:textId="6EEBF253"/>
    <w:p w:rsidR="00DB4396" w:rsidP="6BA81473" w:rsidRDefault="0CE7E3C1" w14:paraId="7DBBF194" w14:textId="42454C55">
      <w:pPr>
        <w:pStyle w:val="Heading2"/>
      </w:pPr>
      <w:r w:rsidRPr="6BA81473">
        <w:rPr>
          <w:rFonts w:ascii="Arial" w:hAnsi="Arial" w:eastAsia="Arial" w:cs="Arial"/>
          <w:sz w:val="24"/>
          <w:szCs w:val="24"/>
        </w:rPr>
        <w:t>5.7 Managing Stakeholder Conflicts</w:t>
      </w:r>
    </w:p>
    <w:p w:rsidR="00DB4396" w:rsidP="6BA81473" w:rsidRDefault="0CE7E3C1" w14:paraId="7E9FE8F9" w14:textId="594DA212">
      <w:pPr>
        <w:pStyle w:val="Heading3"/>
      </w:pPr>
      <w:r w:rsidRPr="6BA81473">
        <w:rPr>
          <w:rFonts w:ascii="Arial" w:hAnsi="Arial" w:eastAsia="Arial" w:cs="Arial"/>
          <w:sz w:val="24"/>
          <w:szCs w:val="24"/>
        </w:rPr>
        <w:t>Collaboration Approach</w:t>
      </w:r>
    </w:p>
    <w:p w:rsidR="00DB4396" w:rsidRDefault="0CE7E3C1" w14:paraId="341431A4" w14:textId="418128AC">
      <w:r w:rsidRPr="6BA81473">
        <w:rPr>
          <w:rFonts w:ascii="Arial" w:hAnsi="Arial" w:eastAsia="Arial" w:cs="Arial"/>
        </w:rPr>
        <w:t>The collaboration approach seeks mutually beneficial solutions by encouraging open discussion and joint problem-solving. This method is particularly effective when maintaining long-term stakeholder relationships.</w:t>
      </w:r>
    </w:p>
    <w:p w:rsidR="00DB4396" w:rsidP="6BA81473" w:rsidRDefault="0CE7E3C1" w14:paraId="7B64E70A" w14:textId="23DEA94D">
      <w:pPr>
        <w:pStyle w:val="Heading3"/>
      </w:pPr>
      <w:r w:rsidRPr="6BA81473">
        <w:rPr>
          <w:rFonts w:ascii="Arial" w:hAnsi="Arial" w:eastAsia="Arial" w:cs="Arial"/>
          <w:sz w:val="24"/>
          <w:szCs w:val="24"/>
        </w:rPr>
        <w:t>Negotiation</w:t>
      </w:r>
    </w:p>
    <w:p w:rsidR="00DB4396" w:rsidRDefault="0CE7E3C1" w14:paraId="5BBFC1E1" w14:textId="0662F1A4">
      <w:r w:rsidRPr="6BA81473">
        <w:rPr>
          <w:rFonts w:ascii="Arial" w:hAnsi="Arial" w:eastAsia="Arial" w:cs="Arial"/>
        </w:rPr>
        <w:t>Negotiation enables stakeholders to reach agreements through compromise and shared understanding. Resource allocation conflicts can often be resolved through negotiation.</w:t>
      </w:r>
    </w:p>
    <w:p w:rsidR="00DB4396" w:rsidP="6BA81473" w:rsidRDefault="0CE7E3C1" w14:paraId="56C6C919" w14:textId="1086C29E">
      <w:pPr>
        <w:pStyle w:val="Heading3"/>
      </w:pPr>
      <w:r w:rsidRPr="6BA81473">
        <w:rPr>
          <w:rFonts w:ascii="Arial" w:hAnsi="Arial" w:eastAsia="Arial" w:cs="Arial"/>
          <w:sz w:val="24"/>
          <w:szCs w:val="24"/>
        </w:rPr>
        <w:t>Mediation</w:t>
      </w:r>
    </w:p>
    <w:p w:rsidR="00DB4396" w:rsidRDefault="0CE7E3C1" w14:paraId="5A74FAF2" w14:textId="2454A520">
      <w:r w:rsidRPr="6BA81473">
        <w:rPr>
          <w:rFonts w:ascii="Arial" w:hAnsi="Arial" w:eastAsia="Arial" w:cs="Arial"/>
        </w:rPr>
        <w:t>When disagreements become difficult to resolve, an independent mediator may facilitate discussions and identify acceptable solutions.</w:t>
      </w:r>
    </w:p>
    <w:p w:rsidR="00DB4396" w:rsidP="6BA81473" w:rsidRDefault="0CE7E3C1" w14:paraId="4314AAA0" w14:textId="5C790668">
      <w:pPr>
        <w:pStyle w:val="Heading3"/>
      </w:pPr>
      <w:r w:rsidRPr="6BA81473">
        <w:rPr>
          <w:rFonts w:ascii="Arial" w:hAnsi="Arial" w:eastAsia="Arial" w:cs="Arial"/>
          <w:sz w:val="24"/>
          <w:szCs w:val="24"/>
        </w:rPr>
        <w:t>Transparent Communication</w:t>
      </w:r>
    </w:p>
    <w:p w:rsidR="00DB4396" w:rsidRDefault="0CE7E3C1" w14:paraId="56EA7DDF" w14:textId="20C9AD2D">
      <w:r w:rsidRPr="6BA81473">
        <w:rPr>
          <w:rFonts w:ascii="Arial" w:hAnsi="Arial" w:eastAsia="Arial" w:cs="Arial"/>
        </w:rPr>
        <w:t>Transparent communication reduces misunderstandings and prevents conflicts from escalating. Regular updates and stakeholder consultations ensure concerns are addressed promptly.</w:t>
      </w:r>
    </w:p>
    <w:p w:rsidR="00DB4396" w:rsidP="6BA81473" w:rsidRDefault="0CE7E3C1" w14:paraId="0F2A8089" w14:textId="70A22B83">
      <w:pPr>
        <w:pStyle w:val="Heading3"/>
      </w:pPr>
      <w:r w:rsidRPr="6BA81473">
        <w:rPr>
          <w:rFonts w:ascii="Arial" w:hAnsi="Arial" w:eastAsia="Arial" w:cs="Arial"/>
          <w:sz w:val="24"/>
          <w:szCs w:val="24"/>
        </w:rPr>
        <w:t>Thomas-Kilmann Conflict Management Model</w:t>
      </w:r>
    </w:p>
    <w:p w:rsidR="00DB4396" w:rsidRDefault="0CE7E3C1" w14:paraId="360DF350" w14:textId="302937DB">
      <w:r w:rsidRPr="6BA81473">
        <w:rPr>
          <w:rFonts w:ascii="Arial" w:hAnsi="Arial" w:eastAsia="Arial" w:cs="Arial"/>
        </w:rPr>
        <w:t>The Thomas-Kilmann Model identifies five conflict-handling approaches:</w:t>
      </w:r>
    </w:p>
    <w:p w:rsidR="00DB4396" w:rsidP="6BA81473" w:rsidRDefault="0CE7E3C1" w14:paraId="728987F8" w14:textId="4FE26351">
      <w:pPr>
        <w:pStyle w:val="ListParagraph"/>
        <w:numPr>
          <w:ilvl w:val="0"/>
          <w:numId w:val="5"/>
        </w:numPr>
        <w:spacing w:after="0"/>
        <w:rPr>
          <w:rFonts w:ascii="Arial" w:hAnsi="Arial" w:eastAsia="Arial" w:cs="Arial"/>
        </w:rPr>
      </w:pPr>
      <w:r w:rsidRPr="6BA81473">
        <w:rPr>
          <w:rFonts w:ascii="Arial" w:hAnsi="Arial" w:eastAsia="Arial" w:cs="Arial"/>
        </w:rPr>
        <w:t>Collaborating</w:t>
      </w:r>
    </w:p>
    <w:p w:rsidR="00DB4396" w:rsidP="6BA81473" w:rsidRDefault="0CE7E3C1" w14:paraId="591CF429" w14:textId="7DB7DAC6">
      <w:pPr>
        <w:pStyle w:val="ListParagraph"/>
        <w:numPr>
          <w:ilvl w:val="0"/>
          <w:numId w:val="5"/>
        </w:numPr>
        <w:spacing w:after="0"/>
        <w:rPr>
          <w:rFonts w:ascii="Arial" w:hAnsi="Arial" w:eastAsia="Arial" w:cs="Arial"/>
        </w:rPr>
      </w:pPr>
      <w:r w:rsidRPr="6BA81473">
        <w:rPr>
          <w:rFonts w:ascii="Arial" w:hAnsi="Arial" w:eastAsia="Arial" w:cs="Arial"/>
        </w:rPr>
        <w:t>Compromising</w:t>
      </w:r>
    </w:p>
    <w:p w:rsidR="00DB4396" w:rsidP="6BA81473" w:rsidRDefault="0CE7E3C1" w14:paraId="0A485DD8" w14:textId="1C4C0A89">
      <w:pPr>
        <w:pStyle w:val="ListParagraph"/>
        <w:numPr>
          <w:ilvl w:val="0"/>
          <w:numId w:val="5"/>
        </w:numPr>
        <w:spacing w:after="0"/>
        <w:rPr>
          <w:rFonts w:ascii="Arial" w:hAnsi="Arial" w:eastAsia="Arial" w:cs="Arial"/>
        </w:rPr>
      </w:pPr>
      <w:r w:rsidRPr="6BA81473">
        <w:rPr>
          <w:rFonts w:ascii="Arial" w:hAnsi="Arial" w:eastAsia="Arial" w:cs="Arial"/>
        </w:rPr>
        <w:t>Accommodating</w:t>
      </w:r>
    </w:p>
    <w:p w:rsidR="00DB4396" w:rsidP="6BA81473" w:rsidRDefault="0CE7E3C1" w14:paraId="2E2FEE39" w14:textId="4B76D801">
      <w:pPr>
        <w:pStyle w:val="ListParagraph"/>
        <w:numPr>
          <w:ilvl w:val="0"/>
          <w:numId w:val="5"/>
        </w:numPr>
        <w:spacing w:after="0"/>
        <w:rPr>
          <w:rFonts w:ascii="Arial" w:hAnsi="Arial" w:eastAsia="Arial" w:cs="Arial"/>
        </w:rPr>
      </w:pPr>
      <w:r w:rsidRPr="6BA81473">
        <w:rPr>
          <w:rFonts w:ascii="Arial" w:hAnsi="Arial" w:eastAsia="Arial" w:cs="Arial"/>
        </w:rPr>
        <w:t>Competing</w:t>
      </w:r>
    </w:p>
    <w:p w:rsidR="00DB4396" w:rsidP="6BA81473" w:rsidRDefault="0CE7E3C1" w14:paraId="5E521253" w14:textId="634D6A5D">
      <w:pPr>
        <w:pStyle w:val="ListParagraph"/>
        <w:numPr>
          <w:ilvl w:val="0"/>
          <w:numId w:val="5"/>
        </w:numPr>
        <w:spacing w:after="0"/>
        <w:rPr>
          <w:rFonts w:ascii="Arial" w:hAnsi="Arial" w:eastAsia="Arial" w:cs="Arial"/>
        </w:rPr>
      </w:pPr>
      <w:r w:rsidRPr="6BA81473">
        <w:rPr>
          <w:rFonts w:ascii="Arial" w:hAnsi="Arial" w:eastAsia="Arial" w:cs="Arial"/>
        </w:rPr>
        <w:t>Avoiding</w:t>
      </w:r>
    </w:p>
    <w:p w:rsidR="00DB4396" w:rsidRDefault="0CE7E3C1" w14:paraId="47376963" w14:textId="6DB6C7CC">
      <w:r w:rsidRPr="6BA81473">
        <w:rPr>
          <w:rFonts w:ascii="Arial" w:hAnsi="Arial" w:eastAsia="Arial" w:cs="Arial"/>
        </w:rPr>
        <w:t>For the ConnectPlus project, collaboration is the preferred approach because it promotes stakeholder engagement, trust, and long-term commitment.</w:t>
      </w:r>
    </w:p>
    <w:p w:rsidR="00DB4396" w:rsidP="6BA81473" w:rsidRDefault="0CE7E3C1" w14:paraId="1D9A05B8" w14:textId="373CA6FE">
      <w:pPr>
        <w:pStyle w:val="Heading2"/>
      </w:pPr>
      <w:r w:rsidRPr="6BA81473">
        <w:rPr>
          <w:rFonts w:ascii="Arial" w:hAnsi="Arial" w:eastAsia="Arial" w:cs="Arial"/>
          <w:sz w:val="24"/>
          <w:szCs w:val="24"/>
        </w:rPr>
        <w:t>Conclusion</w:t>
      </w:r>
    </w:p>
    <w:p w:rsidR="00DB4396" w:rsidRDefault="0CE7E3C1" w14:paraId="289B1822" w14:textId="21FC8B89">
      <w:r w:rsidRPr="6BA81473">
        <w:rPr>
          <w:rFonts w:ascii="Arial" w:hAnsi="Arial" w:eastAsia="Arial" w:cs="Arial"/>
        </w:rPr>
        <w:t>As Project Manager, adopting a structured stakeholder engagement process supported by the Stakeholder Matrix, SWANS and OWANS analysis, Communication Planning, RACI Matrix, and the 4C's Model will help ensure successful implementation of ConnectPlus. These frameworks enable Amazon to build strong stakeholder relationships, encourage participation, manage conflicts effectively, and support sustainable project success. By engaging stakeholders continuously throughout the project lifecycle, Amazon can improve customer adoption, reduce implementation risks, and maximise the strategic benefits of the ConnectPlus platform.</w:t>
      </w:r>
    </w:p>
    <w:p w:rsidR="00DB4396" w:rsidP="6BA81473" w:rsidRDefault="0778BA1D" w14:paraId="3F2EC113" w14:textId="43FCC662">
      <w:pPr>
        <w:pStyle w:val="Heading1"/>
      </w:pPr>
      <w:r w:rsidRPr="6BA81473">
        <w:rPr>
          <w:rFonts w:ascii="Arial" w:hAnsi="Arial" w:eastAsia="Arial" w:cs="Arial"/>
          <w:sz w:val="24"/>
          <w:szCs w:val="24"/>
        </w:rPr>
        <w:t>6. Evaluation of the Impact of Sustainable Stakeholder Engagement on Business Performance</w:t>
      </w:r>
    </w:p>
    <w:p w:rsidR="00DB4396" w:rsidRDefault="0778BA1D" w14:paraId="592BFD1A" w14:textId="326BB0B0">
      <w:r w:rsidRPr="6BA81473">
        <w:rPr>
          <w:rFonts w:ascii="Arial" w:hAnsi="Arial" w:eastAsia="Arial" w:cs="Arial"/>
        </w:rPr>
        <w:t>Sustainable stakeholder engagement plays a crucial role in enhancing organisational performance, particularly in large multinational organisations such as Amazon. Stakeholder engagement involves building and maintaining long-term relationships with individuals and groups that influence or are affected by organisational activities. According to Freeman (1984), organisations create sustainable value when they consider the interests of all stakeholders rather than focusing solely on shareholder returns. For Amazon's ConnectPlus platform, sustainable stakeholder engagement is essential for achieving successful implementation, customer adoption, competitive advantage, and long-term business growth.</w:t>
      </w:r>
    </w:p>
    <w:p w:rsidR="00DB4396" w:rsidP="6BA81473" w:rsidRDefault="0778BA1D" w14:paraId="457B5207" w14:textId="14796827">
      <w:pPr>
        <w:pStyle w:val="Heading2"/>
      </w:pPr>
      <w:r w:rsidRPr="6BA81473">
        <w:rPr>
          <w:rFonts w:ascii="Arial" w:hAnsi="Arial" w:eastAsia="Arial" w:cs="Arial"/>
          <w:sz w:val="24"/>
          <w:szCs w:val="24"/>
        </w:rPr>
        <w:t>Improved Customer Loyalty and Retention</w:t>
      </w:r>
    </w:p>
    <w:p w:rsidR="00DB4396" w:rsidRDefault="0778BA1D" w14:paraId="5313DBBE" w14:textId="7A43A744">
      <w:r w:rsidRPr="6BA81473">
        <w:rPr>
          <w:rFonts w:ascii="Arial" w:hAnsi="Arial" w:eastAsia="Arial" w:cs="Arial"/>
        </w:rPr>
        <w:t>One of the most significant benefits of sustainable stakeholder engagement is improved customer loyalty and retention. ConnectPlus is designed to strengthen customer relationships through personalised recommendations, loyalty rewards, and enhanced user experiences. By continuously engaging customers through feedback mechanisms, surveys, and personalised communication, Amazon can better understand customer expectations and respond to changing needs.</w:t>
      </w:r>
    </w:p>
    <w:p w:rsidR="00DB4396" w:rsidRDefault="0778BA1D" w14:paraId="44D6AE0B" w14:textId="2B13D23E">
      <w:r w:rsidRPr="6BA81473">
        <w:rPr>
          <w:rFonts w:ascii="Arial" w:hAnsi="Arial" w:eastAsia="Arial" w:cs="Arial"/>
        </w:rPr>
        <w:t>Relationship Marketing Theory suggests that organisations that maintain strong stakeholder relationships achieve higher levels of customer satisfaction and loyalty (Payne, Christopher and Ballantyne, 2002). Loyal customers are more likely to make repeat purchases, recommend the brand to others, and contribute to long-term revenue growth. Consequently, effective stakeholder engagement directly supports Amazon's objective of increasing customer retention and lifetime customer value.</w:t>
      </w:r>
    </w:p>
    <w:p w:rsidR="00DB4396" w:rsidP="6BA81473" w:rsidRDefault="0778BA1D" w14:paraId="6089CB2A" w14:textId="570CC1B5">
      <w:pPr>
        <w:pStyle w:val="Heading2"/>
      </w:pPr>
      <w:r w:rsidRPr="6BA81473">
        <w:rPr>
          <w:rFonts w:ascii="Arial" w:hAnsi="Arial" w:eastAsia="Arial" w:cs="Arial"/>
          <w:sz w:val="24"/>
          <w:szCs w:val="24"/>
        </w:rPr>
        <w:t>Enhanced Decision-Making and Innovation</w:t>
      </w:r>
    </w:p>
    <w:p w:rsidR="00DB4396" w:rsidRDefault="0778BA1D" w14:paraId="741E127C" w14:textId="014D44C6">
      <w:r w:rsidRPr="6BA81473">
        <w:rPr>
          <w:rFonts w:ascii="Arial" w:hAnsi="Arial" w:eastAsia="Arial" w:cs="Arial"/>
        </w:rPr>
        <w:t>Sustainable stakeholder engagement improves organisational decision-making by providing access to diverse perspectives, knowledge, and expertise. Internal stakeholders such as employees, project teams, and technology specialists possess valuable operational insights, while external stakeholders such as customers and business partners provide information regarding market trends and consumer preferences.</w:t>
      </w:r>
    </w:p>
    <w:p w:rsidR="00DB4396" w:rsidRDefault="0778BA1D" w14:paraId="74603F51" w14:textId="706EBC37">
      <w:r w:rsidRPr="6BA81473">
        <w:rPr>
          <w:rFonts w:ascii="Arial" w:hAnsi="Arial" w:eastAsia="Arial" w:cs="Arial"/>
        </w:rPr>
        <w:t>For ConnectPlus, regular stakeholder consultation can help Amazon identify opportunities for product improvement, innovation, and service enhancement. Feedback gathered from customers and employees can be used to refine AI-powered recommendations, improve reward systems, and enhance overall user experience. This collaborative approach reduces the risk of developing solutions that fail to meet stakeholder expectations.</w:t>
      </w:r>
    </w:p>
    <w:p w:rsidR="00DB4396" w:rsidRDefault="0778BA1D" w14:paraId="679E344D" w14:textId="0437FF59">
      <w:r w:rsidRPr="6BA81473">
        <w:rPr>
          <w:rFonts w:ascii="Arial" w:hAnsi="Arial" w:eastAsia="Arial" w:cs="Arial"/>
        </w:rPr>
        <w:t>However, effective engagement requires significant investment in communication systems, stakeholder analysis, and relationship management activities. Organisations must therefore balance the benefits of stakeholder participation against the associated costs and resource requirements.</w:t>
      </w:r>
    </w:p>
    <w:p w:rsidR="00DB4396" w:rsidP="6BA81473" w:rsidRDefault="0778BA1D" w14:paraId="16A35878" w14:textId="08E40841">
      <w:pPr>
        <w:pStyle w:val="Heading2"/>
      </w:pPr>
      <w:r w:rsidRPr="6BA81473">
        <w:rPr>
          <w:rFonts w:ascii="Arial" w:hAnsi="Arial" w:eastAsia="Arial" w:cs="Arial"/>
          <w:sz w:val="24"/>
          <w:szCs w:val="24"/>
        </w:rPr>
        <w:t>Improved Employee Engagement and Productivity</w:t>
      </w:r>
    </w:p>
    <w:p w:rsidR="00DB4396" w:rsidRDefault="0778BA1D" w14:paraId="3C12CF79" w14:textId="199DB329">
      <w:r w:rsidRPr="6BA81473">
        <w:rPr>
          <w:rFonts w:ascii="Arial" w:hAnsi="Arial" w:eastAsia="Arial" w:cs="Arial"/>
        </w:rPr>
        <w:t>Employees are critical stakeholders in the successful implementation of organisational change initiatives. Sustainable stakeholder engagement encourages employees to participate actively in decision-making processes and organisational development activities. When employees feel valued and informed, they are more likely to demonstrate commitment, motivation, and support for organisational objectives.</w:t>
      </w:r>
    </w:p>
    <w:p w:rsidR="00DB4396" w:rsidRDefault="0778BA1D" w14:paraId="2B56BF6D" w14:textId="5CBCA167">
      <w:r w:rsidRPr="6BA81473">
        <w:rPr>
          <w:rFonts w:ascii="Arial" w:hAnsi="Arial" w:eastAsia="Arial" w:cs="Arial"/>
        </w:rPr>
        <w:t>For the ConnectPlus project, employee engagement is particularly important because staff members will be responsible for supporting customers, managing operational processes, and adapting to new technologies. Effective communication, training programmes, and consultation activities can reduce resistance to change and increase workforce readiness.</w:t>
      </w:r>
    </w:p>
    <w:p w:rsidR="00DB4396" w:rsidRDefault="0778BA1D" w14:paraId="38D79A0B" w14:textId="00F01600">
      <w:r w:rsidRPr="6BA81473">
        <w:rPr>
          <w:rFonts w:ascii="Arial" w:hAnsi="Arial" w:eastAsia="Arial" w:cs="Arial"/>
        </w:rPr>
        <w:t>Research suggests that engaged employees demonstrate higher productivity, improved job satisfaction, and stronger organisational commitment. As a result, sustainable stakeholder engagement contributes to improved operational performance and service quality across Amazon's global operations.</w:t>
      </w:r>
    </w:p>
    <w:p w:rsidR="00DB4396" w:rsidP="6BA81473" w:rsidRDefault="0778BA1D" w14:paraId="03D3E193" w14:textId="64CAA5FB">
      <w:pPr>
        <w:pStyle w:val="Heading2"/>
      </w:pPr>
      <w:r w:rsidRPr="6BA81473">
        <w:rPr>
          <w:rFonts w:ascii="Arial" w:hAnsi="Arial" w:eastAsia="Arial" w:cs="Arial"/>
          <w:sz w:val="24"/>
          <w:szCs w:val="24"/>
        </w:rPr>
        <w:t>Strengthened Corporate Reputation and Brand Image</w:t>
      </w:r>
    </w:p>
    <w:p w:rsidR="00DB4396" w:rsidRDefault="0778BA1D" w14:paraId="1B30921C" w14:textId="472131AD">
      <w:r w:rsidRPr="6BA81473">
        <w:rPr>
          <w:rFonts w:ascii="Arial" w:hAnsi="Arial" w:eastAsia="Arial" w:cs="Arial"/>
        </w:rPr>
        <w:t>A positive organisational reputation is an important source of competitive advantage in the retail and e-commerce sector. Sustainable stakeholder engagement helps organisations build trust, credibility, and positive relationships with customers, regulators, investors, and local communities.</w:t>
      </w:r>
    </w:p>
    <w:p w:rsidR="00DB4396" w:rsidRDefault="0778BA1D" w14:paraId="408F729D" w14:textId="4717816D">
      <w:r w:rsidRPr="6BA81473">
        <w:rPr>
          <w:rFonts w:ascii="Arial" w:hAnsi="Arial" w:eastAsia="Arial" w:cs="Arial"/>
        </w:rPr>
        <w:t>For Amazon, transparency regarding data usage, AI decision-making, and customer privacy will be essential for maintaining stakeholder trust in ConnectPlus. Customers are increasingly concerned about how organisations collect, store, and use personal information. Therefore, engaging stakeholders openly and ethically can enhance public confidence in the platform and reduce reputational risks.</w:t>
      </w:r>
    </w:p>
    <w:p w:rsidR="00DB4396" w:rsidRDefault="0778BA1D" w14:paraId="0F5E8B7C" w14:textId="36E777BD">
      <w:r w:rsidRPr="6BA81473">
        <w:rPr>
          <w:rFonts w:ascii="Arial" w:hAnsi="Arial" w:eastAsia="Arial" w:cs="Arial"/>
        </w:rPr>
        <w:t>Hughes and Demetrious (2006) argue that stakeholder engagement should involve genuine dialogue rather than symbolic consultation. If stakeholders perceive engagement activities as superficial, organisational trust may decline. Consequently, Amazon must ensure that stakeholder feedback influences decision-making processes and project outcomes.</w:t>
      </w:r>
    </w:p>
    <w:p w:rsidR="00DB4396" w:rsidP="6BA81473" w:rsidRDefault="0778BA1D" w14:paraId="7B722B53" w14:textId="1ED9AD37">
      <w:pPr>
        <w:pStyle w:val="Heading2"/>
      </w:pPr>
      <w:r w:rsidRPr="6BA81473">
        <w:rPr>
          <w:rFonts w:ascii="Arial" w:hAnsi="Arial" w:eastAsia="Arial" w:cs="Arial"/>
          <w:sz w:val="24"/>
          <w:szCs w:val="24"/>
        </w:rPr>
        <w:t>Improved Risk Management and Regulatory Compliance</w:t>
      </w:r>
    </w:p>
    <w:p w:rsidR="00DB4396" w:rsidRDefault="0778BA1D" w14:paraId="559A8F1D" w14:textId="65BC1445">
      <w:r w:rsidRPr="6BA81473">
        <w:rPr>
          <w:rFonts w:ascii="Arial" w:hAnsi="Arial" w:eastAsia="Arial" w:cs="Arial"/>
        </w:rPr>
        <w:t>Sustainable stakeholder engagement contributes significantly to risk management by enabling organisations to identify and address potential issues before they escalate into major problems. Through ongoing dialogue with stakeholders, project managers can identify concerns relating to data privacy, cybersecurity, operational performance, and regulatory compliance.</w:t>
      </w:r>
    </w:p>
    <w:p w:rsidR="00DB4396" w:rsidRDefault="0778BA1D" w14:paraId="0297D3F0" w14:textId="0FA9FDA1">
      <w:r w:rsidRPr="6BA81473">
        <w:rPr>
          <w:rFonts w:ascii="Arial" w:hAnsi="Arial" w:eastAsia="Arial" w:cs="Arial"/>
        </w:rPr>
        <w:t>For ConnectPlus, engagement with regulatory authorities is particularly important because the platform relies on customer data and AI technologies. Failure to comply with regulations such as the General Data Protection Regulation (GDPR) could result in legal penalties, financial losses, and reputational damage. Continuous engagement with regulators ensures that Amazon remains informed about regulatory changes and compliance requirements.</w:t>
      </w:r>
    </w:p>
    <w:p w:rsidR="00DB4396" w:rsidRDefault="0778BA1D" w14:paraId="5BC62157" w14:textId="7CE1D9DB">
      <w:r w:rsidRPr="6BA81473">
        <w:rPr>
          <w:rFonts w:ascii="Arial" w:hAnsi="Arial" w:eastAsia="Arial" w:cs="Arial"/>
        </w:rPr>
        <w:t>Similarly, customer feedback can help identify emerging concerns regarding platform functionality or security vulnerabilities, allowing Amazon to implement corrective measures proactively.</w:t>
      </w:r>
    </w:p>
    <w:p w:rsidR="00DB4396" w:rsidP="6BA81473" w:rsidRDefault="0778BA1D" w14:paraId="7402B2A7" w14:textId="0E8833E6">
      <w:pPr>
        <w:pStyle w:val="Heading2"/>
      </w:pPr>
      <w:r w:rsidRPr="6BA81473">
        <w:rPr>
          <w:rFonts w:ascii="Arial" w:hAnsi="Arial" w:eastAsia="Arial" w:cs="Arial"/>
          <w:sz w:val="24"/>
          <w:szCs w:val="24"/>
        </w:rPr>
        <w:t>Increased Financial Performance and Competitive Advantage</w:t>
      </w:r>
    </w:p>
    <w:p w:rsidR="00DB4396" w:rsidRDefault="0778BA1D" w14:paraId="06E71BE3" w14:textId="4115BB31">
      <w:r w:rsidRPr="6BA81473">
        <w:rPr>
          <w:rFonts w:ascii="Arial" w:hAnsi="Arial" w:eastAsia="Arial" w:cs="Arial"/>
        </w:rPr>
        <w:t>Effective stakeholder engagement ultimately contributes to improved financial performance. Hristov and Appolloni (2022) found that stakeholder engagement acts as a strategic driver of organisational performance by improving collaboration, trust, and value creation. Organisations that maintain strong stakeholder relationships are more likely to achieve sustainable growth and competitive advantage.</w:t>
      </w:r>
    </w:p>
    <w:p w:rsidR="00DB4396" w:rsidRDefault="0778BA1D" w14:paraId="033B0F9B" w14:textId="4F948F12">
      <w:r w:rsidRPr="6BA81473">
        <w:rPr>
          <w:rFonts w:ascii="Arial" w:hAnsi="Arial" w:eastAsia="Arial" w:cs="Arial"/>
        </w:rPr>
        <w:t>For Amazon, successful stakeholder engagement can increase customer adoption of ConnectPlus, strengthen brand loyalty, improve operational efficiency, and support revenue growth. Furthermore, strong relationships with suppliers, technology partners, and investors can provide access to resources and capabilities that enhance organisational competitiveness.</w:t>
      </w:r>
    </w:p>
    <w:p w:rsidR="00DB4396" w:rsidRDefault="0778BA1D" w14:paraId="25EA76FB" w14:textId="3D73C42A">
      <w:r w:rsidRPr="6BA81473">
        <w:rPr>
          <w:rFonts w:ascii="Arial" w:hAnsi="Arial" w:eastAsia="Arial" w:cs="Arial"/>
        </w:rPr>
        <w:t>Nevertheless, sustainable stakeholder engagement also presents challenges. Managing multiple stakeholder groups across different international markets requires substantial time, financial resources, and managerial expertise. Stakeholder expectations may conflict, making it difficult to satisfy all parties simultaneously. Therefore, effective stakeholder prioritisation and communication remain essential for achieving positive business outcomes.</w:t>
      </w:r>
    </w:p>
    <w:p w:rsidR="00DB4396" w:rsidP="6BA81473" w:rsidRDefault="0778BA1D" w14:paraId="31F120FA" w14:textId="71A1729E">
      <w:pPr>
        <w:pStyle w:val="Heading2"/>
      </w:pPr>
      <w:r w:rsidRPr="6BA81473">
        <w:rPr>
          <w:rFonts w:ascii="Arial" w:hAnsi="Arial" w:eastAsia="Arial" w:cs="Arial"/>
          <w:sz w:val="24"/>
          <w:szCs w:val="24"/>
        </w:rPr>
        <w:t>Conclusion</w:t>
      </w:r>
    </w:p>
    <w:p w:rsidR="00DB4396" w:rsidRDefault="0778BA1D" w14:paraId="301D1034" w14:textId="4599D821">
      <w:r w:rsidRPr="6BA81473">
        <w:rPr>
          <w:rFonts w:ascii="Arial" w:hAnsi="Arial" w:eastAsia="Arial" w:cs="Arial"/>
        </w:rPr>
        <w:t>In conclusion, sustainable stakeholder engagement has a significant positive impact on Amazon's business performance. Through improved customer loyalty, enhanced decision-making, stronger employee commitment, better risk management, regulatory compliance, and increased financial performance, stakeholder engagement contributes directly to the success of the ConnectPlus platform. Although stakeholder management requires considerable investment and ongoing effort, the long-term benefits outweigh the associated costs. Consistent with Freeman's Stakeholder Theory and the findings of Hristov and Appolloni (2022), sustainable stakeholder engagement should be viewed as a strategic business capability that supports organisational resilience, innovation, and long-term competitive advantage.</w:t>
      </w:r>
    </w:p>
    <w:p w:rsidR="00DB4396" w:rsidP="6BA81473" w:rsidRDefault="0778BA1D" w14:paraId="7DF55050" w14:textId="0929AF0E">
      <w:pPr>
        <w:pStyle w:val="Heading1"/>
      </w:pPr>
      <w:r w:rsidRPr="6BA81473">
        <w:rPr>
          <w:rFonts w:ascii="Arial" w:hAnsi="Arial" w:eastAsia="Arial" w:cs="Arial"/>
          <w:sz w:val="24"/>
          <w:szCs w:val="24"/>
        </w:rPr>
        <w:t>7. Recommendations and Conclusion</w:t>
      </w:r>
    </w:p>
    <w:p w:rsidR="00DB4396" w:rsidP="6BA81473" w:rsidRDefault="0778BA1D" w14:paraId="15D3DFE0" w14:textId="21B29D67">
      <w:pPr>
        <w:pStyle w:val="Heading2"/>
      </w:pPr>
      <w:r w:rsidRPr="6BA81473">
        <w:rPr>
          <w:rFonts w:ascii="Arial" w:hAnsi="Arial" w:eastAsia="Arial" w:cs="Arial"/>
          <w:sz w:val="24"/>
          <w:szCs w:val="24"/>
        </w:rPr>
        <w:t>Recommendations</w:t>
      </w:r>
    </w:p>
    <w:p w:rsidR="00DB4396" w:rsidRDefault="0778BA1D" w14:paraId="180C72F2" w14:textId="63F79BF7">
      <w:r w:rsidRPr="6BA81473">
        <w:rPr>
          <w:rFonts w:ascii="Arial" w:hAnsi="Arial" w:eastAsia="Arial" w:cs="Arial"/>
        </w:rPr>
        <w:t>Based on the analysis conducted in this report, several recommendations are proposed to support the successful implementation of Amazon's ConnectPlus platform. First, Amazon should develop a comprehensive stakeholder engagement strategy that clearly identifies stakeholder expectations, communication requirements, and engagement responsibilities throughout the project lifecycle. Second, the organisation should apply stakeholder prioritisation tools such as Mendelow's Power-Interest Matrix and the Stakeholder Salience Model on a continuous basis to ensure that engagement activities remain aligned with changing stakeholder needs and influence levels.</w:t>
      </w:r>
    </w:p>
    <w:p w:rsidR="00DB4396" w:rsidRDefault="0778BA1D" w14:paraId="2F05AC2F" w14:textId="3F181349">
      <w:r w:rsidRPr="6BA81473">
        <w:rPr>
          <w:rFonts w:ascii="Arial" w:hAnsi="Arial" w:eastAsia="Arial" w:cs="Arial"/>
        </w:rPr>
        <w:t>Third, Amazon should strengthen communication channels by implementing regular stakeholder meetings, progress reports, customer feedback mechanisms, and cross-functional collaboration initiatives. Fourth, employee training and change management programmes should be expanded to improve workforce readiness and reduce resistance to new technologies. Fifth, the organisation should maintain strict compliance with GDPR and other international data protection regulations by ensuring transparency in data collection, storage, and AI-driven decision-making processes.</w:t>
      </w:r>
    </w:p>
    <w:p w:rsidR="00DB4396" w:rsidRDefault="0778BA1D" w14:paraId="5A272C3C" w14:textId="08549A4B">
      <w:r w:rsidRPr="6BA81473">
        <w:rPr>
          <w:rFonts w:ascii="Arial" w:hAnsi="Arial" w:eastAsia="Arial" w:cs="Arial"/>
        </w:rPr>
        <w:t>Furthermore, Amazon should establish formal conflict management procedures based on collaboration, negotiation, and mediation to address stakeholder concerns effectively. Finally, continuous monitoring and evaluation of stakeholder satisfaction should be undertaken to identify emerging issues and improve engagement effectiveness over time.</w:t>
      </w:r>
    </w:p>
    <w:p w:rsidR="00DB4396" w:rsidP="6BA81473" w:rsidRDefault="0778BA1D" w14:paraId="778F39BC" w14:textId="5B7B3697">
      <w:pPr>
        <w:pStyle w:val="Heading2"/>
      </w:pPr>
      <w:r w:rsidRPr="6BA81473">
        <w:rPr>
          <w:rFonts w:ascii="Arial" w:hAnsi="Arial" w:eastAsia="Arial" w:cs="Arial"/>
          <w:sz w:val="24"/>
          <w:szCs w:val="24"/>
        </w:rPr>
        <w:t>Conclusion</w:t>
      </w:r>
    </w:p>
    <w:p w:rsidR="00DB4396" w:rsidRDefault="0778BA1D" w14:paraId="69091F52" w14:textId="7EDE5790">
      <w:r w:rsidRPr="6BA81473">
        <w:rPr>
          <w:rFonts w:ascii="Arial" w:hAnsi="Arial" w:eastAsia="Arial" w:cs="Arial"/>
        </w:rPr>
        <w:t>This report has examined the importance of stakeholder engagement in the successful implementation of Amazon's ConnectPlus platform. Through the application of Stakeholder Theory, Mendelow's Power-Interest Matrix, the Stakeholder Salience Model, the 4C's Engagement Framework, SWANS and OWANS analysis, communication planning, and the RACI Matrix, the report identified key internal and external stakeholders and evaluated appropriate engagement strategies.</w:t>
      </w:r>
    </w:p>
    <w:p w:rsidR="00DB4396" w:rsidRDefault="0778BA1D" w14:paraId="184C75C7" w14:textId="4C00F4CC">
      <w:r w:rsidRPr="6BA81473">
        <w:rPr>
          <w:rFonts w:ascii="Arial" w:hAnsi="Arial" w:eastAsia="Arial" w:cs="Arial"/>
        </w:rPr>
        <w:t>The findings demonstrate that effective stakeholder engagement contributes significantly to customer loyalty, employee commitment, innovation, risk management, regulatory compliance, and overall business performance. While challenges such as conflicting stakeholder interests, data privacy concerns, and cultural differences may arise, these can be managed through structured communication, collaboration, and conflict resolution strategies. Ultimately, sustainable stakeholder engagement should be viewed as a strategic capability that enables Amazon to maximise stakeholder support, minimise implementation risks, and achieve the successful global rollout of ConnectPlus while maintaining long-term competitive advantage and organisational growth.</w:t>
      </w:r>
    </w:p>
    <w:p w:rsidR="00DB4396" w:rsidRDefault="00DB4396" w14:paraId="5E5787A5" w14:textId="152AA238"/>
    <w:sectPr w:rsidR="00DB439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2CF0E"/>
    <w:multiLevelType w:val="hybridMultilevel"/>
    <w:tmpl w:val="FFFFFFFF"/>
    <w:lvl w:ilvl="0" w:tplc="DA0EF338">
      <w:start w:val="1"/>
      <w:numFmt w:val="bullet"/>
      <w:lvlText w:val=""/>
      <w:lvlJc w:val="left"/>
      <w:pPr>
        <w:ind w:left="720" w:hanging="360"/>
      </w:pPr>
      <w:rPr>
        <w:rFonts w:hint="default" w:ascii="Symbol" w:hAnsi="Symbol"/>
      </w:rPr>
    </w:lvl>
    <w:lvl w:ilvl="1" w:tplc="5158009C">
      <w:start w:val="1"/>
      <w:numFmt w:val="bullet"/>
      <w:lvlText w:val="o"/>
      <w:lvlJc w:val="left"/>
      <w:pPr>
        <w:ind w:left="1440" w:hanging="360"/>
      </w:pPr>
      <w:rPr>
        <w:rFonts w:hint="default" w:ascii="Courier New" w:hAnsi="Courier New"/>
      </w:rPr>
    </w:lvl>
    <w:lvl w:ilvl="2" w:tplc="A2E0EF40">
      <w:start w:val="1"/>
      <w:numFmt w:val="bullet"/>
      <w:lvlText w:val=""/>
      <w:lvlJc w:val="left"/>
      <w:pPr>
        <w:ind w:left="2160" w:hanging="360"/>
      </w:pPr>
      <w:rPr>
        <w:rFonts w:hint="default" w:ascii="Wingdings" w:hAnsi="Wingdings"/>
      </w:rPr>
    </w:lvl>
    <w:lvl w:ilvl="3" w:tplc="0D6892E0">
      <w:start w:val="1"/>
      <w:numFmt w:val="bullet"/>
      <w:lvlText w:val=""/>
      <w:lvlJc w:val="left"/>
      <w:pPr>
        <w:ind w:left="2880" w:hanging="360"/>
      </w:pPr>
      <w:rPr>
        <w:rFonts w:hint="default" w:ascii="Symbol" w:hAnsi="Symbol"/>
      </w:rPr>
    </w:lvl>
    <w:lvl w:ilvl="4" w:tplc="1E88AD34">
      <w:start w:val="1"/>
      <w:numFmt w:val="bullet"/>
      <w:lvlText w:val="o"/>
      <w:lvlJc w:val="left"/>
      <w:pPr>
        <w:ind w:left="3600" w:hanging="360"/>
      </w:pPr>
      <w:rPr>
        <w:rFonts w:hint="default" w:ascii="Courier New" w:hAnsi="Courier New"/>
      </w:rPr>
    </w:lvl>
    <w:lvl w:ilvl="5" w:tplc="5A562D18">
      <w:start w:val="1"/>
      <w:numFmt w:val="bullet"/>
      <w:lvlText w:val=""/>
      <w:lvlJc w:val="left"/>
      <w:pPr>
        <w:ind w:left="4320" w:hanging="360"/>
      </w:pPr>
      <w:rPr>
        <w:rFonts w:hint="default" w:ascii="Wingdings" w:hAnsi="Wingdings"/>
      </w:rPr>
    </w:lvl>
    <w:lvl w:ilvl="6" w:tplc="7F1AB14E">
      <w:start w:val="1"/>
      <w:numFmt w:val="bullet"/>
      <w:lvlText w:val=""/>
      <w:lvlJc w:val="left"/>
      <w:pPr>
        <w:ind w:left="5040" w:hanging="360"/>
      </w:pPr>
      <w:rPr>
        <w:rFonts w:hint="default" w:ascii="Symbol" w:hAnsi="Symbol"/>
      </w:rPr>
    </w:lvl>
    <w:lvl w:ilvl="7" w:tplc="99F86172">
      <w:start w:val="1"/>
      <w:numFmt w:val="bullet"/>
      <w:lvlText w:val="o"/>
      <w:lvlJc w:val="left"/>
      <w:pPr>
        <w:ind w:left="5760" w:hanging="360"/>
      </w:pPr>
      <w:rPr>
        <w:rFonts w:hint="default" w:ascii="Courier New" w:hAnsi="Courier New"/>
      </w:rPr>
    </w:lvl>
    <w:lvl w:ilvl="8" w:tplc="DC24EE02">
      <w:start w:val="1"/>
      <w:numFmt w:val="bullet"/>
      <w:lvlText w:val=""/>
      <w:lvlJc w:val="left"/>
      <w:pPr>
        <w:ind w:left="6480" w:hanging="360"/>
      </w:pPr>
      <w:rPr>
        <w:rFonts w:hint="default" w:ascii="Wingdings" w:hAnsi="Wingdings"/>
      </w:rPr>
    </w:lvl>
  </w:abstractNum>
  <w:abstractNum w:abstractNumId="1" w15:restartNumberingAfterBreak="0">
    <w:nsid w:val="026B737A"/>
    <w:multiLevelType w:val="hybridMultilevel"/>
    <w:tmpl w:val="FFFFFFFF"/>
    <w:lvl w:ilvl="0" w:tplc="6BFABE3E">
      <w:start w:val="1"/>
      <w:numFmt w:val="bullet"/>
      <w:lvlText w:val=""/>
      <w:lvlJc w:val="left"/>
      <w:pPr>
        <w:ind w:left="720" w:hanging="360"/>
      </w:pPr>
      <w:rPr>
        <w:rFonts w:hint="default" w:ascii="Symbol" w:hAnsi="Symbol"/>
      </w:rPr>
    </w:lvl>
    <w:lvl w:ilvl="1" w:tplc="C414B3BE">
      <w:start w:val="1"/>
      <w:numFmt w:val="bullet"/>
      <w:lvlText w:val="o"/>
      <w:lvlJc w:val="left"/>
      <w:pPr>
        <w:ind w:left="1440" w:hanging="360"/>
      </w:pPr>
      <w:rPr>
        <w:rFonts w:hint="default" w:ascii="Courier New" w:hAnsi="Courier New"/>
      </w:rPr>
    </w:lvl>
    <w:lvl w:ilvl="2" w:tplc="16D42626">
      <w:start w:val="1"/>
      <w:numFmt w:val="bullet"/>
      <w:lvlText w:val=""/>
      <w:lvlJc w:val="left"/>
      <w:pPr>
        <w:ind w:left="2160" w:hanging="360"/>
      </w:pPr>
      <w:rPr>
        <w:rFonts w:hint="default" w:ascii="Wingdings" w:hAnsi="Wingdings"/>
      </w:rPr>
    </w:lvl>
    <w:lvl w:ilvl="3" w:tplc="01127844">
      <w:start w:val="1"/>
      <w:numFmt w:val="bullet"/>
      <w:lvlText w:val=""/>
      <w:lvlJc w:val="left"/>
      <w:pPr>
        <w:ind w:left="2880" w:hanging="360"/>
      </w:pPr>
      <w:rPr>
        <w:rFonts w:hint="default" w:ascii="Symbol" w:hAnsi="Symbol"/>
      </w:rPr>
    </w:lvl>
    <w:lvl w:ilvl="4" w:tplc="58CAD470">
      <w:start w:val="1"/>
      <w:numFmt w:val="bullet"/>
      <w:lvlText w:val="o"/>
      <w:lvlJc w:val="left"/>
      <w:pPr>
        <w:ind w:left="3600" w:hanging="360"/>
      </w:pPr>
      <w:rPr>
        <w:rFonts w:hint="default" w:ascii="Courier New" w:hAnsi="Courier New"/>
      </w:rPr>
    </w:lvl>
    <w:lvl w:ilvl="5" w:tplc="862A6D28">
      <w:start w:val="1"/>
      <w:numFmt w:val="bullet"/>
      <w:lvlText w:val=""/>
      <w:lvlJc w:val="left"/>
      <w:pPr>
        <w:ind w:left="4320" w:hanging="360"/>
      </w:pPr>
      <w:rPr>
        <w:rFonts w:hint="default" w:ascii="Wingdings" w:hAnsi="Wingdings"/>
      </w:rPr>
    </w:lvl>
    <w:lvl w:ilvl="6" w:tplc="2E549AC0">
      <w:start w:val="1"/>
      <w:numFmt w:val="bullet"/>
      <w:lvlText w:val=""/>
      <w:lvlJc w:val="left"/>
      <w:pPr>
        <w:ind w:left="5040" w:hanging="360"/>
      </w:pPr>
      <w:rPr>
        <w:rFonts w:hint="default" w:ascii="Symbol" w:hAnsi="Symbol"/>
      </w:rPr>
    </w:lvl>
    <w:lvl w:ilvl="7" w:tplc="64D47C22">
      <w:start w:val="1"/>
      <w:numFmt w:val="bullet"/>
      <w:lvlText w:val="o"/>
      <w:lvlJc w:val="left"/>
      <w:pPr>
        <w:ind w:left="5760" w:hanging="360"/>
      </w:pPr>
      <w:rPr>
        <w:rFonts w:hint="default" w:ascii="Courier New" w:hAnsi="Courier New"/>
      </w:rPr>
    </w:lvl>
    <w:lvl w:ilvl="8" w:tplc="BD9A4EE8">
      <w:start w:val="1"/>
      <w:numFmt w:val="bullet"/>
      <w:lvlText w:val=""/>
      <w:lvlJc w:val="left"/>
      <w:pPr>
        <w:ind w:left="6480" w:hanging="360"/>
      </w:pPr>
      <w:rPr>
        <w:rFonts w:hint="default" w:ascii="Wingdings" w:hAnsi="Wingdings"/>
      </w:rPr>
    </w:lvl>
  </w:abstractNum>
  <w:abstractNum w:abstractNumId="2" w15:restartNumberingAfterBreak="0">
    <w:nsid w:val="0621B579"/>
    <w:multiLevelType w:val="hybridMultilevel"/>
    <w:tmpl w:val="FFFFFFFF"/>
    <w:lvl w:ilvl="0" w:tplc="55B0AAD6">
      <w:start w:val="1"/>
      <w:numFmt w:val="bullet"/>
      <w:lvlText w:val=""/>
      <w:lvlJc w:val="left"/>
      <w:pPr>
        <w:ind w:left="720" w:hanging="360"/>
      </w:pPr>
      <w:rPr>
        <w:rFonts w:hint="default" w:ascii="Symbol" w:hAnsi="Symbol"/>
      </w:rPr>
    </w:lvl>
    <w:lvl w:ilvl="1" w:tplc="7C309A36">
      <w:start w:val="1"/>
      <w:numFmt w:val="bullet"/>
      <w:lvlText w:val="o"/>
      <w:lvlJc w:val="left"/>
      <w:pPr>
        <w:ind w:left="1440" w:hanging="360"/>
      </w:pPr>
      <w:rPr>
        <w:rFonts w:hint="default" w:ascii="Courier New" w:hAnsi="Courier New"/>
      </w:rPr>
    </w:lvl>
    <w:lvl w:ilvl="2" w:tplc="A0963A9C">
      <w:start w:val="1"/>
      <w:numFmt w:val="bullet"/>
      <w:lvlText w:val=""/>
      <w:lvlJc w:val="left"/>
      <w:pPr>
        <w:ind w:left="2160" w:hanging="360"/>
      </w:pPr>
      <w:rPr>
        <w:rFonts w:hint="default" w:ascii="Wingdings" w:hAnsi="Wingdings"/>
      </w:rPr>
    </w:lvl>
    <w:lvl w:ilvl="3" w:tplc="C48A937E">
      <w:start w:val="1"/>
      <w:numFmt w:val="bullet"/>
      <w:lvlText w:val=""/>
      <w:lvlJc w:val="left"/>
      <w:pPr>
        <w:ind w:left="2880" w:hanging="360"/>
      </w:pPr>
      <w:rPr>
        <w:rFonts w:hint="default" w:ascii="Symbol" w:hAnsi="Symbol"/>
      </w:rPr>
    </w:lvl>
    <w:lvl w:ilvl="4" w:tplc="D74C38B4">
      <w:start w:val="1"/>
      <w:numFmt w:val="bullet"/>
      <w:lvlText w:val="o"/>
      <w:lvlJc w:val="left"/>
      <w:pPr>
        <w:ind w:left="3600" w:hanging="360"/>
      </w:pPr>
      <w:rPr>
        <w:rFonts w:hint="default" w:ascii="Courier New" w:hAnsi="Courier New"/>
      </w:rPr>
    </w:lvl>
    <w:lvl w:ilvl="5" w:tplc="DA3CADAC">
      <w:start w:val="1"/>
      <w:numFmt w:val="bullet"/>
      <w:lvlText w:val=""/>
      <w:lvlJc w:val="left"/>
      <w:pPr>
        <w:ind w:left="4320" w:hanging="360"/>
      </w:pPr>
      <w:rPr>
        <w:rFonts w:hint="default" w:ascii="Wingdings" w:hAnsi="Wingdings"/>
      </w:rPr>
    </w:lvl>
    <w:lvl w:ilvl="6" w:tplc="20E8D9AC">
      <w:start w:val="1"/>
      <w:numFmt w:val="bullet"/>
      <w:lvlText w:val=""/>
      <w:lvlJc w:val="left"/>
      <w:pPr>
        <w:ind w:left="5040" w:hanging="360"/>
      </w:pPr>
      <w:rPr>
        <w:rFonts w:hint="default" w:ascii="Symbol" w:hAnsi="Symbol"/>
      </w:rPr>
    </w:lvl>
    <w:lvl w:ilvl="7" w:tplc="3A8C9678">
      <w:start w:val="1"/>
      <w:numFmt w:val="bullet"/>
      <w:lvlText w:val="o"/>
      <w:lvlJc w:val="left"/>
      <w:pPr>
        <w:ind w:left="5760" w:hanging="360"/>
      </w:pPr>
      <w:rPr>
        <w:rFonts w:hint="default" w:ascii="Courier New" w:hAnsi="Courier New"/>
      </w:rPr>
    </w:lvl>
    <w:lvl w:ilvl="8" w:tplc="0EA297CC">
      <w:start w:val="1"/>
      <w:numFmt w:val="bullet"/>
      <w:lvlText w:val=""/>
      <w:lvlJc w:val="left"/>
      <w:pPr>
        <w:ind w:left="6480" w:hanging="360"/>
      </w:pPr>
      <w:rPr>
        <w:rFonts w:hint="default" w:ascii="Wingdings" w:hAnsi="Wingdings"/>
      </w:rPr>
    </w:lvl>
  </w:abstractNum>
  <w:abstractNum w:abstractNumId="3" w15:restartNumberingAfterBreak="0">
    <w:nsid w:val="0833C160"/>
    <w:multiLevelType w:val="hybridMultilevel"/>
    <w:tmpl w:val="FFFFFFFF"/>
    <w:lvl w:ilvl="0" w:tplc="0E6C95D6">
      <w:start w:val="1"/>
      <w:numFmt w:val="bullet"/>
      <w:lvlText w:val=""/>
      <w:lvlJc w:val="left"/>
      <w:pPr>
        <w:ind w:left="720" w:hanging="360"/>
      </w:pPr>
      <w:rPr>
        <w:rFonts w:hint="default" w:ascii="Symbol" w:hAnsi="Symbol"/>
      </w:rPr>
    </w:lvl>
    <w:lvl w:ilvl="1" w:tplc="96CA4670">
      <w:start w:val="1"/>
      <w:numFmt w:val="bullet"/>
      <w:lvlText w:val="o"/>
      <w:lvlJc w:val="left"/>
      <w:pPr>
        <w:ind w:left="1440" w:hanging="360"/>
      </w:pPr>
      <w:rPr>
        <w:rFonts w:hint="default" w:ascii="Courier New" w:hAnsi="Courier New"/>
      </w:rPr>
    </w:lvl>
    <w:lvl w:ilvl="2" w:tplc="B400D056">
      <w:start w:val="1"/>
      <w:numFmt w:val="bullet"/>
      <w:lvlText w:val=""/>
      <w:lvlJc w:val="left"/>
      <w:pPr>
        <w:ind w:left="2160" w:hanging="360"/>
      </w:pPr>
      <w:rPr>
        <w:rFonts w:hint="default" w:ascii="Wingdings" w:hAnsi="Wingdings"/>
      </w:rPr>
    </w:lvl>
    <w:lvl w:ilvl="3" w:tplc="0EA42A72">
      <w:start w:val="1"/>
      <w:numFmt w:val="bullet"/>
      <w:lvlText w:val=""/>
      <w:lvlJc w:val="left"/>
      <w:pPr>
        <w:ind w:left="2880" w:hanging="360"/>
      </w:pPr>
      <w:rPr>
        <w:rFonts w:hint="default" w:ascii="Symbol" w:hAnsi="Symbol"/>
      </w:rPr>
    </w:lvl>
    <w:lvl w:ilvl="4" w:tplc="CAEEC570">
      <w:start w:val="1"/>
      <w:numFmt w:val="bullet"/>
      <w:lvlText w:val="o"/>
      <w:lvlJc w:val="left"/>
      <w:pPr>
        <w:ind w:left="3600" w:hanging="360"/>
      </w:pPr>
      <w:rPr>
        <w:rFonts w:hint="default" w:ascii="Courier New" w:hAnsi="Courier New"/>
      </w:rPr>
    </w:lvl>
    <w:lvl w:ilvl="5" w:tplc="027211CC">
      <w:start w:val="1"/>
      <w:numFmt w:val="bullet"/>
      <w:lvlText w:val=""/>
      <w:lvlJc w:val="left"/>
      <w:pPr>
        <w:ind w:left="4320" w:hanging="360"/>
      </w:pPr>
      <w:rPr>
        <w:rFonts w:hint="default" w:ascii="Wingdings" w:hAnsi="Wingdings"/>
      </w:rPr>
    </w:lvl>
    <w:lvl w:ilvl="6" w:tplc="08B8E386">
      <w:start w:val="1"/>
      <w:numFmt w:val="bullet"/>
      <w:lvlText w:val=""/>
      <w:lvlJc w:val="left"/>
      <w:pPr>
        <w:ind w:left="5040" w:hanging="360"/>
      </w:pPr>
      <w:rPr>
        <w:rFonts w:hint="default" w:ascii="Symbol" w:hAnsi="Symbol"/>
      </w:rPr>
    </w:lvl>
    <w:lvl w:ilvl="7" w:tplc="14FEADA4">
      <w:start w:val="1"/>
      <w:numFmt w:val="bullet"/>
      <w:lvlText w:val="o"/>
      <w:lvlJc w:val="left"/>
      <w:pPr>
        <w:ind w:left="5760" w:hanging="360"/>
      </w:pPr>
      <w:rPr>
        <w:rFonts w:hint="default" w:ascii="Courier New" w:hAnsi="Courier New"/>
      </w:rPr>
    </w:lvl>
    <w:lvl w:ilvl="8" w:tplc="1076DB5A">
      <w:start w:val="1"/>
      <w:numFmt w:val="bullet"/>
      <w:lvlText w:val=""/>
      <w:lvlJc w:val="left"/>
      <w:pPr>
        <w:ind w:left="6480" w:hanging="360"/>
      </w:pPr>
      <w:rPr>
        <w:rFonts w:hint="default" w:ascii="Wingdings" w:hAnsi="Wingdings"/>
      </w:rPr>
    </w:lvl>
  </w:abstractNum>
  <w:abstractNum w:abstractNumId="4" w15:restartNumberingAfterBreak="0">
    <w:nsid w:val="1EB0968D"/>
    <w:multiLevelType w:val="hybridMultilevel"/>
    <w:tmpl w:val="FFFFFFFF"/>
    <w:lvl w:ilvl="0" w:tplc="79FAFE1E">
      <w:start w:val="1"/>
      <w:numFmt w:val="bullet"/>
      <w:lvlText w:val=""/>
      <w:lvlJc w:val="left"/>
      <w:pPr>
        <w:ind w:left="720" w:hanging="360"/>
      </w:pPr>
      <w:rPr>
        <w:rFonts w:hint="default" w:ascii="Symbol" w:hAnsi="Symbol"/>
      </w:rPr>
    </w:lvl>
    <w:lvl w:ilvl="1" w:tplc="793ED984">
      <w:start w:val="1"/>
      <w:numFmt w:val="bullet"/>
      <w:lvlText w:val="o"/>
      <w:lvlJc w:val="left"/>
      <w:pPr>
        <w:ind w:left="1440" w:hanging="360"/>
      </w:pPr>
      <w:rPr>
        <w:rFonts w:hint="default" w:ascii="Courier New" w:hAnsi="Courier New"/>
      </w:rPr>
    </w:lvl>
    <w:lvl w:ilvl="2" w:tplc="505413C0">
      <w:start w:val="1"/>
      <w:numFmt w:val="bullet"/>
      <w:lvlText w:val=""/>
      <w:lvlJc w:val="left"/>
      <w:pPr>
        <w:ind w:left="2160" w:hanging="360"/>
      </w:pPr>
      <w:rPr>
        <w:rFonts w:hint="default" w:ascii="Wingdings" w:hAnsi="Wingdings"/>
      </w:rPr>
    </w:lvl>
    <w:lvl w:ilvl="3" w:tplc="EF60B752">
      <w:start w:val="1"/>
      <w:numFmt w:val="bullet"/>
      <w:lvlText w:val=""/>
      <w:lvlJc w:val="left"/>
      <w:pPr>
        <w:ind w:left="2880" w:hanging="360"/>
      </w:pPr>
      <w:rPr>
        <w:rFonts w:hint="default" w:ascii="Symbol" w:hAnsi="Symbol"/>
      </w:rPr>
    </w:lvl>
    <w:lvl w:ilvl="4" w:tplc="3626AEA8">
      <w:start w:val="1"/>
      <w:numFmt w:val="bullet"/>
      <w:lvlText w:val="o"/>
      <w:lvlJc w:val="left"/>
      <w:pPr>
        <w:ind w:left="3600" w:hanging="360"/>
      </w:pPr>
      <w:rPr>
        <w:rFonts w:hint="default" w:ascii="Courier New" w:hAnsi="Courier New"/>
      </w:rPr>
    </w:lvl>
    <w:lvl w:ilvl="5" w:tplc="FAAE8E86">
      <w:start w:val="1"/>
      <w:numFmt w:val="bullet"/>
      <w:lvlText w:val=""/>
      <w:lvlJc w:val="left"/>
      <w:pPr>
        <w:ind w:left="4320" w:hanging="360"/>
      </w:pPr>
      <w:rPr>
        <w:rFonts w:hint="default" w:ascii="Wingdings" w:hAnsi="Wingdings"/>
      </w:rPr>
    </w:lvl>
    <w:lvl w:ilvl="6" w:tplc="402E9B34">
      <w:start w:val="1"/>
      <w:numFmt w:val="bullet"/>
      <w:lvlText w:val=""/>
      <w:lvlJc w:val="left"/>
      <w:pPr>
        <w:ind w:left="5040" w:hanging="360"/>
      </w:pPr>
      <w:rPr>
        <w:rFonts w:hint="default" w:ascii="Symbol" w:hAnsi="Symbol"/>
      </w:rPr>
    </w:lvl>
    <w:lvl w:ilvl="7" w:tplc="C5C82DD2">
      <w:start w:val="1"/>
      <w:numFmt w:val="bullet"/>
      <w:lvlText w:val="o"/>
      <w:lvlJc w:val="left"/>
      <w:pPr>
        <w:ind w:left="5760" w:hanging="360"/>
      </w:pPr>
      <w:rPr>
        <w:rFonts w:hint="default" w:ascii="Courier New" w:hAnsi="Courier New"/>
      </w:rPr>
    </w:lvl>
    <w:lvl w:ilvl="8" w:tplc="3202E312">
      <w:start w:val="1"/>
      <w:numFmt w:val="bullet"/>
      <w:lvlText w:val=""/>
      <w:lvlJc w:val="left"/>
      <w:pPr>
        <w:ind w:left="6480" w:hanging="360"/>
      </w:pPr>
      <w:rPr>
        <w:rFonts w:hint="default" w:ascii="Wingdings" w:hAnsi="Wingdings"/>
      </w:rPr>
    </w:lvl>
  </w:abstractNum>
  <w:abstractNum w:abstractNumId="5" w15:restartNumberingAfterBreak="0">
    <w:nsid w:val="224EA104"/>
    <w:multiLevelType w:val="hybridMultilevel"/>
    <w:tmpl w:val="FFFFFFFF"/>
    <w:lvl w:ilvl="0" w:tplc="9842A27E">
      <w:start w:val="1"/>
      <w:numFmt w:val="bullet"/>
      <w:lvlText w:val=""/>
      <w:lvlJc w:val="left"/>
      <w:pPr>
        <w:ind w:left="720" w:hanging="360"/>
      </w:pPr>
      <w:rPr>
        <w:rFonts w:hint="default" w:ascii="Symbol" w:hAnsi="Symbol"/>
      </w:rPr>
    </w:lvl>
    <w:lvl w:ilvl="1" w:tplc="40184340">
      <w:start w:val="1"/>
      <w:numFmt w:val="bullet"/>
      <w:lvlText w:val="o"/>
      <w:lvlJc w:val="left"/>
      <w:pPr>
        <w:ind w:left="1440" w:hanging="360"/>
      </w:pPr>
      <w:rPr>
        <w:rFonts w:hint="default" w:ascii="Courier New" w:hAnsi="Courier New"/>
      </w:rPr>
    </w:lvl>
    <w:lvl w:ilvl="2" w:tplc="68E0E8FA">
      <w:start w:val="1"/>
      <w:numFmt w:val="bullet"/>
      <w:lvlText w:val=""/>
      <w:lvlJc w:val="left"/>
      <w:pPr>
        <w:ind w:left="2160" w:hanging="360"/>
      </w:pPr>
      <w:rPr>
        <w:rFonts w:hint="default" w:ascii="Wingdings" w:hAnsi="Wingdings"/>
      </w:rPr>
    </w:lvl>
    <w:lvl w:ilvl="3" w:tplc="7CAC334C">
      <w:start w:val="1"/>
      <w:numFmt w:val="bullet"/>
      <w:lvlText w:val=""/>
      <w:lvlJc w:val="left"/>
      <w:pPr>
        <w:ind w:left="2880" w:hanging="360"/>
      </w:pPr>
      <w:rPr>
        <w:rFonts w:hint="default" w:ascii="Symbol" w:hAnsi="Symbol"/>
      </w:rPr>
    </w:lvl>
    <w:lvl w:ilvl="4" w:tplc="3E18763A">
      <w:start w:val="1"/>
      <w:numFmt w:val="bullet"/>
      <w:lvlText w:val="o"/>
      <w:lvlJc w:val="left"/>
      <w:pPr>
        <w:ind w:left="3600" w:hanging="360"/>
      </w:pPr>
      <w:rPr>
        <w:rFonts w:hint="default" w:ascii="Courier New" w:hAnsi="Courier New"/>
      </w:rPr>
    </w:lvl>
    <w:lvl w:ilvl="5" w:tplc="ECE6E568">
      <w:start w:val="1"/>
      <w:numFmt w:val="bullet"/>
      <w:lvlText w:val=""/>
      <w:lvlJc w:val="left"/>
      <w:pPr>
        <w:ind w:left="4320" w:hanging="360"/>
      </w:pPr>
      <w:rPr>
        <w:rFonts w:hint="default" w:ascii="Wingdings" w:hAnsi="Wingdings"/>
      </w:rPr>
    </w:lvl>
    <w:lvl w:ilvl="6" w:tplc="4AF64928">
      <w:start w:val="1"/>
      <w:numFmt w:val="bullet"/>
      <w:lvlText w:val=""/>
      <w:lvlJc w:val="left"/>
      <w:pPr>
        <w:ind w:left="5040" w:hanging="360"/>
      </w:pPr>
      <w:rPr>
        <w:rFonts w:hint="default" w:ascii="Symbol" w:hAnsi="Symbol"/>
      </w:rPr>
    </w:lvl>
    <w:lvl w:ilvl="7" w:tplc="EA36CEEC">
      <w:start w:val="1"/>
      <w:numFmt w:val="bullet"/>
      <w:lvlText w:val="o"/>
      <w:lvlJc w:val="left"/>
      <w:pPr>
        <w:ind w:left="5760" w:hanging="360"/>
      </w:pPr>
      <w:rPr>
        <w:rFonts w:hint="default" w:ascii="Courier New" w:hAnsi="Courier New"/>
      </w:rPr>
    </w:lvl>
    <w:lvl w:ilvl="8" w:tplc="C11624EE">
      <w:start w:val="1"/>
      <w:numFmt w:val="bullet"/>
      <w:lvlText w:val=""/>
      <w:lvlJc w:val="left"/>
      <w:pPr>
        <w:ind w:left="6480" w:hanging="360"/>
      </w:pPr>
      <w:rPr>
        <w:rFonts w:hint="default" w:ascii="Wingdings" w:hAnsi="Wingdings"/>
      </w:rPr>
    </w:lvl>
  </w:abstractNum>
  <w:abstractNum w:abstractNumId="6" w15:restartNumberingAfterBreak="0">
    <w:nsid w:val="2952FE1D"/>
    <w:multiLevelType w:val="hybridMultilevel"/>
    <w:tmpl w:val="FFFFFFFF"/>
    <w:lvl w:ilvl="0" w:tplc="15F47082">
      <w:start w:val="1"/>
      <w:numFmt w:val="bullet"/>
      <w:lvlText w:val=""/>
      <w:lvlJc w:val="left"/>
      <w:pPr>
        <w:ind w:left="720" w:hanging="360"/>
      </w:pPr>
      <w:rPr>
        <w:rFonts w:hint="default" w:ascii="Symbol" w:hAnsi="Symbol"/>
      </w:rPr>
    </w:lvl>
    <w:lvl w:ilvl="1" w:tplc="BB38C4D0">
      <w:start w:val="1"/>
      <w:numFmt w:val="bullet"/>
      <w:lvlText w:val="o"/>
      <w:lvlJc w:val="left"/>
      <w:pPr>
        <w:ind w:left="1440" w:hanging="360"/>
      </w:pPr>
      <w:rPr>
        <w:rFonts w:hint="default" w:ascii="Courier New" w:hAnsi="Courier New"/>
      </w:rPr>
    </w:lvl>
    <w:lvl w:ilvl="2" w:tplc="FD3CB212">
      <w:start w:val="1"/>
      <w:numFmt w:val="bullet"/>
      <w:lvlText w:val=""/>
      <w:lvlJc w:val="left"/>
      <w:pPr>
        <w:ind w:left="2160" w:hanging="360"/>
      </w:pPr>
      <w:rPr>
        <w:rFonts w:hint="default" w:ascii="Wingdings" w:hAnsi="Wingdings"/>
      </w:rPr>
    </w:lvl>
    <w:lvl w:ilvl="3" w:tplc="D4C89066">
      <w:start w:val="1"/>
      <w:numFmt w:val="bullet"/>
      <w:lvlText w:val=""/>
      <w:lvlJc w:val="left"/>
      <w:pPr>
        <w:ind w:left="2880" w:hanging="360"/>
      </w:pPr>
      <w:rPr>
        <w:rFonts w:hint="default" w:ascii="Symbol" w:hAnsi="Symbol"/>
      </w:rPr>
    </w:lvl>
    <w:lvl w:ilvl="4" w:tplc="1A56B2FC">
      <w:start w:val="1"/>
      <w:numFmt w:val="bullet"/>
      <w:lvlText w:val="o"/>
      <w:lvlJc w:val="left"/>
      <w:pPr>
        <w:ind w:left="3600" w:hanging="360"/>
      </w:pPr>
      <w:rPr>
        <w:rFonts w:hint="default" w:ascii="Courier New" w:hAnsi="Courier New"/>
      </w:rPr>
    </w:lvl>
    <w:lvl w:ilvl="5" w:tplc="EDEAC8F8">
      <w:start w:val="1"/>
      <w:numFmt w:val="bullet"/>
      <w:lvlText w:val=""/>
      <w:lvlJc w:val="left"/>
      <w:pPr>
        <w:ind w:left="4320" w:hanging="360"/>
      </w:pPr>
      <w:rPr>
        <w:rFonts w:hint="default" w:ascii="Wingdings" w:hAnsi="Wingdings"/>
      </w:rPr>
    </w:lvl>
    <w:lvl w:ilvl="6" w:tplc="63AC4992">
      <w:start w:val="1"/>
      <w:numFmt w:val="bullet"/>
      <w:lvlText w:val=""/>
      <w:lvlJc w:val="left"/>
      <w:pPr>
        <w:ind w:left="5040" w:hanging="360"/>
      </w:pPr>
      <w:rPr>
        <w:rFonts w:hint="default" w:ascii="Symbol" w:hAnsi="Symbol"/>
      </w:rPr>
    </w:lvl>
    <w:lvl w:ilvl="7" w:tplc="E8CEB9AA">
      <w:start w:val="1"/>
      <w:numFmt w:val="bullet"/>
      <w:lvlText w:val="o"/>
      <w:lvlJc w:val="left"/>
      <w:pPr>
        <w:ind w:left="5760" w:hanging="360"/>
      </w:pPr>
      <w:rPr>
        <w:rFonts w:hint="default" w:ascii="Courier New" w:hAnsi="Courier New"/>
      </w:rPr>
    </w:lvl>
    <w:lvl w:ilvl="8" w:tplc="3816EF5A">
      <w:start w:val="1"/>
      <w:numFmt w:val="bullet"/>
      <w:lvlText w:val=""/>
      <w:lvlJc w:val="left"/>
      <w:pPr>
        <w:ind w:left="6480" w:hanging="360"/>
      </w:pPr>
      <w:rPr>
        <w:rFonts w:hint="default" w:ascii="Wingdings" w:hAnsi="Wingdings"/>
      </w:rPr>
    </w:lvl>
  </w:abstractNum>
  <w:abstractNum w:abstractNumId="7" w15:restartNumberingAfterBreak="0">
    <w:nsid w:val="379DAC79"/>
    <w:multiLevelType w:val="hybridMultilevel"/>
    <w:tmpl w:val="FFFFFFFF"/>
    <w:lvl w:ilvl="0" w:tplc="31F61C2A">
      <w:start w:val="1"/>
      <w:numFmt w:val="bullet"/>
      <w:lvlText w:val=""/>
      <w:lvlJc w:val="left"/>
      <w:pPr>
        <w:ind w:left="720" w:hanging="360"/>
      </w:pPr>
      <w:rPr>
        <w:rFonts w:hint="default" w:ascii="Symbol" w:hAnsi="Symbol"/>
      </w:rPr>
    </w:lvl>
    <w:lvl w:ilvl="1" w:tplc="FC562C0E">
      <w:start w:val="1"/>
      <w:numFmt w:val="bullet"/>
      <w:lvlText w:val="o"/>
      <w:lvlJc w:val="left"/>
      <w:pPr>
        <w:ind w:left="1440" w:hanging="360"/>
      </w:pPr>
      <w:rPr>
        <w:rFonts w:hint="default" w:ascii="Courier New" w:hAnsi="Courier New"/>
      </w:rPr>
    </w:lvl>
    <w:lvl w:ilvl="2" w:tplc="67A218BE">
      <w:start w:val="1"/>
      <w:numFmt w:val="bullet"/>
      <w:lvlText w:val=""/>
      <w:lvlJc w:val="left"/>
      <w:pPr>
        <w:ind w:left="2160" w:hanging="360"/>
      </w:pPr>
      <w:rPr>
        <w:rFonts w:hint="default" w:ascii="Wingdings" w:hAnsi="Wingdings"/>
      </w:rPr>
    </w:lvl>
    <w:lvl w:ilvl="3" w:tplc="9A3EABF0">
      <w:start w:val="1"/>
      <w:numFmt w:val="bullet"/>
      <w:lvlText w:val=""/>
      <w:lvlJc w:val="left"/>
      <w:pPr>
        <w:ind w:left="2880" w:hanging="360"/>
      </w:pPr>
      <w:rPr>
        <w:rFonts w:hint="default" w:ascii="Symbol" w:hAnsi="Symbol"/>
      </w:rPr>
    </w:lvl>
    <w:lvl w:ilvl="4" w:tplc="B6A0A9D4">
      <w:start w:val="1"/>
      <w:numFmt w:val="bullet"/>
      <w:lvlText w:val="o"/>
      <w:lvlJc w:val="left"/>
      <w:pPr>
        <w:ind w:left="3600" w:hanging="360"/>
      </w:pPr>
      <w:rPr>
        <w:rFonts w:hint="default" w:ascii="Courier New" w:hAnsi="Courier New"/>
      </w:rPr>
    </w:lvl>
    <w:lvl w:ilvl="5" w:tplc="AF20EE20">
      <w:start w:val="1"/>
      <w:numFmt w:val="bullet"/>
      <w:lvlText w:val=""/>
      <w:lvlJc w:val="left"/>
      <w:pPr>
        <w:ind w:left="4320" w:hanging="360"/>
      </w:pPr>
      <w:rPr>
        <w:rFonts w:hint="default" w:ascii="Wingdings" w:hAnsi="Wingdings"/>
      </w:rPr>
    </w:lvl>
    <w:lvl w:ilvl="6" w:tplc="E0244D9E">
      <w:start w:val="1"/>
      <w:numFmt w:val="bullet"/>
      <w:lvlText w:val=""/>
      <w:lvlJc w:val="left"/>
      <w:pPr>
        <w:ind w:left="5040" w:hanging="360"/>
      </w:pPr>
      <w:rPr>
        <w:rFonts w:hint="default" w:ascii="Symbol" w:hAnsi="Symbol"/>
      </w:rPr>
    </w:lvl>
    <w:lvl w:ilvl="7" w:tplc="F5E8621A">
      <w:start w:val="1"/>
      <w:numFmt w:val="bullet"/>
      <w:lvlText w:val="o"/>
      <w:lvlJc w:val="left"/>
      <w:pPr>
        <w:ind w:left="5760" w:hanging="360"/>
      </w:pPr>
      <w:rPr>
        <w:rFonts w:hint="default" w:ascii="Courier New" w:hAnsi="Courier New"/>
      </w:rPr>
    </w:lvl>
    <w:lvl w:ilvl="8" w:tplc="F7ECDD6E">
      <w:start w:val="1"/>
      <w:numFmt w:val="bullet"/>
      <w:lvlText w:val=""/>
      <w:lvlJc w:val="left"/>
      <w:pPr>
        <w:ind w:left="6480" w:hanging="360"/>
      </w:pPr>
      <w:rPr>
        <w:rFonts w:hint="default" w:ascii="Wingdings" w:hAnsi="Wingdings"/>
      </w:rPr>
    </w:lvl>
  </w:abstractNum>
  <w:abstractNum w:abstractNumId="8" w15:restartNumberingAfterBreak="0">
    <w:nsid w:val="3ED36542"/>
    <w:multiLevelType w:val="hybridMultilevel"/>
    <w:tmpl w:val="FFFFFFFF"/>
    <w:lvl w:ilvl="0" w:tplc="892ABAD6">
      <w:start w:val="1"/>
      <w:numFmt w:val="bullet"/>
      <w:lvlText w:val=""/>
      <w:lvlJc w:val="left"/>
      <w:pPr>
        <w:ind w:left="720" w:hanging="360"/>
      </w:pPr>
      <w:rPr>
        <w:rFonts w:hint="default" w:ascii="Symbol" w:hAnsi="Symbol"/>
      </w:rPr>
    </w:lvl>
    <w:lvl w:ilvl="1" w:tplc="477495B6">
      <w:start w:val="1"/>
      <w:numFmt w:val="bullet"/>
      <w:lvlText w:val="o"/>
      <w:lvlJc w:val="left"/>
      <w:pPr>
        <w:ind w:left="1440" w:hanging="360"/>
      </w:pPr>
      <w:rPr>
        <w:rFonts w:hint="default" w:ascii="Courier New" w:hAnsi="Courier New"/>
      </w:rPr>
    </w:lvl>
    <w:lvl w:ilvl="2" w:tplc="FE1E77EA">
      <w:start w:val="1"/>
      <w:numFmt w:val="bullet"/>
      <w:lvlText w:val=""/>
      <w:lvlJc w:val="left"/>
      <w:pPr>
        <w:ind w:left="2160" w:hanging="360"/>
      </w:pPr>
      <w:rPr>
        <w:rFonts w:hint="default" w:ascii="Wingdings" w:hAnsi="Wingdings"/>
      </w:rPr>
    </w:lvl>
    <w:lvl w:ilvl="3" w:tplc="AAFC38A2">
      <w:start w:val="1"/>
      <w:numFmt w:val="bullet"/>
      <w:lvlText w:val=""/>
      <w:lvlJc w:val="left"/>
      <w:pPr>
        <w:ind w:left="2880" w:hanging="360"/>
      </w:pPr>
      <w:rPr>
        <w:rFonts w:hint="default" w:ascii="Symbol" w:hAnsi="Symbol"/>
      </w:rPr>
    </w:lvl>
    <w:lvl w:ilvl="4" w:tplc="F328CEE2">
      <w:start w:val="1"/>
      <w:numFmt w:val="bullet"/>
      <w:lvlText w:val="o"/>
      <w:lvlJc w:val="left"/>
      <w:pPr>
        <w:ind w:left="3600" w:hanging="360"/>
      </w:pPr>
      <w:rPr>
        <w:rFonts w:hint="default" w:ascii="Courier New" w:hAnsi="Courier New"/>
      </w:rPr>
    </w:lvl>
    <w:lvl w:ilvl="5" w:tplc="73B091E4">
      <w:start w:val="1"/>
      <w:numFmt w:val="bullet"/>
      <w:lvlText w:val=""/>
      <w:lvlJc w:val="left"/>
      <w:pPr>
        <w:ind w:left="4320" w:hanging="360"/>
      </w:pPr>
      <w:rPr>
        <w:rFonts w:hint="default" w:ascii="Wingdings" w:hAnsi="Wingdings"/>
      </w:rPr>
    </w:lvl>
    <w:lvl w:ilvl="6" w:tplc="4FC6D9F0">
      <w:start w:val="1"/>
      <w:numFmt w:val="bullet"/>
      <w:lvlText w:val=""/>
      <w:lvlJc w:val="left"/>
      <w:pPr>
        <w:ind w:left="5040" w:hanging="360"/>
      </w:pPr>
      <w:rPr>
        <w:rFonts w:hint="default" w:ascii="Symbol" w:hAnsi="Symbol"/>
      </w:rPr>
    </w:lvl>
    <w:lvl w:ilvl="7" w:tplc="7EE24616">
      <w:start w:val="1"/>
      <w:numFmt w:val="bullet"/>
      <w:lvlText w:val="o"/>
      <w:lvlJc w:val="left"/>
      <w:pPr>
        <w:ind w:left="5760" w:hanging="360"/>
      </w:pPr>
      <w:rPr>
        <w:rFonts w:hint="default" w:ascii="Courier New" w:hAnsi="Courier New"/>
      </w:rPr>
    </w:lvl>
    <w:lvl w:ilvl="8" w:tplc="3DCC4540">
      <w:start w:val="1"/>
      <w:numFmt w:val="bullet"/>
      <w:lvlText w:val=""/>
      <w:lvlJc w:val="left"/>
      <w:pPr>
        <w:ind w:left="6480" w:hanging="360"/>
      </w:pPr>
      <w:rPr>
        <w:rFonts w:hint="default" w:ascii="Wingdings" w:hAnsi="Wingdings"/>
      </w:rPr>
    </w:lvl>
  </w:abstractNum>
  <w:abstractNum w:abstractNumId="9" w15:restartNumberingAfterBreak="0">
    <w:nsid w:val="47079AF0"/>
    <w:multiLevelType w:val="hybridMultilevel"/>
    <w:tmpl w:val="FFFFFFFF"/>
    <w:lvl w:ilvl="0" w:tplc="2A0C6170">
      <w:start w:val="1"/>
      <w:numFmt w:val="bullet"/>
      <w:lvlText w:val=""/>
      <w:lvlJc w:val="left"/>
      <w:pPr>
        <w:ind w:left="720" w:hanging="360"/>
      </w:pPr>
      <w:rPr>
        <w:rFonts w:hint="default" w:ascii="Symbol" w:hAnsi="Symbol"/>
      </w:rPr>
    </w:lvl>
    <w:lvl w:ilvl="1" w:tplc="90B62B06">
      <w:start w:val="1"/>
      <w:numFmt w:val="bullet"/>
      <w:lvlText w:val="o"/>
      <w:lvlJc w:val="left"/>
      <w:pPr>
        <w:ind w:left="1440" w:hanging="360"/>
      </w:pPr>
      <w:rPr>
        <w:rFonts w:hint="default" w:ascii="Courier New" w:hAnsi="Courier New"/>
      </w:rPr>
    </w:lvl>
    <w:lvl w:ilvl="2" w:tplc="F79482D8">
      <w:start w:val="1"/>
      <w:numFmt w:val="bullet"/>
      <w:lvlText w:val=""/>
      <w:lvlJc w:val="left"/>
      <w:pPr>
        <w:ind w:left="2160" w:hanging="360"/>
      </w:pPr>
      <w:rPr>
        <w:rFonts w:hint="default" w:ascii="Wingdings" w:hAnsi="Wingdings"/>
      </w:rPr>
    </w:lvl>
    <w:lvl w:ilvl="3" w:tplc="08A4D7A0">
      <w:start w:val="1"/>
      <w:numFmt w:val="bullet"/>
      <w:lvlText w:val=""/>
      <w:lvlJc w:val="left"/>
      <w:pPr>
        <w:ind w:left="2880" w:hanging="360"/>
      </w:pPr>
      <w:rPr>
        <w:rFonts w:hint="default" w:ascii="Symbol" w:hAnsi="Symbol"/>
      </w:rPr>
    </w:lvl>
    <w:lvl w:ilvl="4" w:tplc="CC905346">
      <w:start w:val="1"/>
      <w:numFmt w:val="bullet"/>
      <w:lvlText w:val="o"/>
      <w:lvlJc w:val="left"/>
      <w:pPr>
        <w:ind w:left="3600" w:hanging="360"/>
      </w:pPr>
      <w:rPr>
        <w:rFonts w:hint="default" w:ascii="Courier New" w:hAnsi="Courier New"/>
      </w:rPr>
    </w:lvl>
    <w:lvl w:ilvl="5" w:tplc="3F2AA40E">
      <w:start w:val="1"/>
      <w:numFmt w:val="bullet"/>
      <w:lvlText w:val=""/>
      <w:lvlJc w:val="left"/>
      <w:pPr>
        <w:ind w:left="4320" w:hanging="360"/>
      </w:pPr>
      <w:rPr>
        <w:rFonts w:hint="default" w:ascii="Wingdings" w:hAnsi="Wingdings"/>
      </w:rPr>
    </w:lvl>
    <w:lvl w:ilvl="6" w:tplc="1D70AF1C">
      <w:start w:val="1"/>
      <w:numFmt w:val="bullet"/>
      <w:lvlText w:val=""/>
      <w:lvlJc w:val="left"/>
      <w:pPr>
        <w:ind w:left="5040" w:hanging="360"/>
      </w:pPr>
      <w:rPr>
        <w:rFonts w:hint="default" w:ascii="Symbol" w:hAnsi="Symbol"/>
      </w:rPr>
    </w:lvl>
    <w:lvl w:ilvl="7" w:tplc="74A68322">
      <w:start w:val="1"/>
      <w:numFmt w:val="bullet"/>
      <w:lvlText w:val="o"/>
      <w:lvlJc w:val="left"/>
      <w:pPr>
        <w:ind w:left="5760" w:hanging="360"/>
      </w:pPr>
      <w:rPr>
        <w:rFonts w:hint="default" w:ascii="Courier New" w:hAnsi="Courier New"/>
      </w:rPr>
    </w:lvl>
    <w:lvl w:ilvl="8" w:tplc="0EC602FE">
      <w:start w:val="1"/>
      <w:numFmt w:val="bullet"/>
      <w:lvlText w:val=""/>
      <w:lvlJc w:val="left"/>
      <w:pPr>
        <w:ind w:left="6480" w:hanging="360"/>
      </w:pPr>
      <w:rPr>
        <w:rFonts w:hint="default" w:ascii="Wingdings" w:hAnsi="Wingdings"/>
      </w:rPr>
    </w:lvl>
  </w:abstractNum>
  <w:abstractNum w:abstractNumId="10" w15:restartNumberingAfterBreak="0">
    <w:nsid w:val="489BFD2B"/>
    <w:multiLevelType w:val="hybridMultilevel"/>
    <w:tmpl w:val="FFFFFFFF"/>
    <w:lvl w:ilvl="0" w:tplc="7F069FA6">
      <w:start w:val="1"/>
      <w:numFmt w:val="bullet"/>
      <w:lvlText w:val=""/>
      <w:lvlJc w:val="left"/>
      <w:pPr>
        <w:ind w:left="720" w:hanging="360"/>
      </w:pPr>
      <w:rPr>
        <w:rFonts w:hint="default" w:ascii="Symbol" w:hAnsi="Symbol"/>
      </w:rPr>
    </w:lvl>
    <w:lvl w:ilvl="1" w:tplc="3DAEA862">
      <w:start w:val="1"/>
      <w:numFmt w:val="bullet"/>
      <w:lvlText w:val="o"/>
      <w:lvlJc w:val="left"/>
      <w:pPr>
        <w:ind w:left="1440" w:hanging="360"/>
      </w:pPr>
      <w:rPr>
        <w:rFonts w:hint="default" w:ascii="Courier New" w:hAnsi="Courier New"/>
      </w:rPr>
    </w:lvl>
    <w:lvl w:ilvl="2" w:tplc="56EC1586">
      <w:start w:val="1"/>
      <w:numFmt w:val="bullet"/>
      <w:lvlText w:val=""/>
      <w:lvlJc w:val="left"/>
      <w:pPr>
        <w:ind w:left="2160" w:hanging="360"/>
      </w:pPr>
      <w:rPr>
        <w:rFonts w:hint="default" w:ascii="Wingdings" w:hAnsi="Wingdings"/>
      </w:rPr>
    </w:lvl>
    <w:lvl w:ilvl="3" w:tplc="FFBEA99A">
      <w:start w:val="1"/>
      <w:numFmt w:val="bullet"/>
      <w:lvlText w:val=""/>
      <w:lvlJc w:val="left"/>
      <w:pPr>
        <w:ind w:left="2880" w:hanging="360"/>
      </w:pPr>
      <w:rPr>
        <w:rFonts w:hint="default" w:ascii="Symbol" w:hAnsi="Symbol"/>
      </w:rPr>
    </w:lvl>
    <w:lvl w:ilvl="4" w:tplc="16C297EE">
      <w:start w:val="1"/>
      <w:numFmt w:val="bullet"/>
      <w:lvlText w:val="o"/>
      <w:lvlJc w:val="left"/>
      <w:pPr>
        <w:ind w:left="3600" w:hanging="360"/>
      </w:pPr>
      <w:rPr>
        <w:rFonts w:hint="default" w:ascii="Courier New" w:hAnsi="Courier New"/>
      </w:rPr>
    </w:lvl>
    <w:lvl w:ilvl="5" w:tplc="2A6A6A54">
      <w:start w:val="1"/>
      <w:numFmt w:val="bullet"/>
      <w:lvlText w:val=""/>
      <w:lvlJc w:val="left"/>
      <w:pPr>
        <w:ind w:left="4320" w:hanging="360"/>
      </w:pPr>
      <w:rPr>
        <w:rFonts w:hint="default" w:ascii="Wingdings" w:hAnsi="Wingdings"/>
      </w:rPr>
    </w:lvl>
    <w:lvl w:ilvl="6" w:tplc="A3E413FA">
      <w:start w:val="1"/>
      <w:numFmt w:val="bullet"/>
      <w:lvlText w:val=""/>
      <w:lvlJc w:val="left"/>
      <w:pPr>
        <w:ind w:left="5040" w:hanging="360"/>
      </w:pPr>
      <w:rPr>
        <w:rFonts w:hint="default" w:ascii="Symbol" w:hAnsi="Symbol"/>
      </w:rPr>
    </w:lvl>
    <w:lvl w:ilvl="7" w:tplc="AD808ED2">
      <w:start w:val="1"/>
      <w:numFmt w:val="bullet"/>
      <w:lvlText w:val="o"/>
      <w:lvlJc w:val="left"/>
      <w:pPr>
        <w:ind w:left="5760" w:hanging="360"/>
      </w:pPr>
      <w:rPr>
        <w:rFonts w:hint="default" w:ascii="Courier New" w:hAnsi="Courier New"/>
      </w:rPr>
    </w:lvl>
    <w:lvl w:ilvl="8" w:tplc="AE08E520">
      <w:start w:val="1"/>
      <w:numFmt w:val="bullet"/>
      <w:lvlText w:val=""/>
      <w:lvlJc w:val="left"/>
      <w:pPr>
        <w:ind w:left="6480" w:hanging="360"/>
      </w:pPr>
      <w:rPr>
        <w:rFonts w:hint="default" w:ascii="Wingdings" w:hAnsi="Wingdings"/>
      </w:rPr>
    </w:lvl>
  </w:abstractNum>
  <w:abstractNum w:abstractNumId="11" w15:restartNumberingAfterBreak="0">
    <w:nsid w:val="4B6E3964"/>
    <w:multiLevelType w:val="hybridMultilevel"/>
    <w:tmpl w:val="FFFFFFFF"/>
    <w:lvl w:ilvl="0" w:tplc="4FCCB654">
      <w:start w:val="1"/>
      <w:numFmt w:val="bullet"/>
      <w:lvlText w:val=""/>
      <w:lvlJc w:val="left"/>
      <w:pPr>
        <w:ind w:left="720" w:hanging="360"/>
      </w:pPr>
      <w:rPr>
        <w:rFonts w:hint="default" w:ascii="Symbol" w:hAnsi="Symbol"/>
      </w:rPr>
    </w:lvl>
    <w:lvl w:ilvl="1" w:tplc="3358396C">
      <w:start w:val="1"/>
      <w:numFmt w:val="bullet"/>
      <w:lvlText w:val="o"/>
      <w:lvlJc w:val="left"/>
      <w:pPr>
        <w:ind w:left="1440" w:hanging="360"/>
      </w:pPr>
      <w:rPr>
        <w:rFonts w:hint="default" w:ascii="Courier New" w:hAnsi="Courier New"/>
      </w:rPr>
    </w:lvl>
    <w:lvl w:ilvl="2" w:tplc="35901C88">
      <w:start w:val="1"/>
      <w:numFmt w:val="bullet"/>
      <w:lvlText w:val=""/>
      <w:lvlJc w:val="left"/>
      <w:pPr>
        <w:ind w:left="2160" w:hanging="360"/>
      </w:pPr>
      <w:rPr>
        <w:rFonts w:hint="default" w:ascii="Wingdings" w:hAnsi="Wingdings"/>
      </w:rPr>
    </w:lvl>
    <w:lvl w:ilvl="3" w:tplc="F426D7B0">
      <w:start w:val="1"/>
      <w:numFmt w:val="bullet"/>
      <w:lvlText w:val=""/>
      <w:lvlJc w:val="left"/>
      <w:pPr>
        <w:ind w:left="2880" w:hanging="360"/>
      </w:pPr>
      <w:rPr>
        <w:rFonts w:hint="default" w:ascii="Symbol" w:hAnsi="Symbol"/>
      </w:rPr>
    </w:lvl>
    <w:lvl w:ilvl="4" w:tplc="064A9ADC">
      <w:start w:val="1"/>
      <w:numFmt w:val="bullet"/>
      <w:lvlText w:val="o"/>
      <w:lvlJc w:val="left"/>
      <w:pPr>
        <w:ind w:left="3600" w:hanging="360"/>
      </w:pPr>
      <w:rPr>
        <w:rFonts w:hint="default" w:ascii="Courier New" w:hAnsi="Courier New"/>
      </w:rPr>
    </w:lvl>
    <w:lvl w:ilvl="5" w:tplc="6018DDAA">
      <w:start w:val="1"/>
      <w:numFmt w:val="bullet"/>
      <w:lvlText w:val=""/>
      <w:lvlJc w:val="left"/>
      <w:pPr>
        <w:ind w:left="4320" w:hanging="360"/>
      </w:pPr>
      <w:rPr>
        <w:rFonts w:hint="default" w:ascii="Wingdings" w:hAnsi="Wingdings"/>
      </w:rPr>
    </w:lvl>
    <w:lvl w:ilvl="6" w:tplc="3CDAF198">
      <w:start w:val="1"/>
      <w:numFmt w:val="bullet"/>
      <w:lvlText w:val=""/>
      <w:lvlJc w:val="left"/>
      <w:pPr>
        <w:ind w:left="5040" w:hanging="360"/>
      </w:pPr>
      <w:rPr>
        <w:rFonts w:hint="default" w:ascii="Symbol" w:hAnsi="Symbol"/>
      </w:rPr>
    </w:lvl>
    <w:lvl w:ilvl="7" w:tplc="0FC42B96">
      <w:start w:val="1"/>
      <w:numFmt w:val="bullet"/>
      <w:lvlText w:val="o"/>
      <w:lvlJc w:val="left"/>
      <w:pPr>
        <w:ind w:left="5760" w:hanging="360"/>
      </w:pPr>
      <w:rPr>
        <w:rFonts w:hint="default" w:ascii="Courier New" w:hAnsi="Courier New"/>
      </w:rPr>
    </w:lvl>
    <w:lvl w:ilvl="8" w:tplc="6060AA1C">
      <w:start w:val="1"/>
      <w:numFmt w:val="bullet"/>
      <w:lvlText w:val=""/>
      <w:lvlJc w:val="left"/>
      <w:pPr>
        <w:ind w:left="6480" w:hanging="360"/>
      </w:pPr>
      <w:rPr>
        <w:rFonts w:hint="default" w:ascii="Wingdings" w:hAnsi="Wingdings"/>
      </w:rPr>
    </w:lvl>
  </w:abstractNum>
  <w:abstractNum w:abstractNumId="12" w15:restartNumberingAfterBreak="0">
    <w:nsid w:val="4C027EC5"/>
    <w:multiLevelType w:val="hybridMultilevel"/>
    <w:tmpl w:val="FFFFFFFF"/>
    <w:lvl w:ilvl="0" w:tplc="A7EA6C00">
      <w:start w:val="1"/>
      <w:numFmt w:val="bullet"/>
      <w:lvlText w:val=""/>
      <w:lvlJc w:val="left"/>
      <w:pPr>
        <w:ind w:left="720" w:hanging="360"/>
      </w:pPr>
      <w:rPr>
        <w:rFonts w:hint="default" w:ascii="Symbol" w:hAnsi="Symbol"/>
      </w:rPr>
    </w:lvl>
    <w:lvl w:ilvl="1" w:tplc="C6EA8992">
      <w:start w:val="1"/>
      <w:numFmt w:val="bullet"/>
      <w:lvlText w:val="o"/>
      <w:lvlJc w:val="left"/>
      <w:pPr>
        <w:ind w:left="1440" w:hanging="360"/>
      </w:pPr>
      <w:rPr>
        <w:rFonts w:hint="default" w:ascii="Courier New" w:hAnsi="Courier New"/>
      </w:rPr>
    </w:lvl>
    <w:lvl w:ilvl="2" w:tplc="1A1ABC3C">
      <w:start w:val="1"/>
      <w:numFmt w:val="bullet"/>
      <w:lvlText w:val=""/>
      <w:lvlJc w:val="left"/>
      <w:pPr>
        <w:ind w:left="2160" w:hanging="360"/>
      </w:pPr>
      <w:rPr>
        <w:rFonts w:hint="default" w:ascii="Wingdings" w:hAnsi="Wingdings"/>
      </w:rPr>
    </w:lvl>
    <w:lvl w:ilvl="3" w:tplc="C84A5994">
      <w:start w:val="1"/>
      <w:numFmt w:val="bullet"/>
      <w:lvlText w:val=""/>
      <w:lvlJc w:val="left"/>
      <w:pPr>
        <w:ind w:left="2880" w:hanging="360"/>
      </w:pPr>
      <w:rPr>
        <w:rFonts w:hint="default" w:ascii="Symbol" w:hAnsi="Symbol"/>
      </w:rPr>
    </w:lvl>
    <w:lvl w:ilvl="4" w:tplc="1ADCA90E">
      <w:start w:val="1"/>
      <w:numFmt w:val="bullet"/>
      <w:lvlText w:val="o"/>
      <w:lvlJc w:val="left"/>
      <w:pPr>
        <w:ind w:left="3600" w:hanging="360"/>
      </w:pPr>
      <w:rPr>
        <w:rFonts w:hint="default" w:ascii="Courier New" w:hAnsi="Courier New"/>
      </w:rPr>
    </w:lvl>
    <w:lvl w:ilvl="5" w:tplc="00F02E1C">
      <w:start w:val="1"/>
      <w:numFmt w:val="bullet"/>
      <w:lvlText w:val=""/>
      <w:lvlJc w:val="left"/>
      <w:pPr>
        <w:ind w:left="4320" w:hanging="360"/>
      </w:pPr>
      <w:rPr>
        <w:rFonts w:hint="default" w:ascii="Wingdings" w:hAnsi="Wingdings"/>
      </w:rPr>
    </w:lvl>
    <w:lvl w:ilvl="6" w:tplc="6492B240">
      <w:start w:val="1"/>
      <w:numFmt w:val="bullet"/>
      <w:lvlText w:val=""/>
      <w:lvlJc w:val="left"/>
      <w:pPr>
        <w:ind w:left="5040" w:hanging="360"/>
      </w:pPr>
      <w:rPr>
        <w:rFonts w:hint="default" w:ascii="Symbol" w:hAnsi="Symbol"/>
      </w:rPr>
    </w:lvl>
    <w:lvl w:ilvl="7" w:tplc="B4E430D6">
      <w:start w:val="1"/>
      <w:numFmt w:val="bullet"/>
      <w:lvlText w:val="o"/>
      <w:lvlJc w:val="left"/>
      <w:pPr>
        <w:ind w:left="5760" w:hanging="360"/>
      </w:pPr>
      <w:rPr>
        <w:rFonts w:hint="default" w:ascii="Courier New" w:hAnsi="Courier New"/>
      </w:rPr>
    </w:lvl>
    <w:lvl w:ilvl="8" w:tplc="E490EDC6">
      <w:start w:val="1"/>
      <w:numFmt w:val="bullet"/>
      <w:lvlText w:val=""/>
      <w:lvlJc w:val="left"/>
      <w:pPr>
        <w:ind w:left="6480" w:hanging="360"/>
      </w:pPr>
      <w:rPr>
        <w:rFonts w:hint="default" w:ascii="Wingdings" w:hAnsi="Wingdings"/>
      </w:rPr>
    </w:lvl>
  </w:abstractNum>
  <w:abstractNum w:abstractNumId="13" w15:restartNumberingAfterBreak="0">
    <w:nsid w:val="4FB312F3"/>
    <w:multiLevelType w:val="hybridMultilevel"/>
    <w:tmpl w:val="FFFFFFFF"/>
    <w:lvl w:ilvl="0" w:tplc="2DF2E382">
      <w:start w:val="1"/>
      <w:numFmt w:val="bullet"/>
      <w:lvlText w:val=""/>
      <w:lvlJc w:val="left"/>
      <w:pPr>
        <w:ind w:left="720" w:hanging="360"/>
      </w:pPr>
      <w:rPr>
        <w:rFonts w:hint="default" w:ascii="Symbol" w:hAnsi="Symbol"/>
      </w:rPr>
    </w:lvl>
    <w:lvl w:ilvl="1" w:tplc="9424C79E">
      <w:start w:val="1"/>
      <w:numFmt w:val="bullet"/>
      <w:lvlText w:val="o"/>
      <w:lvlJc w:val="left"/>
      <w:pPr>
        <w:ind w:left="1440" w:hanging="360"/>
      </w:pPr>
      <w:rPr>
        <w:rFonts w:hint="default" w:ascii="Courier New" w:hAnsi="Courier New"/>
      </w:rPr>
    </w:lvl>
    <w:lvl w:ilvl="2" w:tplc="73C61832">
      <w:start w:val="1"/>
      <w:numFmt w:val="bullet"/>
      <w:lvlText w:val=""/>
      <w:lvlJc w:val="left"/>
      <w:pPr>
        <w:ind w:left="2160" w:hanging="360"/>
      </w:pPr>
      <w:rPr>
        <w:rFonts w:hint="default" w:ascii="Wingdings" w:hAnsi="Wingdings"/>
      </w:rPr>
    </w:lvl>
    <w:lvl w:ilvl="3" w:tplc="AC722602">
      <w:start w:val="1"/>
      <w:numFmt w:val="bullet"/>
      <w:lvlText w:val=""/>
      <w:lvlJc w:val="left"/>
      <w:pPr>
        <w:ind w:left="2880" w:hanging="360"/>
      </w:pPr>
      <w:rPr>
        <w:rFonts w:hint="default" w:ascii="Symbol" w:hAnsi="Symbol"/>
      </w:rPr>
    </w:lvl>
    <w:lvl w:ilvl="4" w:tplc="68A88462">
      <w:start w:val="1"/>
      <w:numFmt w:val="bullet"/>
      <w:lvlText w:val="o"/>
      <w:lvlJc w:val="left"/>
      <w:pPr>
        <w:ind w:left="3600" w:hanging="360"/>
      </w:pPr>
      <w:rPr>
        <w:rFonts w:hint="default" w:ascii="Courier New" w:hAnsi="Courier New"/>
      </w:rPr>
    </w:lvl>
    <w:lvl w:ilvl="5" w:tplc="22268BC0">
      <w:start w:val="1"/>
      <w:numFmt w:val="bullet"/>
      <w:lvlText w:val=""/>
      <w:lvlJc w:val="left"/>
      <w:pPr>
        <w:ind w:left="4320" w:hanging="360"/>
      </w:pPr>
      <w:rPr>
        <w:rFonts w:hint="default" w:ascii="Wingdings" w:hAnsi="Wingdings"/>
      </w:rPr>
    </w:lvl>
    <w:lvl w:ilvl="6" w:tplc="D4C4E4AA">
      <w:start w:val="1"/>
      <w:numFmt w:val="bullet"/>
      <w:lvlText w:val=""/>
      <w:lvlJc w:val="left"/>
      <w:pPr>
        <w:ind w:left="5040" w:hanging="360"/>
      </w:pPr>
      <w:rPr>
        <w:rFonts w:hint="default" w:ascii="Symbol" w:hAnsi="Symbol"/>
      </w:rPr>
    </w:lvl>
    <w:lvl w:ilvl="7" w:tplc="FBB85534">
      <w:start w:val="1"/>
      <w:numFmt w:val="bullet"/>
      <w:lvlText w:val="o"/>
      <w:lvlJc w:val="left"/>
      <w:pPr>
        <w:ind w:left="5760" w:hanging="360"/>
      </w:pPr>
      <w:rPr>
        <w:rFonts w:hint="default" w:ascii="Courier New" w:hAnsi="Courier New"/>
      </w:rPr>
    </w:lvl>
    <w:lvl w:ilvl="8" w:tplc="3BBCEF2E">
      <w:start w:val="1"/>
      <w:numFmt w:val="bullet"/>
      <w:lvlText w:val=""/>
      <w:lvlJc w:val="left"/>
      <w:pPr>
        <w:ind w:left="6480" w:hanging="360"/>
      </w:pPr>
      <w:rPr>
        <w:rFonts w:hint="default" w:ascii="Wingdings" w:hAnsi="Wingdings"/>
      </w:rPr>
    </w:lvl>
  </w:abstractNum>
  <w:abstractNum w:abstractNumId="14" w15:restartNumberingAfterBreak="0">
    <w:nsid w:val="518FD480"/>
    <w:multiLevelType w:val="hybridMultilevel"/>
    <w:tmpl w:val="FFFFFFFF"/>
    <w:lvl w:ilvl="0" w:tplc="8190D976">
      <w:start w:val="1"/>
      <w:numFmt w:val="bullet"/>
      <w:lvlText w:val=""/>
      <w:lvlJc w:val="left"/>
      <w:pPr>
        <w:ind w:left="720" w:hanging="360"/>
      </w:pPr>
      <w:rPr>
        <w:rFonts w:hint="default" w:ascii="Symbol" w:hAnsi="Symbol"/>
      </w:rPr>
    </w:lvl>
    <w:lvl w:ilvl="1" w:tplc="19B21CDA">
      <w:start w:val="1"/>
      <w:numFmt w:val="bullet"/>
      <w:lvlText w:val="o"/>
      <w:lvlJc w:val="left"/>
      <w:pPr>
        <w:ind w:left="1440" w:hanging="360"/>
      </w:pPr>
      <w:rPr>
        <w:rFonts w:hint="default" w:ascii="Courier New" w:hAnsi="Courier New"/>
      </w:rPr>
    </w:lvl>
    <w:lvl w:ilvl="2" w:tplc="362EFD58">
      <w:start w:val="1"/>
      <w:numFmt w:val="bullet"/>
      <w:lvlText w:val=""/>
      <w:lvlJc w:val="left"/>
      <w:pPr>
        <w:ind w:left="2160" w:hanging="360"/>
      </w:pPr>
      <w:rPr>
        <w:rFonts w:hint="default" w:ascii="Wingdings" w:hAnsi="Wingdings"/>
      </w:rPr>
    </w:lvl>
    <w:lvl w:ilvl="3" w:tplc="A0964B32">
      <w:start w:val="1"/>
      <w:numFmt w:val="bullet"/>
      <w:lvlText w:val=""/>
      <w:lvlJc w:val="left"/>
      <w:pPr>
        <w:ind w:left="2880" w:hanging="360"/>
      </w:pPr>
      <w:rPr>
        <w:rFonts w:hint="default" w:ascii="Symbol" w:hAnsi="Symbol"/>
      </w:rPr>
    </w:lvl>
    <w:lvl w:ilvl="4" w:tplc="28906EC0">
      <w:start w:val="1"/>
      <w:numFmt w:val="bullet"/>
      <w:lvlText w:val="o"/>
      <w:lvlJc w:val="left"/>
      <w:pPr>
        <w:ind w:left="3600" w:hanging="360"/>
      </w:pPr>
      <w:rPr>
        <w:rFonts w:hint="default" w:ascii="Courier New" w:hAnsi="Courier New"/>
      </w:rPr>
    </w:lvl>
    <w:lvl w:ilvl="5" w:tplc="33DA9D76">
      <w:start w:val="1"/>
      <w:numFmt w:val="bullet"/>
      <w:lvlText w:val=""/>
      <w:lvlJc w:val="left"/>
      <w:pPr>
        <w:ind w:left="4320" w:hanging="360"/>
      </w:pPr>
      <w:rPr>
        <w:rFonts w:hint="default" w:ascii="Wingdings" w:hAnsi="Wingdings"/>
      </w:rPr>
    </w:lvl>
    <w:lvl w:ilvl="6" w:tplc="6770B522">
      <w:start w:val="1"/>
      <w:numFmt w:val="bullet"/>
      <w:lvlText w:val=""/>
      <w:lvlJc w:val="left"/>
      <w:pPr>
        <w:ind w:left="5040" w:hanging="360"/>
      </w:pPr>
      <w:rPr>
        <w:rFonts w:hint="default" w:ascii="Symbol" w:hAnsi="Symbol"/>
      </w:rPr>
    </w:lvl>
    <w:lvl w:ilvl="7" w:tplc="70B439BC">
      <w:start w:val="1"/>
      <w:numFmt w:val="bullet"/>
      <w:lvlText w:val="o"/>
      <w:lvlJc w:val="left"/>
      <w:pPr>
        <w:ind w:left="5760" w:hanging="360"/>
      </w:pPr>
      <w:rPr>
        <w:rFonts w:hint="default" w:ascii="Courier New" w:hAnsi="Courier New"/>
      </w:rPr>
    </w:lvl>
    <w:lvl w:ilvl="8" w:tplc="2BF80CDE">
      <w:start w:val="1"/>
      <w:numFmt w:val="bullet"/>
      <w:lvlText w:val=""/>
      <w:lvlJc w:val="left"/>
      <w:pPr>
        <w:ind w:left="6480" w:hanging="360"/>
      </w:pPr>
      <w:rPr>
        <w:rFonts w:hint="default" w:ascii="Wingdings" w:hAnsi="Wingdings"/>
      </w:rPr>
    </w:lvl>
  </w:abstractNum>
  <w:abstractNum w:abstractNumId="15" w15:restartNumberingAfterBreak="0">
    <w:nsid w:val="53FAD0B6"/>
    <w:multiLevelType w:val="hybridMultilevel"/>
    <w:tmpl w:val="FFFFFFFF"/>
    <w:lvl w:ilvl="0" w:tplc="52F88E68">
      <w:start w:val="1"/>
      <w:numFmt w:val="bullet"/>
      <w:lvlText w:val=""/>
      <w:lvlJc w:val="left"/>
      <w:pPr>
        <w:ind w:left="720" w:hanging="360"/>
      </w:pPr>
      <w:rPr>
        <w:rFonts w:hint="default" w:ascii="Symbol" w:hAnsi="Symbol"/>
      </w:rPr>
    </w:lvl>
    <w:lvl w:ilvl="1" w:tplc="9B187C7A">
      <w:start w:val="1"/>
      <w:numFmt w:val="bullet"/>
      <w:lvlText w:val="o"/>
      <w:lvlJc w:val="left"/>
      <w:pPr>
        <w:ind w:left="1440" w:hanging="360"/>
      </w:pPr>
      <w:rPr>
        <w:rFonts w:hint="default" w:ascii="Courier New" w:hAnsi="Courier New"/>
      </w:rPr>
    </w:lvl>
    <w:lvl w:ilvl="2" w:tplc="CF1014AE">
      <w:start w:val="1"/>
      <w:numFmt w:val="bullet"/>
      <w:lvlText w:val=""/>
      <w:lvlJc w:val="left"/>
      <w:pPr>
        <w:ind w:left="2160" w:hanging="360"/>
      </w:pPr>
      <w:rPr>
        <w:rFonts w:hint="default" w:ascii="Wingdings" w:hAnsi="Wingdings"/>
      </w:rPr>
    </w:lvl>
    <w:lvl w:ilvl="3" w:tplc="DFAA1C1E">
      <w:start w:val="1"/>
      <w:numFmt w:val="bullet"/>
      <w:lvlText w:val=""/>
      <w:lvlJc w:val="left"/>
      <w:pPr>
        <w:ind w:left="2880" w:hanging="360"/>
      </w:pPr>
      <w:rPr>
        <w:rFonts w:hint="default" w:ascii="Symbol" w:hAnsi="Symbol"/>
      </w:rPr>
    </w:lvl>
    <w:lvl w:ilvl="4" w:tplc="264EC540">
      <w:start w:val="1"/>
      <w:numFmt w:val="bullet"/>
      <w:lvlText w:val="o"/>
      <w:lvlJc w:val="left"/>
      <w:pPr>
        <w:ind w:left="3600" w:hanging="360"/>
      </w:pPr>
      <w:rPr>
        <w:rFonts w:hint="default" w:ascii="Courier New" w:hAnsi="Courier New"/>
      </w:rPr>
    </w:lvl>
    <w:lvl w:ilvl="5" w:tplc="A5B48384">
      <w:start w:val="1"/>
      <w:numFmt w:val="bullet"/>
      <w:lvlText w:val=""/>
      <w:lvlJc w:val="left"/>
      <w:pPr>
        <w:ind w:left="4320" w:hanging="360"/>
      </w:pPr>
      <w:rPr>
        <w:rFonts w:hint="default" w:ascii="Wingdings" w:hAnsi="Wingdings"/>
      </w:rPr>
    </w:lvl>
    <w:lvl w:ilvl="6" w:tplc="C49E5EA2">
      <w:start w:val="1"/>
      <w:numFmt w:val="bullet"/>
      <w:lvlText w:val=""/>
      <w:lvlJc w:val="left"/>
      <w:pPr>
        <w:ind w:left="5040" w:hanging="360"/>
      </w:pPr>
      <w:rPr>
        <w:rFonts w:hint="default" w:ascii="Symbol" w:hAnsi="Symbol"/>
      </w:rPr>
    </w:lvl>
    <w:lvl w:ilvl="7" w:tplc="D50E1D62">
      <w:start w:val="1"/>
      <w:numFmt w:val="bullet"/>
      <w:lvlText w:val="o"/>
      <w:lvlJc w:val="left"/>
      <w:pPr>
        <w:ind w:left="5760" w:hanging="360"/>
      </w:pPr>
      <w:rPr>
        <w:rFonts w:hint="default" w:ascii="Courier New" w:hAnsi="Courier New"/>
      </w:rPr>
    </w:lvl>
    <w:lvl w:ilvl="8" w:tplc="9C9CA040">
      <w:start w:val="1"/>
      <w:numFmt w:val="bullet"/>
      <w:lvlText w:val=""/>
      <w:lvlJc w:val="left"/>
      <w:pPr>
        <w:ind w:left="6480" w:hanging="360"/>
      </w:pPr>
      <w:rPr>
        <w:rFonts w:hint="default" w:ascii="Wingdings" w:hAnsi="Wingdings"/>
      </w:rPr>
    </w:lvl>
  </w:abstractNum>
  <w:abstractNum w:abstractNumId="16" w15:restartNumberingAfterBreak="0">
    <w:nsid w:val="762AA800"/>
    <w:multiLevelType w:val="hybridMultilevel"/>
    <w:tmpl w:val="FFFFFFFF"/>
    <w:lvl w:ilvl="0" w:tplc="D82A5CE4">
      <w:start w:val="1"/>
      <w:numFmt w:val="bullet"/>
      <w:lvlText w:val=""/>
      <w:lvlJc w:val="left"/>
      <w:pPr>
        <w:ind w:left="720" w:hanging="360"/>
      </w:pPr>
      <w:rPr>
        <w:rFonts w:hint="default" w:ascii="Symbol" w:hAnsi="Symbol"/>
      </w:rPr>
    </w:lvl>
    <w:lvl w:ilvl="1" w:tplc="3378E8B8">
      <w:start w:val="1"/>
      <w:numFmt w:val="bullet"/>
      <w:lvlText w:val="o"/>
      <w:lvlJc w:val="left"/>
      <w:pPr>
        <w:ind w:left="1440" w:hanging="360"/>
      </w:pPr>
      <w:rPr>
        <w:rFonts w:hint="default" w:ascii="Courier New" w:hAnsi="Courier New"/>
      </w:rPr>
    </w:lvl>
    <w:lvl w:ilvl="2" w:tplc="9E664DAE">
      <w:start w:val="1"/>
      <w:numFmt w:val="bullet"/>
      <w:lvlText w:val=""/>
      <w:lvlJc w:val="left"/>
      <w:pPr>
        <w:ind w:left="2160" w:hanging="360"/>
      </w:pPr>
      <w:rPr>
        <w:rFonts w:hint="default" w:ascii="Wingdings" w:hAnsi="Wingdings"/>
      </w:rPr>
    </w:lvl>
    <w:lvl w:ilvl="3" w:tplc="99D03446">
      <w:start w:val="1"/>
      <w:numFmt w:val="bullet"/>
      <w:lvlText w:val=""/>
      <w:lvlJc w:val="left"/>
      <w:pPr>
        <w:ind w:left="2880" w:hanging="360"/>
      </w:pPr>
      <w:rPr>
        <w:rFonts w:hint="default" w:ascii="Symbol" w:hAnsi="Symbol"/>
      </w:rPr>
    </w:lvl>
    <w:lvl w:ilvl="4" w:tplc="E0BC49F4">
      <w:start w:val="1"/>
      <w:numFmt w:val="bullet"/>
      <w:lvlText w:val="o"/>
      <w:lvlJc w:val="left"/>
      <w:pPr>
        <w:ind w:left="3600" w:hanging="360"/>
      </w:pPr>
      <w:rPr>
        <w:rFonts w:hint="default" w:ascii="Courier New" w:hAnsi="Courier New"/>
      </w:rPr>
    </w:lvl>
    <w:lvl w:ilvl="5" w:tplc="7AB84608">
      <w:start w:val="1"/>
      <w:numFmt w:val="bullet"/>
      <w:lvlText w:val=""/>
      <w:lvlJc w:val="left"/>
      <w:pPr>
        <w:ind w:left="4320" w:hanging="360"/>
      </w:pPr>
      <w:rPr>
        <w:rFonts w:hint="default" w:ascii="Wingdings" w:hAnsi="Wingdings"/>
      </w:rPr>
    </w:lvl>
    <w:lvl w:ilvl="6" w:tplc="FC1C7D84">
      <w:start w:val="1"/>
      <w:numFmt w:val="bullet"/>
      <w:lvlText w:val=""/>
      <w:lvlJc w:val="left"/>
      <w:pPr>
        <w:ind w:left="5040" w:hanging="360"/>
      </w:pPr>
      <w:rPr>
        <w:rFonts w:hint="default" w:ascii="Symbol" w:hAnsi="Symbol"/>
      </w:rPr>
    </w:lvl>
    <w:lvl w:ilvl="7" w:tplc="A2680CF4">
      <w:start w:val="1"/>
      <w:numFmt w:val="bullet"/>
      <w:lvlText w:val="o"/>
      <w:lvlJc w:val="left"/>
      <w:pPr>
        <w:ind w:left="5760" w:hanging="360"/>
      </w:pPr>
      <w:rPr>
        <w:rFonts w:hint="default" w:ascii="Courier New" w:hAnsi="Courier New"/>
      </w:rPr>
    </w:lvl>
    <w:lvl w:ilvl="8" w:tplc="4206614C">
      <w:start w:val="1"/>
      <w:numFmt w:val="bullet"/>
      <w:lvlText w:val=""/>
      <w:lvlJc w:val="left"/>
      <w:pPr>
        <w:ind w:left="6480" w:hanging="360"/>
      </w:pPr>
      <w:rPr>
        <w:rFonts w:hint="default" w:ascii="Wingdings" w:hAnsi="Wingdings"/>
      </w:rPr>
    </w:lvl>
  </w:abstractNum>
  <w:num w:numId="1" w16cid:durableId="111022186">
    <w:abstractNumId w:val="9"/>
  </w:num>
  <w:num w:numId="2" w16cid:durableId="1239906464">
    <w:abstractNumId w:val="8"/>
  </w:num>
  <w:num w:numId="3" w16cid:durableId="1319580018">
    <w:abstractNumId w:val="14"/>
  </w:num>
  <w:num w:numId="4" w16cid:durableId="1446197005">
    <w:abstractNumId w:val="10"/>
  </w:num>
  <w:num w:numId="5" w16cid:durableId="1471247303">
    <w:abstractNumId w:val="1"/>
  </w:num>
  <w:num w:numId="6" w16cid:durableId="1564363858">
    <w:abstractNumId w:val="0"/>
  </w:num>
  <w:num w:numId="7" w16cid:durableId="1758794390">
    <w:abstractNumId w:val="13"/>
  </w:num>
  <w:num w:numId="8" w16cid:durableId="1818721985">
    <w:abstractNumId w:val="3"/>
  </w:num>
  <w:num w:numId="9" w16cid:durableId="1977948348">
    <w:abstractNumId w:val="6"/>
  </w:num>
  <w:num w:numId="10" w16cid:durableId="236870016">
    <w:abstractNumId w:val="16"/>
  </w:num>
  <w:num w:numId="11" w16cid:durableId="371266346">
    <w:abstractNumId w:val="11"/>
  </w:num>
  <w:num w:numId="12" w16cid:durableId="383604560">
    <w:abstractNumId w:val="5"/>
  </w:num>
  <w:num w:numId="13" w16cid:durableId="501436386">
    <w:abstractNumId w:val="12"/>
  </w:num>
  <w:num w:numId="14" w16cid:durableId="535047838">
    <w:abstractNumId w:val="7"/>
  </w:num>
  <w:num w:numId="15" w16cid:durableId="553197158">
    <w:abstractNumId w:val="2"/>
  </w:num>
  <w:num w:numId="16" w16cid:durableId="667371263">
    <w:abstractNumId w:val="15"/>
  </w:num>
  <w:num w:numId="17" w16cid:durableId="8743918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8A5733"/>
    <w:rsid w:val="000C0678"/>
    <w:rsid w:val="00337A4F"/>
    <w:rsid w:val="00393773"/>
    <w:rsid w:val="00460899"/>
    <w:rsid w:val="005331E7"/>
    <w:rsid w:val="00641476"/>
    <w:rsid w:val="007D6AC4"/>
    <w:rsid w:val="00B41525"/>
    <w:rsid w:val="00C01D2B"/>
    <w:rsid w:val="00C640F4"/>
    <w:rsid w:val="00DB4396"/>
    <w:rsid w:val="00EC0535"/>
    <w:rsid w:val="042E1A05"/>
    <w:rsid w:val="0778BA1D"/>
    <w:rsid w:val="0AEF5D7F"/>
    <w:rsid w:val="0AF57453"/>
    <w:rsid w:val="0AFFEE84"/>
    <w:rsid w:val="0C7399A4"/>
    <w:rsid w:val="0C984C59"/>
    <w:rsid w:val="0CE7E3C1"/>
    <w:rsid w:val="0E2AAE90"/>
    <w:rsid w:val="0F4994E9"/>
    <w:rsid w:val="10255730"/>
    <w:rsid w:val="1256BE1B"/>
    <w:rsid w:val="1355A7E2"/>
    <w:rsid w:val="168BAF3E"/>
    <w:rsid w:val="16B27AB4"/>
    <w:rsid w:val="1F3F7E36"/>
    <w:rsid w:val="1FCC5163"/>
    <w:rsid w:val="20561377"/>
    <w:rsid w:val="255067FA"/>
    <w:rsid w:val="2AF4D057"/>
    <w:rsid w:val="33848233"/>
    <w:rsid w:val="3570F0D4"/>
    <w:rsid w:val="38D2C8E8"/>
    <w:rsid w:val="3C72E1F3"/>
    <w:rsid w:val="3DFFDE72"/>
    <w:rsid w:val="4334E77B"/>
    <w:rsid w:val="4361E344"/>
    <w:rsid w:val="443AE185"/>
    <w:rsid w:val="4A5EE241"/>
    <w:rsid w:val="4AB7D6DC"/>
    <w:rsid w:val="50CC5C84"/>
    <w:rsid w:val="51F9DF40"/>
    <w:rsid w:val="5288D479"/>
    <w:rsid w:val="56FE8403"/>
    <w:rsid w:val="5B0BB95F"/>
    <w:rsid w:val="5CCE032B"/>
    <w:rsid w:val="5E852AFE"/>
    <w:rsid w:val="5EA93FAE"/>
    <w:rsid w:val="66E99458"/>
    <w:rsid w:val="67E9504C"/>
    <w:rsid w:val="68153A01"/>
    <w:rsid w:val="68179985"/>
    <w:rsid w:val="68C762AE"/>
    <w:rsid w:val="6BA81473"/>
    <w:rsid w:val="6DD17244"/>
    <w:rsid w:val="6FC78684"/>
    <w:rsid w:val="70E4BE4F"/>
    <w:rsid w:val="726DF0A7"/>
    <w:rsid w:val="72CB0737"/>
    <w:rsid w:val="73C3A606"/>
    <w:rsid w:val="748A5733"/>
    <w:rsid w:val="751C38E3"/>
    <w:rsid w:val="77700541"/>
    <w:rsid w:val="7DF175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C14EF2"/>
  <w15:chartTrackingRefBased/>
  <w15:docId w15:val="{F8A333B4-E4C0-416C-BA37-901B8992E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BA8147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BA8147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uiPriority w:val="9"/>
    <w:unhideWhenUsed/>
    <w:qFormat/>
    <w:rsid w:val="6BA814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6BA81473"/>
    <w:pPr>
      <w:keepNext/>
      <w:keepLines/>
      <w:spacing w:before="80" w:after="40"/>
      <w:outlineLvl w:val="3"/>
    </w:pPr>
    <w:rPr>
      <w:rFonts w:eastAsiaTheme="majorEastAsia" w:cstheme="majorBidi"/>
      <w:i/>
      <w:iCs/>
      <w:color w:val="0F476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6BA81473"/>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Adriana Maria Martin (2434646)</dc:creator>
  <keywords/>
  <dc:description/>
  <lastModifiedBy>Adriana Maria Martin (2434646)</lastModifiedBy>
  <revision>5</revision>
  <dcterms:created xsi:type="dcterms:W3CDTF">2026-06-22T10:12:00.0000000Z</dcterms:created>
  <dcterms:modified xsi:type="dcterms:W3CDTF">2026-07-09T12:18:35.0362978Z</dcterms:modified>
</coreProperties>
</file>