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A688A5" w14:textId="3FBEB93C" w:rsidR="001C657C" w:rsidRPr="00763436" w:rsidRDefault="001C657C" w:rsidP="00763436">
      <w:pPr>
        <w:jc w:val="center"/>
        <w:rPr>
          <w:rFonts w:ascii="Calibri" w:hAnsi="Calibri" w:cs="Calibri"/>
          <w:b/>
          <w:sz w:val="24"/>
          <w:szCs w:val="24"/>
        </w:rPr>
      </w:pPr>
      <w:r w:rsidRPr="00763436">
        <w:rPr>
          <w:rFonts w:ascii="Calibri" w:hAnsi="Calibri" w:cs="Calibri"/>
          <w:b/>
          <w:sz w:val="24"/>
          <w:szCs w:val="24"/>
        </w:rPr>
        <w:t xml:space="preserve">Apollonius’ innovation in the character and role of Medea in the </w:t>
      </w:r>
      <w:r w:rsidRPr="00295791">
        <w:rPr>
          <w:rFonts w:ascii="Calibri" w:hAnsi="Calibri" w:cs="Calibri"/>
          <w:b/>
          <w:i/>
          <w:sz w:val="24"/>
          <w:szCs w:val="24"/>
        </w:rPr>
        <w:t>Argonautica</w:t>
      </w:r>
    </w:p>
    <w:p w14:paraId="5ABF0A88" w14:textId="1269DFD1" w:rsidR="00763436" w:rsidRDefault="008629C0" w:rsidP="008629C0">
      <w:pPr>
        <w:tabs>
          <w:tab w:val="left" w:pos="7700"/>
        </w:tabs>
        <w:rPr>
          <w:rFonts w:ascii="Calibri" w:hAnsi="Calibri" w:cs="Calibri"/>
          <w:sz w:val="24"/>
          <w:szCs w:val="24"/>
        </w:rPr>
      </w:pPr>
      <w:r>
        <w:rPr>
          <w:rFonts w:ascii="Calibri" w:hAnsi="Calibri" w:cs="Calibri"/>
          <w:sz w:val="24"/>
          <w:szCs w:val="24"/>
        </w:rPr>
        <w:tab/>
      </w:r>
    </w:p>
    <w:p w14:paraId="69FF600E" w14:textId="006EC688" w:rsidR="001C657C" w:rsidRPr="00763436" w:rsidRDefault="001C657C" w:rsidP="00E34658">
      <w:pPr>
        <w:tabs>
          <w:tab w:val="left" w:pos="6890"/>
        </w:tabs>
        <w:rPr>
          <w:rFonts w:ascii="Calibri" w:hAnsi="Calibri" w:cs="Calibri"/>
          <w:b/>
          <w:sz w:val="24"/>
          <w:szCs w:val="24"/>
        </w:rPr>
      </w:pPr>
      <w:r w:rsidRPr="00763436">
        <w:rPr>
          <w:rFonts w:ascii="Calibri" w:hAnsi="Calibri" w:cs="Calibri"/>
          <w:b/>
          <w:sz w:val="24"/>
          <w:szCs w:val="24"/>
        </w:rPr>
        <w:t>Introduction</w:t>
      </w:r>
      <w:r w:rsidR="00E34658">
        <w:rPr>
          <w:rFonts w:ascii="Calibri" w:hAnsi="Calibri" w:cs="Calibri"/>
          <w:b/>
          <w:sz w:val="24"/>
          <w:szCs w:val="24"/>
        </w:rPr>
        <w:tab/>
      </w:r>
    </w:p>
    <w:p w14:paraId="0B963825" w14:textId="58BE7D77" w:rsidR="001C657C" w:rsidRPr="00763436" w:rsidRDefault="001C657C" w:rsidP="001C657C">
      <w:pPr>
        <w:rPr>
          <w:rFonts w:ascii="Calibri" w:hAnsi="Calibri" w:cs="Calibri"/>
          <w:sz w:val="24"/>
          <w:szCs w:val="24"/>
        </w:rPr>
      </w:pPr>
      <w:r w:rsidRPr="00763436">
        <w:rPr>
          <w:rFonts w:ascii="Calibri" w:hAnsi="Calibri" w:cs="Calibri"/>
          <w:sz w:val="24"/>
          <w:szCs w:val="24"/>
        </w:rPr>
        <w:t xml:space="preserve">The </w:t>
      </w:r>
      <w:r w:rsidRPr="00295791">
        <w:rPr>
          <w:rFonts w:ascii="Calibri" w:hAnsi="Calibri" w:cs="Calibri"/>
          <w:i/>
          <w:sz w:val="24"/>
          <w:szCs w:val="24"/>
        </w:rPr>
        <w:t>Argonautica</w:t>
      </w:r>
      <w:r w:rsidRPr="00763436">
        <w:rPr>
          <w:rFonts w:ascii="Calibri" w:hAnsi="Calibri" w:cs="Calibri"/>
          <w:sz w:val="24"/>
          <w:szCs w:val="24"/>
        </w:rPr>
        <w:t xml:space="preserve"> </w:t>
      </w:r>
      <w:r w:rsidR="004C4AC1">
        <w:rPr>
          <w:rFonts w:ascii="Calibri" w:hAnsi="Calibri" w:cs="Calibri"/>
          <w:sz w:val="24"/>
          <w:szCs w:val="24"/>
        </w:rPr>
        <w:t xml:space="preserve">by </w:t>
      </w:r>
      <w:r w:rsidRPr="00763436">
        <w:rPr>
          <w:rFonts w:ascii="Calibri" w:hAnsi="Calibri" w:cs="Calibri"/>
          <w:sz w:val="24"/>
          <w:szCs w:val="24"/>
        </w:rPr>
        <w:t xml:space="preserve">Apollonius of Rhodes has sometimes been dismissed by modern critics as poor quality pastiche of earlier </w:t>
      </w:r>
      <w:r w:rsidR="004C4AC1">
        <w:rPr>
          <w:rFonts w:ascii="Calibri" w:hAnsi="Calibri" w:cs="Calibri"/>
          <w:sz w:val="24"/>
          <w:szCs w:val="24"/>
        </w:rPr>
        <w:t xml:space="preserve">Homeric </w:t>
      </w:r>
      <w:r w:rsidRPr="00763436">
        <w:rPr>
          <w:rFonts w:ascii="Calibri" w:hAnsi="Calibri" w:cs="Calibri"/>
          <w:sz w:val="24"/>
          <w:szCs w:val="24"/>
        </w:rPr>
        <w:t>epic (</w:t>
      </w:r>
      <w:r w:rsidR="00241A74" w:rsidRPr="00763436">
        <w:rPr>
          <w:rFonts w:ascii="Calibri" w:hAnsi="Calibri" w:cs="Calibri"/>
          <w:sz w:val="24"/>
          <w:szCs w:val="24"/>
        </w:rPr>
        <w:t xml:space="preserve">see for example, </w:t>
      </w:r>
      <w:r w:rsidR="00763436" w:rsidRPr="00763436">
        <w:rPr>
          <w:rFonts w:ascii="Calibri" w:hAnsi="Calibri" w:cs="Calibri"/>
          <w:sz w:val="24"/>
          <w:szCs w:val="24"/>
        </w:rPr>
        <w:t xml:space="preserve">Clack 1972, </w:t>
      </w:r>
      <w:r w:rsidRPr="00763436">
        <w:rPr>
          <w:rFonts w:ascii="Calibri" w:hAnsi="Calibri" w:cs="Calibri"/>
          <w:sz w:val="24"/>
          <w:szCs w:val="24"/>
        </w:rPr>
        <w:t>Nelis</w:t>
      </w:r>
      <w:r w:rsidR="00D075D4" w:rsidRPr="00763436">
        <w:rPr>
          <w:rFonts w:ascii="Calibri" w:hAnsi="Calibri" w:cs="Calibri"/>
          <w:sz w:val="24"/>
          <w:szCs w:val="24"/>
        </w:rPr>
        <w:t>, D.P. in Foley (ed) 2005</w:t>
      </w:r>
      <w:r w:rsidRPr="00763436">
        <w:rPr>
          <w:rFonts w:ascii="Calibri" w:hAnsi="Calibri" w:cs="Calibri"/>
          <w:sz w:val="24"/>
          <w:szCs w:val="24"/>
        </w:rPr>
        <w:t>,</w:t>
      </w:r>
      <w:r w:rsidR="00D075D4" w:rsidRPr="00763436">
        <w:rPr>
          <w:rFonts w:ascii="Calibri" w:hAnsi="Calibri" w:cs="Calibri"/>
          <w:sz w:val="24"/>
          <w:szCs w:val="24"/>
        </w:rPr>
        <w:t xml:space="preserve"> </w:t>
      </w:r>
      <w:r w:rsidRPr="00763436">
        <w:rPr>
          <w:rFonts w:ascii="Calibri" w:hAnsi="Calibri" w:cs="Calibri"/>
          <w:sz w:val="24"/>
          <w:szCs w:val="24"/>
        </w:rPr>
        <w:t>Gutzwiller</w:t>
      </w:r>
      <w:r w:rsidR="00D075D4" w:rsidRPr="00763436">
        <w:rPr>
          <w:rFonts w:ascii="Calibri" w:hAnsi="Calibri" w:cs="Calibri"/>
          <w:sz w:val="24"/>
          <w:szCs w:val="24"/>
        </w:rPr>
        <w:t xml:space="preserve"> 2007</w:t>
      </w:r>
      <w:r w:rsidRPr="00763436">
        <w:rPr>
          <w:rFonts w:ascii="Calibri" w:hAnsi="Calibri" w:cs="Calibri"/>
          <w:sz w:val="24"/>
          <w:szCs w:val="24"/>
        </w:rPr>
        <w:t xml:space="preserve">). However, I hope to demonstrate in this essay that this judgement </w:t>
      </w:r>
      <w:r w:rsidR="0035143E" w:rsidRPr="00763436">
        <w:rPr>
          <w:rFonts w:ascii="Calibri" w:hAnsi="Calibri" w:cs="Calibri"/>
          <w:sz w:val="24"/>
          <w:szCs w:val="24"/>
        </w:rPr>
        <w:t>has relied</w:t>
      </w:r>
      <w:r w:rsidRPr="00763436">
        <w:rPr>
          <w:rFonts w:ascii="Calibri" w:hAnsi="Calibri" w:cs="Calibri"/>
          <w:sz w:val="24"/>
          <w:szCs w:val="24"/>
        </w:rPr>
        <w:t xml:space="preserve"> on limited and reductionist ways of reading the text. Opening up the text by situating his work and thought within the historic and literary context in which he was writing, enables us to see how deliberately innovative Apollonius was, across numerous dimensions. I will explore this specifically in relation to</w:t>
      </w:r>
      <w:r w:rsidR="00D8016D">
        <w:rPr>
          <w:rFonts w:ascii="Calibri" w:hAnsi="Calibri" w:cs="Calibri"/>
          <w:sz w:val="24"/>
          <w:szCs w:val="24"/>
        </w:rPr>
        <w:t xml:space="preserve"> his characterization of Medea.</w:t>
      </w:r>
    </w:p>
    <w:p w14:paraId="1CF48982" w14:textId="77777777" w:rsidR="001C657C" w:rsidRPr="00763436" w:rsidRDefault="001C657C" w:rsidP="001C657C">
      <w:pPr>
        <w:rPr>
          <w:rFonts w:ascii="Calibri" w:hAnsi="Calibri" w:cs="Calibri"/>
          <w:b/>
          <w:sz w:val="24"/>
          <w:szCs w:val="24"/>
        </w:rPr>
      </w:pPr>
      <w:r w:rsidRPr="00763436">
        <w:rPr>
          <w:rFonts w:ascii="Calibri" w:hAnsi="Calibri" w:cs="Calibri"/>
          <w:b/>
          <w:sz w:val="24"/>
          <w:szCs w:val="24"/>
        </w:rPr>
        <w:t>Reductionist readings of the text and of Medea</w:t>
      </w:r>
    </w:p>
    <w:p w14:paraId="6C4BFE31" w14:textId="79DC0649" w:rsidR="001C657C" w:rsidRPr="00763436" w:rsidRDefault="001C657C" w:rsidP="001C657C">
      <w:pPr>
        <w:rPr>
          <w:rFonts w:ascii="Calibri" w:hAnsi="Calibri" w:cs="Calibri"/>
          <w:sz w:val="24"/>
          <w:szCs w:val="24"/>
        </w:rPr>
      </w:pPr>
      <w:r w:rsidRPr="00763436">
        <w:rPr>
          <w:rFonts w:ascii="Calibri" w:hAnsi="Calibri" w:cs="Calibri"/>
          <w:sz w:val="24"/>
          <w:szCs w:val="24"/>
        </w:rPr>
        <w:t xml:space="preserve">To start by clearing the ground, I will give examples of at least three critics who have taken a reductionist approach to the </w:t>
      </w:r>
      <w:r w:rsidRPr="00295791">
        <w:rPr>
          <w:rFonts w:ascii="Calibri" w:hAnsi="Calibri" w:cs="Calibri"/>
          <w:i/>
          <w:sz w:val="24"/>
          <w:szCs w:val="24"/>
        </w:rPr>
        <w:t>Argonautica</w:t>
      </w:r>
      <w:r w:rsidRPr="00763436">
        <w:rPr>
          <w:rFonts w:ascii="Calibri" w:hAnsi="Calibri" w:cs="Calibri"/>
          <w:sz w:val="24"/>
          <w:szCs w:val="24"/>
        </w:rPr>
        <w:t xml:space="preserve">. Dyck </w:t>
      </w:r>
      <w:r w:rsidR="00295791">
        <w:rPr>
          <w:rFonts w:ascii="Calibri" w:hAnsi="Calibri" w:cs="Calibri"/>
          <w:sz w:val="24"/>
          <w:szCs w:val="24"/>
        </w:rPr>
        <w:t>(</w:t>
      </w:r>
      <w:r w:rsidR="00DA1041" w:rsidRPr="00763436">
        <w:rPr>
          <w:rFonts w:ascii="Calibri" w:hAnsi="Calibri" w:cs="Calibri"/>
          <w:sz w:val="24"/>
          <w:szCs w:val="24"/>
        </w:rPr>
        <w:t>1989</w:t>
      </w:r>
      <w:r w:rsidR="00295791">
        <w:rPr>
          <w:rFonts w:ascii="Calibri" w:hAnsi="Calibri" w:cs="Calibri"/>
          <w:sz w:val="24"/>
          <w:szCs w:val="24"/>
        </w:rPr>
        <w:t>)</w:t>
      </w:r>
      <w:r w:rsidR="004C4AC1">
        <w:rPr>
          <w:rFonts w:ascii="Calibri" w:hAnsi="Calibri" w:cs="Calibri"/>
          <w:sz w:val="24"/>
          <w:szCs w:val="24"/>
        </w:rPr>
        <w:t xml:space="preserve"> argued</w:t>
      </w:r>
      <w:r w:rsidRPr="00763436">
        <w:rPr>
          <w:rFonts w:ascii="Calibri" w:hAnsi="Calibri" w:cs="Calibri"/>
          <w:sz w:val="24"/>
          <w:szCs w:val="24"/>
        </w:rPr>
        <w:t xml:space="preserve"> that</w:t>
      </w:r>
      <w:r w:rsidR="00CF1991" w:rsidRPr="00763436">
        <w:rPr>
          <w:rFonts w:ascii="Calibri" w:hAnsi="Calibri" w:cs="Calibri"/>
          <w:sz w:val="24"/>
          <w:szCs w:val="24"/>
        </w:rPr>
        <w:t xml:space="preserve"> Apollonius has failed to pin</w:t>
      </w:r>
      <w:r w:rsidRPr="00763436">
        <w:rPr>
          <w:rFonts w:ascii="Calibri" w:hAnsi="Calibri" w:cs="Calibri"/>
          <w:sz w:val="24"/>
          <w:szCs w:val="24"/>
        </w:rPr>
        <w:t xml:space="preserve"> down Medea’s character, insisting that she must be either “ingénue or witch”, but cannot be both. This critiques Apollonius for failing to pigeonhole Medea into an existing stereotype, rather than recognizing the deliberate complexity of the character Apollonius has created. At points some critics reveal their own misogyny</w:t>
      </w:r>
      <w:r w:rsidR="004C4AC1">
        <w:rPr>
          <w:rFonts w:ascii="Calibri" w:hAnsi="Calibri" w:cs="Calibri"/>
          <w:sz w:val="24"/>
          <w:szCs w:val="24"/>
        </w:rPr>
        <w:t xml:space="preserve"> in their inability to see Medea a whole character</w:t>
      </w:r>
      <w:r w:rsidRPr="00763436">
        <w:rPr>
          <w:rFonts w:ascii="Calibri" w:hAnsi="Calibri" w:cs="Calibri"/>
          <w:sz w:val="24"/>
          <w:szCs w:val="24"/>
        </w:rPr>
        <w:t xml:space="preserve">, for example in simplistic characterisations of Medea </w:t>
      </w:r>
      <w:r w:rsidR="004C4AC1">
        <w:rPr>
          <w:rFonts w:ascii="Calibri" w:hAnsi="Calibri" w:cs="Calibri"/>
          <w:sz w:val="24"/>
          <w:szCs w:val="24"/>
        </w:rPr>
        <w:t>as</w:t>
      </w:r>
      <w:r w:rsidRPr="00763436">
        <w:rPr>
          <w:rFonts w:ascii="Calibri" w:hAnsi="Calibri" w:cs="Calibri"/>
          <w:sz w:val="24"/>
          <w:szCs w:val="24"/>
        </w:rPr>
        <w:t xml:space="preserve"> “the helper maiden from hell” (</w:t>
      </w:r>
      <w:r w:rsidR="00693295" w:rsidRPr="00763436">
        <w:rPr>
          <w:rFonts w:ascii="Calibri" w:hAnsi="Calibri" w:cs="Calibri"/>
          <w:sz w:val="24"/>
          <w:szCs w:val="24"/>
        </w:rPr>
        <w:t xml:space="preserve">Clauss, in Clauss </w:t>
      </w:r>
      <w:r w:rsidR="00F53CEF" w:rsidRPr="00763436">
        <w:rPr>
          <w:rFonts w:ascii="Calibri" w:hAnsi="Calibri" w:cs="Calibri"/>
          <w:sz w:val="24"/>
          <w:szCs w:val="24"/>
        </w:rPr>
        <w:t xml:space="preserve">and Johnston </w:t>
      </w:r>
      <w:r w:rsidR="00693295" w:rsidRPr="00763436">
        <w:rPr>
          <w:rFonts w:ascii="Calibri" w:hAnsi="Calibri" w:cs="Calibri"/>
          <w:sz w:val="24"/>
          <w:szCs w:val="24"/>
        </w:rPr>
        <w:t>ed</w:t>
      </w:r>
      <w:r w:rsidR="00763436">
        <w:rPr>
          <w:rFonts w:ascii="Calibri" w:hAnsi="Calibri" w:cs="Calibri"/>
          <w:sz w:val="24"/>
          <w:szCs w:val="24"/>
        </w:rPr>
        <w:t>s</w:t>
      </w:r>
      <w:r w:rsidR="00693295" w:rsidRPr="00763436">
        <w:rPr>
          <w:rFonts w:ascii="Calibri" w:hAnsi="Calibri" w:cs="Calibri"/>
          <w:sz w:val="24"/>
          <w:szCs w:val="24"/>
        </w:rPr>
        <w:t>.</w:t>
      </w:r>
      <w:r w:rsidR="00000958" w:rsidRPr="00763436">
        <w:rPr>
          <w:rFonts w:ascii="Calibri" w:hAnsi="Calibri" w:cs="Calibri"/>
          <w:sz w:val="24"/>
          <w:szCs w:val="24"/>
        </w:rPr>
        <w:t>1997</w:t>
      </w:r>
      <w:r w:rsidR="00693295" w:rsidRPr="00763436">
        <w:rPr>
          <w:rFonts w:ascii="Calibri" w:hAnsi="Calibri" w:cs="Calibri"/>
          <w:sz w:val="24"/>
          <w:szCs w:val="24"/>
        </w:rPr>
        <w:t>)</w:t>
      </w:r>
      <w:r w:rsidRPr="00763436">
        <w:rPr>
          <w:rFonts w:ascii="Calibri" w:hAnsi="Calibri" w:cs="Calibri"/>
          <w:sz w:val="24"/>
          <w:szCs w:val="24"/>
        </w:rPr>
        <w:t xml:space="preserve"> </w:t>
      </w:r>
      <w:r w:rsidR="00DA1041" w:rsidRPr="00763436">
        <w:rPr>
          <w:rFonts w:ascii="Calibri" w:hAnsi="Calibri" w:cs="Calibri"/>
          <w:sz w:val="24"/>
          <w:szCs w:val="24"/>
        </w:rPr>
        <w:t xml:space="preserve">or </w:t>
      </w:r>
      <w:r w:rsidR="004C4AC1">
        <w:rPr>
          <w:rFonts w:ascii="Calibri" w:hAnsi="Calibri" w:cs="Calibri"/>
          <w:sz w:val="24"/>
          <w:szCs w:val="24"/>
        </w:rPr>
        <w:t xml:space="preserve">in </w:t>
      </w:r>
      <w:r w:rsidR="00DA1041" w:rsidRPr="00763436">
        <w:rPr>
          <w:rFonts w:ascii="Calibri" w:hAnsi="Calibri" w:cs="Calibri"/>
          <w:sz w:val="24"/>
          <w:szCs w:val="24"/>
        </w:rPr>
        <w:t>references to her “seducing” the reader (Dy</w:t>
      </w:r>
      <w:r w:rsidR="004C4AC1">
        <w:rPr>
          <w:rFonts w:ascii="Calibri" w:hAnsi="Calibri" w:cs="Calibri"/>
          <w:sz w:val="24"/>
          <w:szCs w:val="24"/>
        </w:rPr>
        <w:t xml:space="preserve">ck, 1989), which, </w:t>
      </w:r>
      <w:r w:rsidRPr="00763436">
        <w:rPr>
          <w:rFonts w:ascii="Calibri" w:hAnsi="Calibri" w:cs="Calibri"/>
          <w:sz w:val="24"/>
          <w:szCs w:val="24"/>
        </w:rPr>
        <w:t xml:space="preserve">rather than acknowledging </w:t>
      </w:r>
      <w:r w:rsidR="004C4AC1">
        <w:rPr>
          <w:rFonts w:ascii="Calibri" w:hAnsi="Calibri" w:cs="Calibri"/>
          <w:sz w:val="24"/>
          <w:szCs w:val="24"/>
        </w:rPr>
        <w:t>the complexity of her character, seem</w:t>
      </w:r>
      <w:r w:rsidR="00295791">
        <w:rPr>
          <w:rFonts w:ascii="Calibri" w:hAnsi="Calibri" w:cs="Calibri"/>
          <w:sz w:val="24"/>
          <w:szCs w:val="24"/>
        </w:rPr>
        <w:t xml:space="preserve"> almost</w:t>
      </w:r>
      <w:r w:rsidR="004C4AC1">
        <w:rPr>
          <w:rFonts w:ascii="Calibri" w:hAnsi="Calibri" w:cs="Calibri"/>
          <w:sz w:val="24"/>
          <w:szCs w:val="24"/>
        </w:rPr>
        <w:t xml:space="preserve"> </w:t>
      </w:r>
      <w:r w:rsidRPr="00763436">
        <w:rPr>
          <w:rFonts w:ascii="Calibri" w:hAnsi="Calibri" w:cs="Calibri"/>
          <w:sz w:val="24"/>
          <w:szCs w:val="24"/>
        </w:rPr>
        <w:t xml:space="preserve">to resent the centrality of her </w:t>
      </w:r>
      <w:r w:rsidR="00295791">
        <w:rPr>
          <w:rFonts w:ascii="Calibri" w:hAnsi="Calibri" w:cs="Calibri"/>
          <w:sz w:val="24"/>
          <w:szCs w:val="24"/>
        </w:rPr>
        <w:t xml:space="preserve">role </w:t>
      </w:r>
      <w:r w:rsidRPr="00763436">
        <w:rPr>
          <w:rFonts w:ascii="Calibri" w:hAnsi="Calibri" w:cs="Calibri"/>
          <w:sz w:val="24"/>
          <w:szCs w:val="24"/>
        </w:rPr>
        <w:t xml:space="preserve">in achieving the heroic mission of the Argonautica. </w:t>
      </w:r>
    </w:p>
    <w:p w14:paraId="1630B20C" w14:textId="1059723B" w:rsidR="001C657C" w:rsidRPr="00763436" w:rsidRDefault="001C657C" w:rsidP="001C657C">
      <w:pPr>
        <w:rPr>
          <w:rFonts w:ascii="Calibri" w:hAnsi="Calibri" w:cs="Calibri"/>
          <w:sz w:val="24"/>
          <w:szCs w:val="24"/>
        </w:rPr>
      </w:pPr>
      <w:r w:rsidRPr="00763436">
        <w:rPr>
          <w:rFonts w:ascii="Calibri" w:hAnsi="Calibri" w:cs="Calibri"/>
          <w:sz w:val="24"/>
          <w:szCs w:val="24"/>
        </w:rPr>
        <w:t xml:space="preserve">A second type of reductionist approach to the text takes place when critics </w:t>
      </w:r>
      <w:r w:rsidRPr="00763436">
        <w:rPr>
          <w:rFonts w:ascii="Calibri" w:hAnsi="Calibri" w:cs="Calibri"/>
          <w:i/>
          <w:sz w:val="24"/>
          <w:szCs w:val="24"/>
        </w:rPr>
        <w:t>only</w:t>
      </w:r>
      <w:r w:rsidRPr="00763436">
        <w:rPr>
          <w:rFonts w:ascii="Calibri" w:hAnsi="Calibri" w:cs="Calibri"/>
          <w:sz w:val="24"/>
          <w:szCs w:val="24"/>
        </w:rPr>
        <w:t xml:space="preserve"> approach it as referential to/embodying previou</w:t>
      </w:r>
      <w:r w:rsidR="00295791">
        <w:rPr>
          <w:rFonts w:ascii="Calibri" w:hAnsi="Calibri" w:cs="Calibri"/>
          <w:sz w:val="24"/>
          <w:szCs w:val="24"/>
        </w:rPr>
        <w:t xml:space="preserve">s Homeric examples. While </w:t>
      </w:r>
      <w:r w:rsidRPr="00763436">
        <w:rPr>
          <w:rFonts w:ascii="Calibri" w:hAnsi="Calibri" w:cs="Calibri"/>
          <w:sz w:val="24"/>
          <w:szCs w:val="24"/>
        </w:rPr>
        <w:t xml:space="preserve">analysis of the </w:t>
      </w:r>
      <w:r w:rsidRPr="00295791">
        <w:rPr>
          <w:rFonts w:ascii="Calibri" w:hAnsi="Calibri" w:cs="Calibri"/>
          <w:i/>
          <w:sz w:val="24"/>
          <w:szCs w:val="24"/>
        </w:rPr>
        <w:t>Agonautica</w:t>
      </w:r>
      <w:r w:rsidR="00295791">
        <w:rPr>
          <w:rFonts w:ascii="Calibri" w:hAnsi="Calibri" w:cs="Calibri"/>
          <w:sz w:val="24"/>
          <w:szCs w:val="24"/>
        </w:rPr>
        <w:t xml:space="preserve">’s </w:t>
      </w:r>
      <w:r w:rsidRPr="00763436">
        <w:rPr>
          <w:rFonts w:ascii="Calibri" w:hAnsi="Calibri" w:cs="Calibri"/>
          <w:sz w:val="24"/>
          <w:szCs w:val="24"/>
        </w:rPr>
        <w:t>constant and clever references to Home</w:t>
      </w:r>
      <w:r w:rsidR="002B7DF7">
        <w:rPr>
          <w:rFonts w:ascii="Calibri" w:hAnsi="Calibri" w:cs="Calibri"/>
          <w:sz w:val="24"/>
          <w:szCs w:val="24"/>
        </w:rPr>
        <w:t>r</w:t>
      </w:r>
      <w:r w:rsidRPr="00763436">
        <w:rPr>
          <w:rFonts w:ascii="Calibri" w:hAnsi="Calibri" w:cs="Calibri"/>
          <w:sz w:val="24"/>
          <w:szCs w:val="24"/>
        </w:rPr>
        <w:t xml:space="preserve">ic precedent is illuminating in many ways – to take just one example among many, the parallels and contrasts between Nausicaa of the Homeric </w:t>
      </w:r>
      <w:r w:rsidRPr="00295791">
        <w:rPr>
          <w:rFonts w:ascii="Calibri" w:hAnsi="Calibri" w:cs="Calibri"/>
          <w:i/>
          <w:sz w:val="24"/>
          <w:szCs w:val="24"/>
        </w:rPr>
        <w:t>Odyssey</w:t>
      </w:r>
      <w:r w:rsidRPr="00763436">
        <w:rPr>
          <w:rFonts w:ascii="Calibri" w:hAnsi="Calibri" w:cs="Calibri"/>
          <w:sz w:val="24"/>
          <w:szCs w:val="24"/>
        </w:rPr>
        <w:t xml:space="preserve"> and Apollonius’ Medea – to assume that </w:t>
      </w:r>
      <w:r w:rsidRPr="0072466B">
        <w:rPr>
          <w:rFonts w:ascii="Calibri" w:hAnsi="Calibri" w:cs="Calibri"/>
          <w:i/>
          <w:sz w:val="24"/>
          <w:szCs w:val="24"/>
        </w:rPr>
        <w:t>all</w:t>
      </w:r>
      <w:r w:rsidRPr="00763436">
        <w:rPr>
          <w:rFonts w:ascii="Calibri" w:hAnsi="Calibri" w:cs="Calibri"/>
          <w:sz w:val="24"/>
          <w:szCs w:val="24"/>
        </w:rPr>
        <w:t xml:space="preserve"> that Apollonius</w:t>
      </w:r>
      <w:r w:rsidR="00295791">
        <w:rPr>
          <w:rFonts w:ascii="Calibri" w:hAnsi="Calibri" w:cs="Calibri"/>
          <w:sz w:val="24"/>
          <w:szCs w:val="24"/>
        </w:rPr>
        <w:t xml:space="preserve"> was doing was looking back</w:t>
      </w:r>
      <w:r w:rsidRPr="00763436">
        <w:rPr>
          <w:rFonts w:ascii="Calibri" w:hAnsi="Calibri" w:cs="Calibri"/>
          <w:sz w:val="24"/>
          <w:szCs w:val="24"/>
        </w:rPr>
        <w:t xml:space="preserve"> to the epic canon, is to lose much of the value and originality of the </w:t>
      </w:r>
      <w:r w:rsidRPr="00295791">
        <w:rPr>
          <w:rFonts w:ascii="Calibri" w:hAnsi="Calibri" w:cs="Calibri"/>
          <w:i/>
          <w:sz w:val="24"/>
          <w:szCs w:val="24"/>
        </w:rPr>
        <w:t>Argonautica</w:t>
      </w:r>
      <w:r w:rsidRPr="00763436">
        <w:rPr>
          <w:rFonts w:ascii="Calibri" w:hAnsi="Calibri" w:cs="Calibri"/>
          <w:sz w:val="24"/>
          <w:szCs w:val="24"/>
        </w:rPr>
        <w:t xml:space="preserve">. </w:t>
      </w:r>
      <w:r w:rsidR="007234D2" w:rsidRPr="00763436">
        <w:rPr>
          <w:rFonts w:ascii="Calibri" w:hAnsi="Calibri" w:cs="Calibri"/>
          <w:sz w:val="24"/>
          <w:szCs w:val="24"/>
        </w:rPr>
        <w:t>An example of this approach can be seen in Clauss</w:t>
      </w:r>
      <w:r w:rsidR="00763436">
        <w:rPr>
          <w:rFonts w:ascii="Calibri" w:hAnsi="Calibri" w:cs="Calibri"/>
          <w:sz w:val="24"/>
          <w:szCs w:val="24"/>
        </w:rPr>
        <w:t>, (</w:t>
      </w:r>
      <w:r w:rsidR="00693295" w:rsidRPr="00763436">
        <w:rPr>
          <w:rFonts w:ascii="Calibri" w:hAnsi="Calibri" w:cs="Calibri"/>
          <w:sz w:val="24"/>
          <w:szCs w:val="24"/>
        </w:rPr>
        <w:t>Clauss</w:t>
      </w:r>
      <w:r w:rsidR="00763436">
        <w:rPr>
          <w:rFonts w:ascii="Calibri" w:hAnsi="Calibri" w:cs="Calibri"/>
          <w:sz w:val="24"/>
          <w:szCs w:val="24"/>
        </w:rPr>
        <w:t xml:space="preserve"> and Johnston</w:t>
      </w:r>
      <w:r w:rsidR="00693295" w:rsidRPr="00763436">
        <w:rPr>
          <w:rFonts w:ascii="Calibri" w:hAnsi="Calibri" w:cs="Calibri"/>
          <w:sz w:val="24"/>
          <w:szCs w:val="24"/>
        </w:rPr>
        <w:t xml:space="preserve"> ed</w:t>
      </w:r>
      <w:r w:rsidR="00763436">
        <w:rPr>
          <w:rFonts w:ascii="Calibri" w:hAnsi="Calibri" w:cs="Calibri"/>
          <w:sz w:val="24"/>
          <w:szCs w:val="24"/>
        </w:rPr>
        <w:t xml:space="preserve">s, op cit) </w:t>
      </w:r>
      <w:r w:rsidR="007234D2" w:rsidRPr="00763436">
        <w:rPr>
          <w:rFonts w:ascii="Calibri" w:hAnsi="Calibri" w:cs="Calibri"/>
          <w:sz w:val="24"/>
          <w:szCs w:val="24"/>
        </w:rPr>
        <w:t xml:space="preserve">where the critic seems to want to analyse Medea as </w:t>
      </w:r>
      <w:r w:rsidR="007234D2" w:rsidRPr="00763436">
        <w:rPr>
          <w:rFonts w:ascii="Calibri" w:hAnsi="Calibri" w:cs="Calibri"/>
          <w:i/>
          <w:sz w:val="24"/>
          <w:szCs w:val="24"/>
        </w:rPr>
        <w:t>either</w:t>
      </w:r>
      <w:r w:rsidR="007234D2" w:rsidRPr="00763436">
        <w:rPr>
          <w:rFonts w:ascii="Calibri" w:hAnsi="Calibri" w:cs="Calibri"/>
          <w:sz w:val="24"/>
          <w:szCs w:val="24"/>
        </w:rPr>
        <w:t xml:space="preserve"> like Homer’s Nausicaa, </w:t>
      </w:r>
      <w:r w:rsidR="007234D2" w:rsidRPr="00763436">
        <w:rPr>
          <w:rFonts w:ascii="Calibri" w:hAnsi="Calibri" w:cs="Calibri"/>
          <w:i/>
          <w:sz w:val="24"/>
          <w:szCs w:val="24"/>
        </w:rPr>
        <w:t>or</w:t>
      </w:r>
      <w:r w:rsidR="007234D2" w:rsidRPr="00763436">
        <w:rPr>
          <w:rFonts w:ascii="Calibri" w:hAnsi="Calibri" w:cs="Calibri"/>
          <w:sz w:val="24"/>
          <w:szCs w:val="24"/>
        </w:rPr>
        <w:t xml:space="preserve"> like Homer’s Circe, without exploring the possibility that Apollonius ma</w:t>
      </w:r>
      <w:r w:rsidR="00763436">
        <w:rPr>
          <w:rFonts w:ascii="Calibri" w:hAnsi="Calibri" w:cs="Calibri"/>
          <w:sz w:val="24"/>
          <w:szCs w:val="24"/>
        </w:rPr>
        <w:t>y have created a new characteris</w:t>
      </w:r>
      <w:r w:rsidR="007234D2" w:rsidRPr="00763436">
        <w:rPr>
          <w:rFonts w:ascii="Calibri" w:hAnsi="Calibri" w:cs="Calibri"/>
          <w:sz w:val="24"/>
          <w:szCs w:val="24"/>
        </w:rPr>
        <w:t>ation of Medea</w:t>
      </w:r>
      <w:r w:rsidR="0072466B">
        <w:rPr>
          <w:rFonts w:ascii="Calibri" w:hAnsi="Calibri" w:cs="Calibri"/>
          <w:sz w:val="24"/>
          <w:szCs w:val="24"/>
        </w:rPr>
        <w:t>,</w:t>
      </w:r>
      <w:r w:rsidR="007234D2" w:rsidRPr="00763436">
        <w:rPr>
          <w:rFonts w:ascii="Calibri" w:hAnsi="Calibri" w:cs="Calibri"/>
          <w:sz w:val="24"/>
          <w:szCs w:val="24"/>
        </w:rPr>
        <w:t xml:space="preserve"> which cannot </w:t>
      </w:r>
      <w:r w:rsidR="00295791">
        <w:rPr>
          <w:rFonts w:ascii="Calibri" w:hAnsi="Calibri" w:cs="Calibri"/>
          <w:sz w:val="24"/>
          <w:szCs w:val="24"/>
        </w:rPr>
        <w:t>only</w:t>
      </w:r>
      <w:r w:rsidR="002B243B" w:rsidRPr="00763436">
        <w:rPr>
          <w:rFonts w:ascii="Calibri" w:hAnsi="Calibri" w:cs="Calibri"/>
          <w:sz w:val="24"/>
          <w:szCs w:val="24"/>
        </w:rPr>
        <w:t xml:space="preserve"> </w:t>
      </w:r>
      <w:r w:rsidR="007234D2" w:rsidRPr="00763436">
        <w:rPr>
          <w:rFonts w:ascii="Calibri" w:hAnsi="Calibri" w:cs="Calibri"/>
          <w:sz w:val="24"/>
          <w:szCs w:val="24"/>
        </w:rPr>
        <w:t xml:space="preserve">be reduced to </w:t>
      </w:r>
      <w:r w:rsidR="00295791">
        <w:rPr>
          <w:rFonts w:ascii="Calibri" w:hAnsi="Calibri" w:cs="Calibri"/>
          <w:sz w:val="24"/>
          <w:szCs w:val="24"/>
        </w:rPr>
        <w:t>one or other</w:t>
      </w:r>
      <w:r w:rsidR="007234D2" w:rsidRPr="00763436">
        <w:rPr>
          <w:rFonts w:ascii="Calibri" w:hAnsi="Calibri" w:cs="Calibri"/>
          <w:sz w:val="24"/>
          <w:szCs w:val="24"/>
        </w:rPr>
        <w:t xml:space="preserve"> of these previous female characters. </w:t>
      </w:r>
    </w:p>
    <w:p w14:paraId="652B3A3E" w14:textId="6F8A8DB5" w:rsidR="001C657C" w:rsidRPr="00763436" w:rsidRDefault="007234D2" w:rsidP="001C657C">
      <w:pPr>
        <w:rPr>
          <w:rFonts w:ascii="Calibri" w:hAnsi="Calibri" w:cs="Calibri"/>
          <w:sz w:val="24"/>
          <w:szCs w:val="24"/>
        </w:rPr>
      </w:pPr>
      <w:r w:rsidRPr="00763436">
        <w:rPr>
          <w:rFonts w:ascii="Calibri" w:hAnsi="Calibri" w:cs="Calibri"/>
          <w:sz w:val="24"/>
          <w:szCs w:val="24"/>
        </w:rPr>
        <w:t>A third type of reductionist reading in recent criticism relates more to Jason’s character, as ‘unheroic’ in his dependence on others, specifically Medea</w:t>
      </w:r>
      <w:r w:rsidR="00693295" w:rsidRPr="00763436">
        <w:rPr>
          <w:rFonts w:ascii="Calibri" w:hAnsi="Calibri" w:cs="Calibri"/>
          <w:sz w:val="24"/>
          <w:szCs w:val="24"/>
        </w:rPr>
        <w:t xml:space="preserve"> (see for example, Hunter’s critique </w:t>
      </w:r>
      <w:r w:rsidR="0072466B">
        <w:rPr>
          <w:rFonts w:ascii="Calibri" w:hAnsi="Calibri" w:cs="Calibri"/>
          <w:sz w:val="24"/>
          <w:szCs w:val="24"/>
        </w:rPr>
        <w:t xml:space="preserve">of this </w:t>
      </w:r>
      <w:r w:rsidR="00693295" w:rsidRPr="00763436">
        <w:rPr>
          <w:rFonts w:ascii="Calibri" w:hAnsi="Calibri" w:cs="Calibri"/>
          <w:sz w:val="24"/>
          <w:szCs w:val="24"/>
        </w:rPr>
        <w:t xml:space="preserve">in </w:t>
      </w:r>
      <w:r w:rsidR="00A153C3" w:rsidRPr="00763436">
        <w:rPr>
          <w:rFonts w:ascii="Calibri" w:hAnsi="Calibri" w:cs="Calibri"/>
          <w:sz w:val="24"/>
          <w:szCs w:val="24"/>
        </w:rPr>
        <w:t xml:space="preserve">his introduction to </w:t>
      </w:r>
      <w:r w:rsidR="00000958" w:rsidRPr="00763436">
        <w:rPr>
          <w:rFonts w:ascii="Calibri" w:hAnsi="Calibri" w:cs="Calibri"/>
          <w:sz w:val="24"/>
          <w:szCs w:val="24"/>
        </w:rPr>
        <w:t>his own translation</w:t>
      </w:r>
      <w:r w:rsidR="00A153C3" w:rsidRPr="00763436">
        <w:rPr>
          <w:rFonts w:ascii="Calibri" w:hAnsi="Calibri" w:cs="Calibri"/>
          <w:sz w:val="24"/>
          <w:szCs w:val="24"/>
        </w:rPr>
        <w:t xml:space="preserve"> of the </w:t>
      </w:r>
      <w:r w:rsidR="00A153C3" w:rsidRPr="00295791">
        <w:rPr>
          <w:rFonts w:ascii="Calibri" w:hAnsi="Calibri" w:cs="Calibri"/>
          <w:i/>
          <w:sz w:val="24"/>
          <w:szCs w:val="24"/>
        </w:rPr>
        <w:t>Argonautica</w:t>
      </w:r>
      <w:r w:rsidR="00000958" w:rsidRPr="00763436">
        <w:rPr>
          <w:rFonts w:ascii="Calibri" w:hAnsi="Calibri" w:cs="Calibri"/>
          <w:sz w:val="24"/>
          <w:szCs w:val="24"/>
        </w:rPr>
        <w:t xml:space="preserve"> (Apollonius; Hunter 1998</w:t>
      </w:r>
      <w:r w:rsidR="00A153C3" w:rsidRPr="00763436">
        <w:rPr>
          <w:rFonts w:ascii="Calibri" w:hAnsi="Calibri" w:cs="Calibri"/>
          <w:sz w:val="24"/>
          <w:szCs w:val="24"/>
        </w:rPr>
        <w:t>)</w:t>
      </w:r>
      <w:r w:rsidR="00000958" w:rsidRPr="00763436">
        <w:rPr>
          <w:rFonts w:ascii="Calibri" w:hAnsi="Calibri" w:cs="Calibri"/>
          <w:sz w:val="24"/>
          <w:szCs w:val="24"/>
        </w:rPr>
        <w:t>)</w:t>
      </w:r>
      <w:r w:rsidRPr="00763436">
        <w:rPr>
          <w:rFonts w:ascii="Calibri" w:hAnsi="Calibri" w:cs="Calibri"/>
          <w:sz w:val="24"/>
          <w:szCs w:val="24"/>
        </w:rPr>
        <w:t xml:space="preserve">. As in the case of Medea’s own character, to approach Jason’s characterization simply as a poor reflection of Homeric heroism is to miss Apollonius’ point. </w:t>
      </w:r>
      <w:r w:rsidR="00295791">
        <w:rPr>
          <w:rFonts w:ascii="Calibri" w:hAnsi="Calibri" w:cs="Calibri"/>
          <w:sz w:val="24"/>
          <w:szCs w:val="24"/>
        </w:rPr>
        <w:t>M</w:t>
      </w:r>
      <w:r w:rsidRPr="00763436">
        <w:rPr>
          <w:rFonts w:ascii="Calibri" w:hAnsi="Calibri" w:cs="Calibri"/>
          <w:sz w:val="24"/>
          <w:szCs w:val="24"/>
        </w:rPr>
        <w:t xml:space="preserve">uch of the critique of Jason’s lack of traditional Archaic heroism rests on the same reductionist (to Homeric precedent) and binary </w:t>
      </w:r>
      <w:r w:rsidRPr="00763436">
        <w:rPr>
          <w:rFonts w:ascii="Calibri" w:hAnsi="Calibri" w:cs="Calibri"/>
          <w:sz w:val="24"/>
          <w:szCs w:val="24"/>
        </w:rPr>
        <w:lastRenderedPageBreak/>
        <w:t xml:space="preserve">(in relation to gender </w:t>
      </w:r>
      <w:r w:rsidR="00A153C3" w:rsidRPr="00763436">
        <w:rPr>
          <w:rFonts w:ascii="Calibri" w:hAnsi="Calibri" w:cs="Calibri"/>
          <w:sz w:val="24"/>
          <w:szCs w:val="24"/>
        </w:rPr>
        <w:t xml:space="preserve">roles and </w:t>
      </w:r>
      <w:r w:rsidRPr="00763436">
        <w:rPr>
          <w:rFonts w:ascii="Calibri" w:hAnsi="Calibri" w:cs="Calibri"/>
          <w:sz w:val="24"/>
          <w:szCs w:val="24"/>
        </w:rPr>
        <w:t>ster</w:t>
      </w:r>
      <w:r w:rsidR="00A153C3" w:rsidRPr="00763436">
        <w:rPr>
          <w:rFonts w:ascii="Calibri" w:hAnsi="Calibri" w:cs="Calibri"/>
          <w:sz w:val="24"/>
          <w:szCs w:val="24"/>
        </w:rPr>
        <w:t>eotypes</w:t>
      </w:r>
      <w:r w:rsidR="00A153C3" w:rsidRPr="00763436">
        <w:rPr>
          <w:rStyle w:val="FootnoteReference"/>
          <w:rFonts w:ascii="Calibri" w:hAnsi="Calibri" w:cs="Calibri"/>
          <w:sz w:val="24"/>
          <w:szCs w:val="24"/>
        </w:rPr>
        <w:footnoteReference w:id="1"/>
      </w:r>
      <w:r w:rsidR="00A153C3" w:rsidRPr="00763436">
        <w:rPr>
          <w:rFonts w:ascii="Calibri" w:hAnsi="Calibri" w:cs="Calibri"/>
          <w:sz w:val="24"/>
          <w:szCs w:val="24"/>
        </w:rPr>
        <w:t>) blinkers which  the full</w:t>
      </w:r>
      <w:r w:rsidRPr="00763436">
        <w:rPr>
          <w:rFonts w:ascii="Calibri" w:hAnsi="Calibri" w:cs="Calibri"/>
          <w:sz w:val="24"/>
          <w:szCs w:val="24"/>
        </w:rPr>
        <w:t xml:space="preserve"> </w:t>
      </w:r>
      <w:r w:rsidR="00295791">
        <w:rPr>
          <w:rFonts w:ascii="Calibri" w:hAnsi="Calibri" w:cs="Calibri"/>
          <w:sz w:val="24"/>
          <w:szCs w:val="24"/>
        </w:rPr>
        <w:t xml:space="preserve">have held back full </w:t>
      </w:r>
      <w:r w:rsidRPr="00763436">
        <w:rPr>
          <w:rFonts w:ascii="Calibri" w:hAnsi="Calibri" w:cs="Calibri"/>
          <w:sz w:val="24"/>
          <w:szCs w:val="24"/>
        </w:rPr>
        <w:t>app</w:t>
      </w:r>
      <w:r w:rsidR="00A153C3" w:rsidRPr="00763436">
        <w:rPr>
          <w:rFonts w:ascii="Calibri" w:hAnsi="Calibri" w:cs="Calibri"/>
          <w:sz w:val="24"/>
          <w:szCs w:val="24"/>
        </w:rPr>
        <w:t>reciation</w:t>
      </w:r>
      <w:r w:rsidRPr="00763436">
        <w:rPr>
          <w:rFonts w:ascii="Calibri" w:hAnsi="Calibri" w:cs="Calibri"/>
          <w:sz w:val="24"/>
          <w:szCs w:val="24"/>
        </w:rPr>
        <w:t xml:space="preserve"> </w:t>
      </w:r>
      <w:r w:rsidR="00295791">
        <w:rPr>
          <w:rFonts w:ascii="Calibri" w:hAnsi="Calibri" w:cs="Calibri"/>
          <w:sz w:val="24"/>
          <w:szCs w:val="24"/>
        </w:rPr>
        <w:t xml:space="preserve">of </w:t>
      </w:r>
      <w:r w:rsidRPr="00763436">
        <w:rPr>
          <w:rFonts w:ascii="Calibri" w:hAnsi="Calibri" w:cs="Calibri"/>
          <w:sz w:val="24"/>
          <w:szCs w:val="24"/>
        </w:rPr>
        <w:t xml:space="preserve">the creative and innovative elements in the </w:t>
      </w:r>
      <w:r w:rsidRPr="00295791">
        <w:rPr>
          <w:rFonts w:ascii="Calibri" w:hAnsi="Calibri" w:cs="Calibri"/>
          <w:i/>
          <w:sz w:val="24"/>
          <w:szCs w:val="24"/>
        </w:rPr>
        <w:t>Argonautica</w:t>
      </w:r>
      <w:r w:rsidR="00673D2F" w:rsidRPr="00763436">
        <w:rPr>
          <w:rStyle w:val="FootnoteReference"/>
          <w:rFonts w:ascii="Calibri" w:hAnsi="Calibri" w:cs="Calibri"/>
          <w:sz w:val="24"/>
          <w:szCs w:val="24"/>
        </w:rPr>
        <w:footnoteReference w:id="2"/>
      </w:r>
      <w:r w:rsidRPr="00763436">
        <w:rPr>
          <w:rFonts w:ascii="Calibri" w:hAnsi="Calibri" w:cs="Calibri"/>
          <w:sz w:val="24"/>
          <w:szCs w:val="24"/>
        </w:rPr>
        <w:t xml:space="preserve">. </w:t>
      </w:r>
    </w:p>
    <w:p w14:paraId="46664C17" w14:textId="5CF5D848" w:rsidR="00A153C3" w:rsidRPr="00763436" w:rsidRDefault="00A74C7A" w:rsidP="001C657C">
      <w:pPr>
        <w:rPr>
          <w:rFonts w:ascii="Calibri" w:hAnsi="Calibri" w:cs="Calibri"/>
          <w:sz w:val="24"/>
          <w:szCs w:val="24"/>
        </w:rPr>
      </w:pPr>
      <w:r w:rsidRPr="00763436">
        <w:rPr>
          <w:rFonts w:ascii="Calibri" w:hAnsi="Calibri" w:cs="Calibri"/>
          <w:sz w:val="24"/>
          <w:szCs w:val="24"/>
        </w:rPr>
        <w:t xml:space="preserve">As Hunter argues in his introduction to the Oxford Edition of the </w:t>
      </w:r>
      <w:r w:rsidRPr="00295791">
        <w:rPr>
          <w:rFonts w:ascii="Calibri" w:hAnsi="Calibri" w:cs="Calibri"/>
          <w:i/>
          <w:sz w:val="24"/>
          <w:szCs w:val="24"/>
        </w:rPr>
        <w:t>Argonautica</w:t>
      </w:r>
      <w:r w:rsidRPr="00763436">
        <w:rPr>
          <w:rFonts w:ascii="Calibri" w:hAnsi="Calibri" w:cs="Calibri"/>
          <w:sz w:val="24"/>
          <w:szCs w:val="24"/>
        </w:rPr>
        <w:t xml:space="preserve"> “Apollonius has frequently been charged with failing to accomplish what there is good reason to believe he had no d</w:t>
      </w:r>
      <w:r w:rsidR="005D4CEA" w:rsidRPr="00763436">
        <w:rPr>
          <w:rFonts w:ascii="Calibri" w:hAnsi="Calibri" w:cs="Calibri"/>
          <w:sz w:val="24"/>
          <w:szCs w:val="24"/>
        </w:rPr>
        <w:t>esire to do.” (</w:t>
      </w:r>
      <w:r w:rsidR="00763436">
        <w:rPr>
          <w:rFonts w:ascii="Calibri" w:hAnsi="Calibri" w:cs="Calibri"/>
          <w:sz w:val="24"/>
          <w:szCs w:val="24"/>
        </w:rPr>
        <w:t xml:space="preserve">Apollonius; </w:t>
      </w:r>
      <w:r w:rsidR="005D4CEA" w:rsidRPr="00763436">
        <w:rPr>
          <w:rFonts w:ascii="Calibri" w:hAnsi="Calibri" w:cs="Calibri"/>
          <w:sz w:val="24"/>
          <w:szCs w:val="24"/>
        </w:rPr>
        <w:t xml:space="preserve">Hunter, </w:t>
      </w:r>
      <w:r w:rsidR="00763436">
        <w:rPr>
          <w:rFonts w:ascii="Calibri" w:hAnsi="Calibri" w:cs="Calibri"/>
          <w:sz w:val="24"/>
          <w:szCs w:val="24"/>
        </w:rPr>
        <w:t xml:space="preserve">Introduction, </w:t>
      </w:r>
      <w:r w:rsidR="005D4CEA" w:rsidRPr="00763436">
        <w:rPr>
          <w:rFonts w:ascii="Calibri" w:hAnsi="Calibri" w:cs="Calibri"/>
          <w:sz w:val="24"/>
          <w:szCs w:val="24"/>
        </w:rPr>
        <w:t>1998</w:t>
      </w:r>
      <w:r w:rsidR="00763436">
        <w:rPr>
          <w:rFonts w:ascii="Calibri" w:hAnsi="Calibri" w:cs="Calibri"/>
          <w:sz w:val="24"/>
          <w:szCs w:val="24"/>
        </w:rPr>
        <w:t>).</w:t>
      </w:r>
    </w:p>
    <w:p w14:paraId="5D81F9F3" w14:textId="77777777" w:rsidR="001C657C" w:rsidRPr="00763436" w:rsidRDefault="001C657C" w:rsidP="001C657C">
      <w:pPr>
        <w:rPr>
          <w:rFonts w:ascii="Calibri" w:hAnsi="Calibri" w:cs="Calibri"/>
          <w:b/>
          <w:sz w:val="24"/>
          <w:szCs w:val="24"/>
        </w:rPr>
      </w:pPr>
      <w:r w:rsidRPr="00763436">
        <w:rPr>
          <w:rFonts w:ascii="Calibri" w:hAnsi="Calibri" w:cs="Calibri"/>
          <w:b/>
          <w:sz w:val="24"/>
          <w:szCs w:val="24"/>
        </w:rPr>
        <w:t>Apollonius as innovator</w:t>
      </w:r>
    </w:p>
    <w:p w14:paraId="5E5ED92F" w14:textId="14F004BB" w:rsidR="00DA1D01" w:rsidRPr="00763436" w:rsidRDefault="007234D2" w:rsidP="001C657C">
      <w:pPr>
        <w:rPr>
          <w:rFonts w:ascii="Calibri" w:hAnsi="Calibri" w:cs="Calibri"/>
          <w:sz w:val="24"/>
          <w:szCs w:val="24"/>
        </w:rPr>
      </w:pPr>
      <w:r w:rsidRPr="00763436">
        <w:rPr>
          <w:rFonts w:ascii="Calibri" w:hAnsi="Calibri" w:cs="Calibri"/>
          <w:sz w:val="24"/>
          <w:szCs w:val="24"/>
        </w:rPr>
        <w:t xml:space="preserve">Having </w:t>
      </w:r>
      <w:r w:rsidR="00295791">
        <w:rPr>
          <w:rFonts w:ascii="Calibri" w:hAnsi="Calibri" w:cs="Calibri"/>
          <w:sz w:val="24"/>
          <w:szCs w:val="24"/>
        </w:rPr>
        <w:t>outlined</w:t>
      </w:r>
      <w:r w:rsidRPr="00763436">
        <w:rPr>
          <w:rFonts w:ascii="Calibri" w:hAnsi="Calibri" w:cs="Calibri"/>
          <w:sz w:val="24"/>
          <w:szCs w:val="24"/>
        </w:rPr>
        <w:t xml:space="preserve"> approaches which have prevented a full appreciation of Apollonius</w:t>
      </w:r>
      <w:r w:rsidR="00A153C3" w:rsidRPr="00763436">
        <w:rPr>
          <w:rFonts w:ascii="Calibri" w:hAnsi="Calibri" w:cs="Calibri"/>
          <w:sz w:val="24"/>
          <w:szCs w:val="24"/>
        </w:rPr>
        <w:t>,</w:t>
      </w:r>
      <w:r w:rsidRPr="00763436">
        <w:rPr>
          <w:rFonts w:ascii="Calibri" w:hAnsi="Calibri" w:cs="Calibri"/>
          <w:sz w:val="24"/>
          <w:szCs w:val="24"/>
        </w:rPr>
        <w:t xml:space="preserve"> I want to take seriously the proposition that Apollonius was deliberately innovating with the wide range of versions of the </w:t>
      </w:r>
      <w:r w:rsidR="0072466B">
        <w:rPr>
          <w:rFonts w:ascii="Calibri" w:hAnsi="Calibri" w:cs="Calibri"/>
          <w:sz w:val="24"/>
          <w:szCs w:val="24"/>
        </w:rPr>
        <w:t>myth</w:t>
      </w:r>
      <w:r w:rsidRPr="00763436">
        <w:rPr>
          <w:rFonts w:ascii="Calibri" w:hAnsi="Calibri" w:cs="Calibri"/>
          <w:sz w:val="24"/>
          <w:szCs w:val="24"/>
        </w:rPr>
        <w:t xml:space="preserve"> of the Argonauts and of Medea</w:t>
      </w:r>
      <w:r w:rsidR="00DA1D01" w:rsidRPr="00763436">
        <w:rPr>
          <w:rFonts w:ascii="Calibri" w:hAnsi="Calibri" w:cs="Calibri"/>
          <w:sz w:val="24"/>
          <w:szCs w:val="24"/>
        </w:rPr>
        <w:t xml:space="preserve"> available to him</w:t>
      </w:r>
      <w:r w:rsidRPr="00763436">
        <w:rPr>
          <w:rFonts w:ascii="Calibri" w:hAnsi="Calibri" w:cs="Calibri"/>
          <w:sz w:val="24"/>
          <w:szCs w:val="24"/>
        </w:rPr>
        <w:t>, as well as with the Homeric ‘canon’, in order to</w:t>
      </w:r>
      <w:r w:rsidR="00DA1D01" w:rsidRPr="00763436">
        <w:rPr>
          <w:rFonts w:ascii="Calibri" w:hAnsi="Calibri" w:cs="Calibri"/>
          <w:sz w:val="24"/>
          <w:szCs w:val="24"/>
        </w:rPr>
        <w:t xml:space="preserve"> e</w:t>
      </w:r>
      <w:r w:rsidR="0072466B">
        <w:rPr>
          <w:rFonts w:ascii="Calibri" w:hAnsi="Calibri" w:cs="Calibri"/>
          <w:sz w:val="24"/>
          <w:szCs w:val="24"/>
        </w:rPr>
        <w:t xml:space="preserve">xplore specific and new ideas. </w:t>
      </w:r>
    </w:p>
    <w:p w14:paraId="77BECE37" w14:textId="33C1AEC5" w:rsidR="001C657C" w:rsidRPr="00763436" w:rsidRDefault="007234D2" w:rsidP="001C657C">
      <w:pPr>
        <w:rPr>
          <w:rFonts w:ascii="Calibri" w:hAnsi="Calibri" w:cs="Calibri"/>
          <w:sz w:val="24"/>
          <w:szCs w:val="24"/>
        </w:rPr>
      </w:pPr>
      <w:r w:rsidRPr="00763436">
        <w:rPr>
          <w:rFonts w:ascii="Calibri" w:hAnsi="Calibri" w:cs="Calibri"/>
          <w:sz w:val="24"/>
          <w:szCs w:val="24"/>
        </w:rPr>
        <w:t xml:space="preserve">Using the idea that </w:t>
      </w:r>
      <w:r w:rsidR="00A153C3" w:rsidRPr="00763436">
        <w:rPr>
          <w:rFonts w:ascii="Calibri" w:hAnsi="Calibri" w:cs="Calibri"/>
          <w:sz w:val="24"/>
          <w:szCs w:val="24"/>
        </w:rPr>
        <w:t>a key</w:t>
      </w:r>
      <w:r w:rsidRPr="00763436">
        <w:rPr>
          <w:rFonts w:ascii="Calibri" w:hAnsi="Calibri" w:cs="Calibri"/>
          <w:sz w:val="24"/>
          <w:szCs w:val="24"/>
        </w:rPr>
        <w:t xml:space="preserve"> purpose of myth is that it is ‘good to think with’, I want to make the case that Apollonius, while highly erudite on the Homeric texts and other lost sources, was deliberately recreating </w:t>
      </w:r>
      <w:r w:rsidR="00A153C3" w:rsidRPr="00763436">
        <w:rPr>
          <w:rFonts w:ascii="Calibri" w:hAnsi="Calibri" w:cs="Calibri"/>
          <w:sz w:val="24"/>
          <w:szCs w:val="24"/>
        </w:rPr>
        <w:t xml:space="preserve">his own version of </w:t>
      </w:r>
      <w:r w:rsidRPr="00763436">
        <w:rPr>
          <w:rFonts w:ascii="Calibri" w:hAnsi="Calibri" w:cs="Calibri"/>
          <w:sz w:val="24"/>
          <w:szCs w:val="24"/>
        </w:rPr>
        <w:t>this particular myth to explore and ‘think with’ ideas</w:t>
      </w:r>
      <w:r w:rsidR="00A153C3" w:rsidRPr="00763436">
        <w:rPr>
          <w:rFonts w:ascii="Calibri" w:hAnsi="Calibri" w:cs="Calibri"/>
          <w:sz w:val="24"/>
          <w:szCs w:val="24"/>
        </w:rPr>
        <w:t xml:space="preserve"> current in C3rd BC Alexandria </w:t>
      </w:r>
      <w:r w:rsidRPr="00763436">
        <w:rPr>
          <w:rFonts w:ascii="Calibri" w:hAnsi="Calibri" w:cs="Calibri"/>
          <w:sz w:val="24"/>
          <w:szCs w:val="24"/>
        </w:rPr>
        <w:t>that were radically different</w:t>
      </w:r>
      <w:r w:rsidR="00DA1041" w:rsidRPr="00763436">
        <w:rPr>
          <w:rFonts w:ascii="Calibri" w:hAnsi="Calibri" w:cs="Calibri"/>
          <w:sz w:val="24"/>
          <w:szCs w:val="24"/>
        </w:rPr>
        <w:t xml:space="preserve"> to </w:t>
      </w:r>
      <w:r w:rsidR="00A153C3" w:rsidRPr="00763436">
        <w:rPr>
          <w:rFonts w:ascii="Calibri" w:hAnsi="Calibri" w:cs="Calibri"/>
          <w:sz w:val="24"/>
          <w:szCs w:val="24"/>
        </w:rPr>
        <w:t>those being explored and expressed in</w:t>
      </w:r>
      <w:r w:rsidR="008B68C9">
        <w:rPr>
          <w:rFonts w:ascii="Calibri" w:hAnsi="Calibri" w:cs="Calibri"/>
          <w:sz w:val="24"/>
          <w:szCs w:val="24"/>
        </w:rPr>
        <w:t xml:space="preserve"> either</w:t>
      </w:r>
      <w:r w:rsidR="00A153C3" w:rsidRPr="00763436">
        <w:rPr>
          <w:rFonts w:ascii="Calibri" w:hAnsi="Calibri" w:cs="Calibri"/>
          <w:sz w:val="24"/>
          <w:szCs w:val="24"/>
        </w:rPr>
        <w:t xml:space="preserve"> </w:t>
      </w:r>
      <w:r w:rsidR="00DA1041" w:rsidRPr="00763436">
        <w:rPr>
          <w:rFonts w:ascii="Calibri" w:hAnsi="Calibri" w:cs="Calibri"/>
          <w:sz w:val="24"/>
          <w:szCs w:val="24"/>
        </w:rPr>
        <w:t xml:space="preserve">the Archaic or Athenian contexts. </w:t>
      </w:r>
      <w:r w:rsidRPr="00763436">
        <w:rPr>
          <w:rFonts w:ascii="Calibri" w:hAnsi="Calibri" w:cs="Calibri"/>
          <w:sz w:val="24"/>
          <w:szCs w:val="24"/>
        </w:rPr>
        <w:t xml:space="preserve">I will </w:t>
      </w:r>
      <w:r w:rsidR="00A153C3" w:rsidRPr="00763436">
        <w:rPr>
          <w:rFonts w:ascii="Calibri" w:hAnsi="Calibri" w:cs="Calibri"/>
          <w:sz w:val="24"/>
          <w:szCs w:val="24"/>
        </w:rPr>
        <w:t xml:space="preserve">explore his historical, cultural and literary </w:t>
      </w:r>
      <w:r w:rsidR="00DA1041" w:rsidRPr="00763436">
        <w:rPr>
          <w:rFonts w:ascii="Calibri" w:hAnsi="Calibri" w:cs="Calibri"/>
          <w:sz w:val="24"/>
          <w:szCs w:val="24"/>
        </w:rPr>
        <w:t>context</w:t>
      </w:r>
      <w:r w:rsidRPr="00763436">
        <w:rPr>
          <w:rFonts w:ascii="Calibri" w:hAnsi="Calibri" w:cs="Calibri"/>
          <w:sz w:val="24"/>
          <w:szCs w:val="24"/>
        </w:rPr>
        <w:t xml:space="preserve"> be</w:t>
      </w:r>
      <w:r w:rsidR="00DA1041" w:rsidRPr="00763436">
        <w:rPr>
          <w:rFonts w:ascii="Calibri" w:hAnsi="Calibri" w:cs="Calibri"/>
          <w:sz w:val="24"/>
          <w:szCs w:val="24"/>
        </w:rPr>
        <w:t xml:space="preserve">low, but first </w:t>
      </w:r>
      <w:r w:rsidR="00E238C5">
        <w:rPr>
          <w:rFonts w:ascii="Calibri" w:hAnsi="Calibri" w:cs="Calibri"/>
          <w:sz w:val="24"/>
          <w:szCs w:val="24"/>
        </w:rPr>
        <w:t>I will examine</w:t>
      </w:r>
      <w:r w:rsidR="00DA1041" w:rsidRPr="00763436">
        <w:rPr>
          <w:rFonts w:ascii="Calibri" w:hAnsi="Calibri" w:cs="Calibri"/>
          <w:sz w:val="24"/>
          <w:szCs w:val="24"/>
        </w:rPr>
        <w:t xml:space="preserve"> </w:t>
      </w:r>
      <w:r w:rsidR="00241A74" w:rsidRPr="00763436">
        <w:rPr>
          <w:rFonts w:ascii="Calibri" w:hAnsi="Calibri" w:cs="Calibri"/>
          <w:sz w:val="24"/>
          <w:szCs w:val="24"/>
        </w:rPr>
        <w:t>four</w:t>
      </w:r>
      <w:r w:rsidR="00DA1041" w:rsidRPr="00763436">
        <w:rPr>
          <w:rFonts w:ascii="Calibri" w:hAnsi="Calibri" w:cs="Calibri"/>
          <w:sz w:val="24"/>
          <w:szCs w:val="24"/>
        </w:rPr>
        <w:t xml:space="preserve"> specific ways in which Apollonius can be seen as innovative:</w:t>
      </w:r>
    </w:p>
    <w:p w14:paraId="6A857A50" w14:textId="285A7ABC" w:rsidR="00241A74" w:rsidRPr="00763436" w:rsidRDefault="00241A74" w:rsidP="001C657C">
      <w:pPr>
        <w:rPr>
          <w:rFonts w:ascii="Calibri" w:hAnsi="Calibri" w:cs="Calibri"/>
          <w:sz w:val="24"/>
          <w:szCs w:val="24"/>
        </w:rPr>
      </w:pPr>
      <w:r w:rsidRPr="00763436">
        <w:rPr>
          <w:rFonts w:ascii="Calibri" w:hAnsi="Calibri" w:cs="Calibri"/>
          <w:sz w:val="24"/>
          <w:szCs w:val="24"/>
        </w:rPr>
        <w:t xml:space="preserve">First, Apollonius’ use of simile has been explored as innovative. It continues the Homeric tradition of the extended simile, but unlike Homer, Apollonius </w:t>
      </w:r>
      <w:r w:rsidR="0031384A" w:rsidRPr="00763436">
        <w:rPr>
          <w:rFonts w:ascii="Calibri" w:hAnsi="Calibri" w:cs="Calibri"/>
          <w:sz w:val="24"/>
          <w:szCs w:val="24"/>
        </w:rPr>
        <w:t>is innovative in using</w:t>
      </w:r>
      <w:r w:rsidRPr="00763436">
        <w:rPr>
          <w:rFonts w:ascii="Calibri" w:hAnsi="Calibri" w:cs="Calibri"/>
          <w:sz w:val="24"/>
          <w:szCs w:val="24"/>
        </w:rPr>
        <w:t xml:space="preserve"> extended simile to describe </w:t>
      </w:r>
      <w:r w:rsidRPr="00763436">
        <w:rPr>
          <w:rFonts w:ascii="Calibri" w:hAnsi="Calibri" w:cs="Calibri"/>
          <w:i/>
          <w:sz w:val="24"/>
          <w:szCs w:val="24"/>
        </w:rPr>
        <w:t>female</w:t>
      </w:r>
      <w:r w:rsidRPr="00763436">
        <w:rPr>
          <w:rFonts w:ascii="Calibri" w:hAnsi="Calibri" w:cs="Calibri"/>
          <w:sz w:val="24"/>
          <w:szCs w:val="24"/>
        </w:rPr>
        <w:t xml:space="preserve"> activity and emotion</w:t>
      </w:r>
      <w:r w:rsidR="00082124" w:rsidRPr="00763436">
        <w:rPr>
          <w:rFonts w:ascii="Calibri" w:hAnsi="Calibri" w:cs="Calibri"/>
          <w:sz w:val="24"/>
          <w:szCs w:val="24"/>
        </w:rPr>
        <w:t xml:space="preserve"> (Clack</w:t>
      </w:r>
      <w:r w:rsidR="00E238C5">
        <w:rPr>
          <w:rFonts w:ascii="Calibri" w:hAnsi="Calibri" w:cs="Calibri"/>
          <w:sz w:val="24"/>
          <w:szCs w:val="24"/>
        </w:rPr>
        <w:t>,</w:t>
      </w:r>
      <w:r w:rsidR="00082124" w:rsidRPr="00763436">
        <w:rPr>
          <w:rFonts w:ascii="Calibri" w:hAnsi="Calibri" w:cs="Calibri"/>
          <w:sz w:val="24"/>
          <w:szCs w:val="24"/>
        </w:rPr>
        <w:t xml:space="preserve"> 1973)</w:t>
      </w:r>
      <w:r w:rsidRPr="00763436">
        <w:rPr>
          <w:rFonts w:ascii="Calibri" w:hAnsi="Calibri" w:cs="Calibri"/>
          <w:sz w:val="24"/>
          <w:szCs w:val="24"/>
        </w:rPr>
        <w:t xml:space="preserve"> as for example in </w:t>
      </w:r>
      <w:r w:rsidR="008B68C9">
        <w:rPr>
          <w:rFonts w:ascii="Calibri" w:hAnsi="Calibri" w:cs="Calibri"/>
          <w:sz w:val="24"/>
          <w:szCs w:val="24"/>
        </w:rPr>
        <w:t xml:space="preserve">his description of </w:t>
      </w:r>
      <w:r w:rsidRPr="00763436">
        <w:rPr>
          <w:rFonts w:ascii="Calibri" w:hAnsi="Calibri" w:cs="Calibri"/>
          <w:sz w:val="24"/>
          <w:szCs w:val="24"/>
        </w:rPr>
        <w:t>Medea’</w:t>
      </w:r>
      <w:r w:rsidR="0031384A" w:rsidRPr="00763436">
        <w:rPr>
          <w:rFonts w:ascii="Calibri" w:hAnsi="Calibri" w:cs="Calibri"/>
          <w:sz w:val="24"/>
          <w:szCs w:val="24"/>
        </w:rPr>
        <w:t>s emotions</w:t>
      </w:r>
    </w:p>
    <w:p w14:paraId="1C134322" w14:textId="28C60651" w:rsidR="00241A74" w:rsidRPr="00763436" w:rsidRDefault="00082124" w:rsidP="0031384A">
      <w:pPr>
        <w:ind w:left="720"/>
        <w:rPr>
          <w:rFonts w:ascii="Calibri" w:hAnsi="Calibri" w:cs="Calibri"/>
          <w:sz w:val="24"/>
          <w:szCs w:val="24"/>
        </w:rPr>
      </w:pPr>
      <w:r w:rsidRPr="00763436">
        <w:rPr>
          <w:rFonts w:ascii="Calibri" w:hAnsi="Calibri" w:cs="Calibri"/>
          <w:i/>
          <w:sz w:val="24"/>
          <w:szCs w:val="24"/>
        </w:rPr>
        <w:t xml:space="preserve">As when a woman heaps up twigs around a burning brand – a poor woman who </w:t>
      </w:r>
      <w:r w:rsidR="0031384A" w:rsidRPr="00763436">
        <w:rPr>
          <w:rFonts w:ascii="Calibri" w:hAnsi="Calibri" w:cs="Calibri"/>
          <w:i/>
          <w:sz w:val="24"/>
          <w:szCs w:val="24"/>
        </w:rPr>
        <w:t xml:space="preserve">must live from working wool – so that she might have light as she sits in her dwelling at night as she sits very close to the fire, and a fierce flame spurts up from the small brand and consumes all the twigs, just so was the destructive love which crouched unobserved and burnt in Medea’s heart. </w:t>
      </w:r>
      <w:r w:rsidR="00F53CEF" w:rsidRPr="00763436">
        <w:rPr>
          <w:rFonts w:ascii="Calibri" w:hAnsi="Calibri" w:cs="Calibri"/>
          <w:sz w:val="24"/>
          <w:szCs w:val="24"/>
        </w:rPr>
        <w:t>(</w:t>
      </w:r>
      <w:r w:rsidR="00493996" w:rsidRPr="00763436">
        <w:rPr>
          <w:rFonts w:ascii="Calibri" w:hAnsi="Calibri" w:cs="Calibri"/>
          <w:sz w:val="24"/>
          <w:szCs w:val="24"/>
        </w:rPr>
        <w:t>Apollonius; Hunter op cit</w:t>
      </w:r>
      <w:r w:rsidR="002340DD">
        <w:rPr>
          <w:rFonts w:ascii="Calibri" w:hAnsi="Calibri" w:cs="Calibri"/>
          <w:sz w:val="24"/>
          <w:szCs w:val="24"/>
        </w:rPr>
        <w:t xml:space="preserve">, </w:t>
      </w:r>
      <w:r w:rsidR="002340DD" w:rsidRPr="00763436">
        <w:rPr>
          <w:rFonts w:ascii="Calibri" w:hAnsi="Calibri" w:cs="Calibri"/>
          <w:sz w:val="24"/>
          <w:szCs w:val="24"/>
        </w:rPr>
        <w:t>Book 3, 291-298</w:t>
      </w:r>
      <w:r w:rsidR="00493996" w:rsidRPr="00763436">
        <w:rPr>
          <w:rFonts w:ascii="Calibri" w:hAnsi="Calibri" w:cs="Calibri"/>
          <w:sz w:val="24"/>
          <w:szCs w:val="24"/>
        </w:rPr>
        <w:t>)</w:t>
      </w:r>
    </w:p>
    <w:p w14:paraId="577D1BCE" w14:textId="33825B88" w:rsidR="0031384A" w:rsidRPr="00763436" w:rsidRDefault="002E7558" w:rsidP="001C657C">
      <w:pPr>
        <w:rPr>
          <w:rFonts w:ascii="Calibri" w:hAnsi="Calibri" w:cs="Calibri"/>
          <w:sz w:val="24"/>
          <w:szCs w:val="24"/>
        </w:rPr>
      </w:pPr>
      <w:r w:rsidRPr="00763436">
        <w:rPr>
          <w:rFonts w:ascii="Calibri" w:hAnsi="Calibri" w:cs="Calibri"/>
          <w:sz w:val="24"/>
          <w:szCs w:val="24"/>
        </w:rPr>
        <w:t>Helen Foley points out that Medea is often described in language associated with male characteristics in Apollonius’ similes (Foley</w:t>
      </w:r>
      <w:r w:rsidR="007C5B5F" w:rsidRPr="00763436">
        <w:rPr>
          <w:rFonts w:ascii="Calibri" w:hAnsi="Calibri" w:cs="Calibri"/>
          <w:sz w:val="24"/>
          <w:szCs w:val="24"/>
        </w:rPr>
        <w:t xml:space="preserve"> H. P.</w:t>
      </w:r>
      <w:r w:rsidRPr="00763436">
        <w:rPr>
          <w:rFonts w:ascii="Calibri" w:hAnsi="Calibri" w:cs="Calibri"/>
          <w:sz w:val="24"/>
          <w:szCs w:val="24"/>
        </w:rPr>
        <w:t>, in Foley</w:t>
      </w:r>
      <w:r w:rsidR="007C5B5F" w:rsidRPr="00763436">
        <w:rPr>
          <w:rFonts w:ascii="Calibri" w:hAnsi="Calibri" w:cs="Calibri"/>
          <w:sz w:val="24"/>
          <w:szCs w:val="24"/>
        </w:rPr>
        <w:t xml:space="preserve"> J. M.</w:t>
      </w:r>
      <w:r w:rsidRPr="00763436">
        <w:rPr>
          <w:rFonts w:ascii="Calibri" w:hAnsi="Calibri" w:cs="Calibri"/>
          <w:sz w:val="24"/>
          <w:szCs w:val="24"/>
        </w:rPr>
        <w:t xml:space="preserve"> ed.</w:t>
      </w:r>
      <w:r w:rsidR="007C5B5F" w:rsidRPr="00763436">
        <w:rPr>
          <w:rFonts w:ascii="Calibri" w:hAnsi="Calibri" w:cs="Calibri"/>
          <w:sz w:val="24"/>
          <w:szCs w:val="24"/>
        </w:rPr>
        <w:t xml:space="preserve"> 2005</w:t>
      </w:r>
      <w:r w:rsidR="00E238C5">
        <w:rPr>
          <w:rFonts w:ascii="Calibri" w:hAnsi="Calibri" w:cs="Calibri"/>
          <w:sz w:val="24"/>
          <w:szCs w:val="24"/>
        </w:rPr>
        <w:t>), while</w:t>
      </w:r>
      <w:r w:rsidRPr="00763436">
        <w:rPr>
          <w:rFonts w:ascii="Calibri" w:hAnsi="Calibri" w:cs="Calibri"/>
          <w:sz w:val="24"/>
          <w:szCs w:val="24"/>
        </w:rPr>
        <w:t xml:space="preserve"> </w:t>
      </w:r>
      <w:r w:rsidR="00241A74" w:rsidRPr="00763436">
        <w:rPr>
          <w:rFonts w:ascii="Calibri" w:hAnsi="Calibri" w:cs="Calibri"/>
          <w:sz w:val="24"/>
          <w:szCs w:val="24"/>
        </w:rPr>
        <w:t xml:space="preserve">Apollonius also </w:t>
      </w:r>
      <w:r w:rsidRPr="00763436">
        <w:rPr>
          <w:rFonts w:ascii="Calibri" w:hAnsi="Calibri" w:cs="Calibri"/>
          <w:sz w:val="24"/>
          <w:szCs w:val="24"/>
        </w:rPr>
        <w:t>innovates in using</w:t>
      </w:r>
      <w:r w:rsidR="00241A74" w:rsidRPr="00763436">
        <w:rPr>
          <w:rFonts w:ascii="Calibri" w:hAnsi="Calibri" w:cs="Calibri"/>
          <w:sz w:val="24"/>
          <w:szCs w:val="24"/>
        </w:rPr>
        <w:t xml:space="preserve"> </w:t>
      </w:r>
      <w:r w:rsidR="0031384A" w:rsidRPr="00763436">
        <w:rPr>
          <w:rFonts w:ascii="Calibri" w:hAnsi="Calibri" w:cs="Calibri"/>
          <w:sz w:val="24"/>
          <w:szCs w:val="24"/>
        </w:rPr>
        <w:t>a masculine</w:t>
      </w:r>
      <w:r w:rsidR="00241A74" w:rsidRPr="00763436">
        <w:rPr>
          <w:rFonts w:ascii="Calibri" w:hAnsi="Calibri" w:cs="Calibri"/>
          <w:sz w:val="24"/>
          <w:szCs w:val="24"/>
        </w:rPr>
        <w:t xml:space="preserve"> simile to describe </w:t>
      </w:r>
      <w:r w:rsidR="0031384A" w:rsidRPr="00763436">
        <w:rPr>
          <w:rFonts w:ascii="Calibri" w:hAnsi="Calibri" w:cs="Calibri"/>
          <w:sz w:val="24"/>
          <w:szCs w:val="24"/>
        </w:rPr>
        <w:t>female</w:t>
      </w:r>
      <w:r w:rsidR="00241A74" w:rsidRPr="00763436">
        <w:rPr>
          <w:rFonts w:ascii="Calibri" w:hAnsi="Calibri" w:cs="Calibri"/>
          <w:sz w:val="24"/>
          <w:szCs w:val="24"/>
        </w:rPr>
        <w:t xml:space="preserve"> emotion or activity, and </w:t>
      </w:r>
      <w:r w:rsidR="0031384A" w:rsidRPr="00763436">
        <w:rPr>
          <w:rFonts w:ascii="Calibri" w:hAnsi="Calibri" w:cs="Calibri"/>
          <w:sz w:val="24"/>
          <w:szCs w:val="24"/>
        </w:rPr>
        <w:t>fe</w:t>
      </w:r>
      <w:r w:rsidR="00241A74" w:rsidRPr="00763436">
        <w:rPr>
          <w:rFonts w:ascii="Calibri" w:hAnsi="Calibri" w:cs="Calibri"/>
          <w:sz w:val="24"/>
          <w:szCs w:val="24"/>
        </w:rPr>
        <w:t>m</w:t>
      </w:r>
      <w:r w:rsidR="0031384A" w:rsidRPr="00763436">
        <w:rPr>
          <w:rFonts w:ascii="Calibri" w:hAnsi="Calibri" w:cs="Calibri"/>
          <w:sz w:val="24"/>
          <w:szCs w:val="24"/>
        </w:rPr>
        <w:t xml:space="preserve">inine </w:t>
      </w:r>
      <w:r w:rsidR="00241A74" w:rsidRPr="00763436">
        <w:rPr>
          <w:rFonts w:ascii="Calibri" w:hAnsi="Calibri" w:cs="Calibri"/>
          <w:sz w:val="24"/>
          <w:szCs w:val="24"/>
        </w:rPr>
        <w:t>simile to descr</w:t>
      </w:r>
      <w:r w:rsidRPr="00763436">
        <w:rPr>
          <w:rFonts w:ascii="Calibri" w:hAnsi="Calibri" w:cs="Calibri"/>
          <w:sz w:val="24"/>
          <w:szCs w:val="24"/>
        </w:rPr>
        <w:t xml:space="preserve">ibe </w:t>
      </w:r>
      <w:r w:rsidR="0031384A" w:rsidRPr="00763436">
        <w:rPr>
          <w:rFonts w:ascii="Calibri" w:hAnsi="Calibri" w:cs="Calibri"/>
          <w:sz w:val="24"/>
          <w:szCs w:val="24"/>
        </w:rPr>
        <w:t xml:space="preserve">male </w:t>
      </w:r>
      <w:r w:rsidRPr="00763436">
        <w:rPr>
          <w:rFonts w:ascii="Calibri" w:hAnsi="Calibri" w:cs="Calibri"/>
          <w:sz w:val="24"/>
          <w:szCs w:val="24"/>
        </w:rPr>
        <w:t>emotion or activity, as for example at Book 4 167-70 where Jason is described as being like a girl with a dress:</w:t>
      </w:r>
    </w:p>
    <w:p w14:paraId="75A0825A" w14:textId="47283384" w:rsidR="0031384A" w:rsidRPr="00763436" w:rsidRDefault="0031384A" w:rsidP="0031384A">
      <w:pPr>
        <w:ind w:left="720"/>
        <w:rPr>
          <w:rFonts w:ascii="Calibri" w:hAnsi="Calibri" w:cs="Calibri"/>
          <w:sz w:val="24"/>
          <w:szCs w:val="24"/>
        </w:rPr>
      </w:pPr>
      <w:r w:rsidRPr="00763436">
        <w:rPr>
          <w:rFonts w:ascii="Calibri" w:hAnsi="Calibri" w:cs="Calibri"/>
          <w:i/>
          <w:sz w:val="24"/>
          <w:szCs w:val="24"/>
        </w:rPr>
        <w:lastRenderedPageBreak/>
        <w:t xml:space="preserve">As when a young girl catches in her fine dress the gleam of the full moon hanging high over her bedroom under the roof, and her heart is delighted at the sight of the lovely radiance; just so then did Jason rejoice as he lifted the great fleece in his hands, and over his fair cheeks and forehead the sparkle of the wool threw a blush like flame. </w:t>
      </w:r>
      <w:r w:rsidR="007C5B5F" w:rsidRPr="00763436">
        <w:rPr>
          <w:rFonts w:ascii="Calibri" w:hAnsi="Calibri" w:cs="Calibri"/>
          <w:sz w:val="24"/>
          <w:szCs w:val="24"/>
        </w:rPr>
        <w:t>(Apollonius; Hunter op cit)</w:t>
      </w:r>
    </w:p>
    <w:p w14:paraId="217CBA0F" w14:textId="258A7F79" w:rsidR="00241A74" w:rsidRPr="00763436" w:rsidRDefault="002E7558" w:rsidP="00541980">
      <w:pPr>
        <w:rPr>
          <w:rFonts w:ascii="Calibri" w:hAnsi="Calibri" w:cs="Calibri"/>
          <w:sz w:val="24"/>
          <w:szCs w:val="24"/>
        </w:rPr>
      </w:pPr>
      <w:r w:rsidRPr="00763436">
        <w:rPr>
          <w:rFonts w:ascii="Calibri" w:hAnsi="Calibri" w:cs="Calibri"/>
          <w:sz w:val="24"/>
          <w:szCs w:val="24"/>
        </w:rPr>
        <w:t xml:space="preserve">Virginia Knight points out how this gender reversal in simile adds to the shifting, ambiguous quality of the power balance between the key protagonists (Knight, </w:t>
      </w:r>
      <w:r w:rsidR="007C5B5F" w:rsidRPr="00763436">
        <w:rPr>
          <w:rFonts w:ascii="Calibri" w:hAnsi="Calibri" w:cs="Calibri"/>
          <w:sz w:val="24"/>
          <w:szCs w:val="24"/>
        </w:rPr>
        <w:t>1991</w:t>
      </w:r>
      <w:r w:rsidRPr="00763436">
        <w:rPr>
          <w:rFonts w:ascii="Calibri" w:hAnsi="Calibri" w:cs="Calibri"/>
          <w:sz w:val="24"/>
          <w:szCs w:val="24"/>
        </w:rPr>
        <w:t>)</w:t>
      </w:r>
      <w:r w:rsidR="000B1A6F">
        <w:rPr>
          <w:rFonts w:ascii="Calibri" w:hAnsi="Calibri" w:cs="Calibri"/>
          <w:sz w:val="24"/>
          <w:szCs w:val="24"/>
        </w:rPr>
        <w:t xml:space="preserve"> </w:t>
      </w:r>
      <w:r w:rsidR="00DD49DC">
        <w:rPr>
          <w:rFonts w:ascii="Calibri" w:hAnsi="Calibri" w:cs="Calibri"/>
          <w:sz w:val="24"/>
          <w:szCs w:val="24"/>
        </w:rPr>
        <w:t xml:space="preserve">whilst Bremer (Bremer, 1987) points out the multiple similes in this passage to </w:t>
      </w:r>
      <w:r w:rsidR="000B1A6F">
        <w:rPr>
          <w:rFonts w:ascii="Calibri" w:hAnsi="Calibri" w:cs="Calibri"/>
          <w:sz w:val="24"/>
          <w:szCs w:val="24"/>
        </w:rPr>
        <w:t xml:space="preserve">multiple </w:t>
      </w:r>
      <w:r w:rsidR="00DD49DC">
        <w:rPr>
          <w:rFonts w:ascii="Calibri" w:hAnsi="Calibri" w:cs="Calibri"/>
          <w:sz w:val="24"/>
          <w:szCs w:val="24"/>
        </w:rPr>
        <w:t>other references</w:t>
      </w:r>
      <w:r w:rsidR="00BB128E">
        <w:rPr>
          <w:rFonts w:ascii="Calibri" w:hAnsi="Calibri" w:cs="Calibri"/>
          <w:sz w:val="24"/>
          <w:szCs w:val="24"/>
        </w:rPr>
        <w:t xml:space="preserve"> in the </w:t>
      </w:r>
      <w:r w:rsidR="00BB128E" w:rsidRPr="00BB128E">
        <w:rPr>
          <w:rFonts w:ascii="Calibri" w:hAnsi="Calibri" w:cs="Calibri"/>
          <w:i/>
          <w:sz w:val="24"/>
          <w:szCs w:val="24"/>
        </w:rPr>
        <w:t>Argonautica</w:t>
      </w:r>
      <w:r w:rsidR="00DD49DC">
        <w:rPr>
          <w:rFonts w:ascii="Calibri" w:hAnsi="Calibri" w:cs="Calibri"/>
          <w:sz w:val="24"/>
          <w:szCs w:val="24"/>
        </w:rPr>
        <w:t xml:space="preserve"> to the moon, with its erotic and nuptial</w:t>
      </w:r>
      <w:r w:rsidR="00541980">
        <w:rPr>
          <w:rFonts w:ascii="Calibri" w:hAnsi="Calibri" w:cs="Calibri"/>
          <w:sz w:val="24"/>
          <w:szCs w:val="24"/>
        </w:rPr>
        <w:t xml:space="preserve"> connotations. Furthermore Bremer points out that this simile “</w:t>
      </w:r>
      <w:r w:rsidR="00541980" w:rsidRPr="00541980">
        <w:rPr>
          <w:rFonts w:ascii="Calibri" w:hAnsi="Calibri" w:cs="Calibri"/>
          <w:sz w:val="24"/>
          <w:szCs w:val="24"/>
        </w:rPr>
        <w:t>must have had the ef</w:t>
      </w:r>
      <w:r w:rsidR="00541980">
        <w:rPr>
          <w:rFonts w:ascii="Calibri" w:hAnsi="Calibri" w:cs="Calibri"/>
          <w:sz w:val="24"/>
          <w:szCs w:val="24"/>
        </w:rPr>
        <w:t xml:space="preserve">fect of </w:t>
      </w:r>
      <w:r w:rsidR="00541980" w:rsidRPr="00541980">
        <w:rPr>
          <w:rFonts w:ascii="Calibri" w:hAnsi="Calibri" w:cs="Calibri"/>
          <w:sz w:val="24"/>
          <w:szCs w:val="24"/>
        </w:rPr>
        <w:t xml:space="preserve">directing the readers' attention to </w:t>
      </w:r>
      <w:r w:rsidR="00541980">
        <w:rPr>
          <w:rFonts w:ascii="Calibri" w:hAnsi="Calibri" w:cs="Calibri"/>
          <w:sz w:val="24"/>
          <w:szCs w:val="24"/>
        </w:rPr>
        <w:t xml:space="preserve">the joy which permeates Medea, </w:t>
      </w:r>
      <w:r w:rsidR="00541980" w:rsidRPr="00541980">
        <w:rPr>
          <w:rFonts w:ascii="Calibri" w:hAnsi="Calibri" w:cs="Calibri"/>
          <w:sz w:val="24"/>
          <w:szCs w:val="24"/>
        </w:rPr>
        <w:t>walking at Jason's side as his bride-to-be</w:t>
      </w:r>
      <w:r w:rsidR="00541980">
        <w:rPr>
          <w:rFonts w:ascii="Calibri" w:hAnsi="Calibri" w:cs="Calibri"/>
          <w:sz w:val="24"/>
          <w:szCs w:val="24"/>
        </w:rPr>
        <w:t xml:space="preserve">” but further that this gender-switched simile allows the reader to empathise with emotion of both Jason and Medea at this critical moment in the narrative (Bremer, 1987). This passage also resonates with the </w:t>
      </w:r>
      <w:r w:rsidR="00BB128E">
        <w:rPr>
          <w:rFonts w:ascii="Calibri" w:hAnsi="Calibri" w:cs="Calibri"/>
          <w:sz w:val="24"/>
          <w:szCs w:val="24"/>
        </w:rPr>
        <w:t xml:space="preserve">bridal </w:t>
      </w:r>
      <w:r w:rsidR="00541980">
        <w:rPr>
          <w:rFonts w:ascii="Calibri" w:hAnsi="Calibri" w:cs="Calibri"/>
          <w:sz w:val="24"/>
          <w:szCs w:val="24"/>
        </w:rPr>
        <w:t>simile</w:t>
      </w:r>
      <w:r w:rsidR="0053601E">
        <w:rPr>
          <w:rFonts w:ascii="Calibri" w:hAnsi="Calibri" w:cs="Calibri"/>
          <w:sz w:val="24"/>
          <w:szCs w:val="24"/>
        </w:rPr>
        <w:t xml:space="preserve"> used previously</w:t>
      </w:r>
      <w:r w:rsidR="00541980">
        <w:rPr>
          <w:rFonts w:ascii="Calibri" w:hAnsi="Calibri" w:cs="Calibri"/>
          <w:sz w:val="24"/>
          <w:szCs w:val="24"/>
        </w:rPr>
        <w:t xml:space="preserve"> for</w:t>
      </w:r>
      <w:r w:rsidR="00BB128E">
        <w:rPr>
          <w:rFonts w:ascii="Calibri" w:hAnsi="Calibri" w:cs="Calibri"/>
          <w:sz w:val="24"/>
          <w:szCs w:val="24"/>
        </w:rPr>
        <w:t xml:space="preserve"> Medea herself</w:t>
      </w:r>
      <w:r w:rsidR="0053601E">
        <w:rPr>
          <w:rFonts w:ascii="Calibri" w:hAnsi="Calibri" w:cs="Calibri"/>
          <w:sz w:val="24"/>
          <w:szCs w:val="24"/>
        </w:rPr>
        <w:t xml:space="preserve"> </w:t>
      </w:r>
      <w:r w:rsidR="00BB128E">
        <w:rPr>
          <w:rFonts w:ascii="Calibri" w:hAnsi="Calibri" w:cs="Calibri"/>
          <w:sz w:val="24"/>
          <w:szCs w:val="24"/>
        </w:rPr>
        <w:t xml:space="preserve">where </w:t>
      </w:r>
      <w:r w:rsidR="0053601E">
        <w:rPr>
          <w:rFonts w:ascii="Calibri" w:hAnsi="Calibri" w:cs="Calibri"/>
          <w:sz w:val="24"/>
          <w:szCs w:val="24"/>
        </w:rPr>
        <w:t>her</w:t>
      </w:r>
      <w:r w:rsidR="00BB128E">
        <w:rPr>
          <w:rFonts w:ascii="Calibri" w:hAnsi="Calibri" w:cs="Calibri"/>
          <w:sz w:val="24"/>
          <w:szCs w:val="24"/>
        </w:rPr>
        <w:t xml:space="preserve"> torment over Jason is compared to that of a young bride, who</w:t>
      </w:r>
      <w:r w:rsidR="000B1A6F">
        <w:rPr>
          <w:rFonts w:ascii="Calibri" w:hAnsi="Calibri" w:cs="Calibri"/>
          <w:sz w:val="24"/>
          <w:szCs w:val="24"/>
        </w:rPr>
        <w:t>se</w:t>
      </w:r>
      <w:r w:rsidR="00BB128E">
        <w:rPr>
          <w:rFonts w:ascii="Calibri" w:hAnsi="Calibri" w:cs="Calibri"/>
          <w:sz w:val="24"/>
          <w:szCs w:val="24"/>
        </w:rPr>
        <w:t xml:space="preserve"> bridegroom die</w:t>
      </w:r>
      <w:r w:rsidR="00541980">
        <w:rPr>
          <w:rFonts w:ascii="Calibri" w:hAnsi="Calibri" w:cs="Calibri"/>
          <w:sz w:val="24"/>
          <w:szCs w:val="24"/>
        </w:rPr>
        <w:t>s</w:t>
      </w:r>
      <w:r w:rsidR="00BB128E">
        <w:rPr>
          <w:rFonts w:ascii="Calibri" w:hAnsi="Calibri" w:cs="Calibri"/>
          <w:sz w:val="24"/>
          <w:szCs w:val="24"/>
        </w:rPr>
        <w:t xml:space="preserve"> before they c</w:t>
      </w:r>
      <w:r w:rsidR="00541980">
        <w:rPr>
          <w:rFonts w:ascii="Calibri" w:hAnsi="Calibri" w:cs="Calibri"/>
          <w:sz w:val="24"/>
          <w:szCs w:val="24"/>
        </w:rPr>
        <w:t>an</w:t>
      </w:r>
      <w:r w:rsidR="00BB128E">
        <w:rPr>
          <w:rFonts w:ascii="Calibri" w:hAnsi="Calibri" w:cs="Calibri"/>
          <w:sz w:val="24"/>
          <w:szCs w:val="24"/>
        </w:rPr>
        <w:t xml:space="preserve"> marry (Apollonius; Hunter op cit</w:t>
      </w:r>
      <w:r w:rsidR="0053601E">
        <w:rPr>
          <w:rFonts w:ascii="Calibri" w:hAnsi="Calibri" w:cs="Calibri"/>
          <w:sz w:val="24"/>
          <w:szCs w:val="24"/>
        </w:rPr>
        <w:t>, Chapter 3 line 654</w:t>
      </w:r>
      <w:r w:rsidR="00BB128E">
        <w:rPr>
          <w:rFonts w:ascii="Calibri" w:hAnsi="Calibri" w:cs="Calibri"/>
          <w:sz w:val="24"/>
          <w:szCs w:val="24"/>
        </w:rPr>
        <w:t xml:space="preserve"> page 81)</w:t>
      </w:r>
      <w:r w:rsidR="0053601E">
        <w:rPr>
          <w:rFonts w:ascii="Calibri" w:hAnsi="Calibri" w:cs="Calibri"/>
          <w:sz w:val="24"/>
          <w:szCs w:val="24"/>
        </w:rPr>
        <w:t xml:space="preserve">. </w:t>
      </w:r>
    </w:p>
    <w:p w14:paraId="5FCF7410" w14:textId="01406612" w:rsidR="001C657C" w:rsidRPr="00763436" w:rsidRDefault="0031384A" w:rsidP="0031384A">
      <w:pPr>
        <w:rPr>
          <w:rFonts w:ascii="Calibri" w:hAnsi="Calibri" w:cs="Calibri"/>
          <w:sz w:val="24"/>
          <w:szCs w:val="24"/>
        </w:rPr>
      </w:pPr>
      <w:r w:rsidRPr="00763436">
        <w:rPr>
          <w:rFonts w:ascii="Calibri" w:hAnsi="Calibri" w:cs="Calibri"/>
          <w:sz w:val="24"/>
          <w:szCs w:val="24"/>
        </w:rPr>
        <w:t xml:space="preserve">As second innovative aspect of the </w:t>
      </w:r>
      <w:r w:rsidRPr="00E238C5">
        <w:rPr>
          <w:rFonts w:ascii="Calibri" w:hAnsi="Calibri" w:cs="Calibri"/>
          <w:i/>
          <w:sz w:val="24"/>
          <w:szCs w:val="24"/>
        </w:rPr>
        <w:t>Argonautica</w:t>
      </w:r>
      <w:r w:rsidRPr="00763436">
        <w:rPr>
          <w:rFonts w:ascii="Calibri" w:hAnsi="Calibri" w:cs="Calibri"/>
          <w:sz w:val="24"/>
          <w:szCs w:val="24"/>
        </w:rPr>
        <w:t>, is in its mixing of the genres of love poet</w:t>
      </w:r>
      <w:r w:rsidR="007C5B5F" w:rsidRPr="00763436">
        <w:rPr>
          <w:rFonts w:ascii="Calibri" w:hAnsi="Calibri" w:cs="Calibri"/>
          <w:sz w:val="24"/>
          <w:szCs w:val="24"/>
        </w:rPr>
        <w:t>r</w:t>
      </w:r>
      <w:r w:rsidRPr="00763436">
        <w:rPr>
          <w:rFonts w:ascii="Calibri" w:hAnsi="Calibri" w:cs="Calibri"/>
          <w:sz w:val="24"/>
          <w:szCs w:val="24"/>
        </w:rPr>
        <w:t xml:space="preserve">y and the epic, the first example we have of this in the extant Ancient literature. The focus throughout the epic </w:t>
      </w:r>
      <w:r w:rsidR="00E238C5">
        <w:rPr>
          <w:rFonts w:ascii="Calibri" w:hAnsi="Calibri" w:cs="Calibri"/>
          <w:sz w:val="24"/>
          <w:szCs w:val="24"/>
        </w:rPr>
        <w:t xml:space="preserve">is </w:t>
      </w:r>
      <w:r w:rsidRPr="00763436">
        <w:rPr>
          <w:rFonts w:ascii="Calibri" w:hAnsi="Calibri" w:cs="Calibri"/>
          <w:sz w:val="24"/>
          <w:szCs w:val="24"/>
        </w:rPr>
        <w:t>on the power of love to motivate the action of the epic, and Jason’s dependence on Medea’s love t</w:t>
      </w:r>
      <w:r w:rsidR="008B68C9">
        <w:rPr>
          <w:rFonts w:ascii="Calibri" w:hAnsi="Calibri" w:cs="Calibri"/>
          <w:sz w:val="24"/>
          <w:szCs w:val="24"/>
        </w:rPr>
        <w:t>o achieve his heroic quest. This</w:t>
      </w:r>
      <w:r w:rsidR="000A4922" w:rsidRPr="00763436">
        <w:rPr>
          <w:rFonts w:ascii="Calibri" w:hAnsi="Calibri" w:cs="Calibri"/>
          <w:sz w:val="24"/>
          <w:szCs w:val="24"/>
        </w:rPr>
        <w:t xml:space="preserve"> enables Apollonius to use the epic tradition in an entirely new way, to explore a new theme, that of the power and </w:t>
      </w:r>
      <w:r w:rsidR="00E238C5">
        <w:rPr>
          <w:rFonts w:ascii="Calibri" w:hAnsi="Calibri" w:cs="Calibri"/>
          <w:sz w:val="24"/>
          <w:szCs w:val="24"/>
        </w:rPr>
        <w:t xml:space="preserve">the </w:t>
      </w:r>
      <w:r w:rsidR="000A4922" w:rsidRPr="00763436">
        <w:rPr>
          <w:rFonts w:ascii="Calibri" w:hAnsi="Calibri" w:cs="Calibri"/>
          <w:sz w:val="24"/>
          <w:szCs w:val="24"/>
        </w:rPr>
        <w:t xml:space="preserve">dangerous nature of love and erotic attraction as the key motivating driver of action. As an erudite and highly intellectual author, he was able to draw on precedents of </w:t>
      </w:r>
      <w:r w:rsidR="008B68C9">
        <w:rPr>
          <w:rFonts w:ascii="Calibri" w:hAnsi="Calibri" w:cs="Calibri"/>
          <w:sz w:val="24"/>
          <w:szCs w:val="24"/>
        </w:rPr>
        <w:t xml:space="preserve">both </w:t>
      </w:r>
      <w:r w:rsidR="000A4922" w:rsidRPr="00763436">
        <w:rPr>
          <w:rFonts w:ascii="Calibri" w:hAnsi="Calibri" w:cs="Calibri"/>
          <w:sz w:val="24"/>
          <w:szCs w:val="24"/>
        </w:rPr>
        <w:t xml:space="preserve">epic and erotic poetry, as seen for example in the innovative opening invocation of Book Three to </w:t>
      </w:r>
      <w:r w:rsidR="000A4922" w:rsidRPr="00763436">
        <w:rPr>
          <w:rFonts w:ascii="Calibri" w:hAnsi="Calibri" w:cs="Calibri"/>
          <w:i/>
          <w:sz w:val="24"/>
          <w:szCs w:val="24"/>
        </w:rPr>
        <w:t>Erato</w:t>
      </w:r>
      <w:r w:rsidR="000A4922" w:rsidRPr="00763436">
        <w:rPr>
          <w:rFonts w:ascii="Calibri" w:hAnsi="Calibri" w:cs="Calibri"/>
          <w:sz w:val="24"/>
          <w:szCs w:val="24"/>
        </w:rPr>
        <w:t xml:space="preserve">, which we can juxtapose immediately with Homer’s invocation of the Muse at the opening of the </w:t>
      </w:r>
      <w:r w:rsidR="000A4922" w:rsidRPr="00E238C5">
        <w:rPr>
          <w:rFonts w:ascii="Calibri" w:hAnsi="Calibri" w:cs="Calibri"/>
          <w:i/>
          <w:sz w:val="24"/>
          <w:szCs w:val="24"/>
        </w:rPr>
        <w:t>Iliad</w:t>
      </w:r>
      <w:r w:rsidR="000A4922" w:rsidRPr="00763436">
        <w:rPr>
          <w:rFonts w:ascii="Calibri" w:hAnsi="Calibri" w:cs="Calibri"/>
          <w:sz w:val="24"/>
          <w:szCs w:val="24"/>
        </w:rPr>
        <w:t xml:space="preserve"> </w:t>
      </w:r>
      <w:r w:rsidR="001C657C" w:rsidRPr="00763436">
        <w:rPr>
          <w:rFonts w:ascii="Calibri" w:hAnsi="Calibri" w:cs="Calibri"/>
          <w:sz w:val="24"/>
          <w:szCs w:val="24"/>
        </w:rPr>
        <w:t>(Clauss</w:t>
      </w:r>
      <w:r w:rsidR="007C5B5F" w:rsidRPr="00763436">
        <w:rPr>
          <w:rFonts w:ascii="Calibri" w:hAnsi="Calibri" w:cs="Calibri"/>
          <w:sz w:val="24"/>
          <w:szCs w:val="24"/>
        </w:rPr>
        <w:t>, in Clauss and Johnston ed, 1997</w:t>
      </w:r>
      <w:r w:rsidR="001C657C" w:rsidRPr="00763436">
        <w:rPr>
          <w:rFonts w:ascii="Calibri" w:hAnsi="Calibri" w:cs="Calibri"/>
          <w:sz w:val="24"/>
          <w:szCs w:val="24"/>
        </w:rPr>
        <w:t xml:space="preserve">) </w:t>
      </w:r>
    </w:p>
    <w:p w14:paraId="507067D2" w14:textId="37B45D4D" w:rsidR="001A47BE" w:rsidRPr="00763436" w:rsidRDefault="007C5B5F" w:rsidP="000A4922">
      <w:pPr>
        <w:rPr>
          <w:rFonts w:ascii="Calibri" w:hAnsi="Calibri" w:cs="Calibri"/>
          <w:sz w:val="24"/>
          <w:szCs w:val="24"/>
        </w:rPr>
      </w:pPr>
      <w:r w:rsidRPr="00763436">
        <w:rPr>
          <w:rFonts w:ascii="Calibri" w:hAnsi="Calibri" w:cs="Calibri"/>
          <w:sz w:val="24"/>
          <w:szCs w:val="24"/>
        </w:rPr>
        <w:t>Fusillo (op cit)</w:t>
      </w:r>
      <w:r w:rsidR="000A4922" w:rsidRPr="00763436">
        <w:rPr>
          <w:rFonts w:ascii="Calibri" w:hAnsi="Calibri" w:cs="Calibri"/>
          <w:sz w:val="24"/>
          <w:szCs w:val="24"/>
        </w:rPr>
        <w:t xml:space="preserve"> points out that Apollonius’ innovation has a third key aspect, which has continued to resonate throughout the Western literary tradition, in his ‘invention’ of interior monologue in the Argonautica. ‘Invention’ Fusillo holds in inverted commas, to acknowledge there are </w:t>
      </w:r>
      <w:r w:rsidR="00D466BB" w:rsidRPr="00763436">
        <w:rPr>
          <w:rFonts w:ascii="Calibri" w:hAnsi="Calibri" w:cs="Calibri"/>
          <w:sz w:val="24"/>
          <w:szCs w:val="24"/>
        </w:rPr>
        <w:t xml:space="preserve">very </w:t>
      </w:r>
      <w:r w:rsidR="000A4922" w:rsidRPr="00763436">
        <w:rPr>
          <w:rFonts w:ascii="Calibri" w:hAnsi="Calibri" w:cs="Calibri"/>
          <w:sz w:val="24"/>
          <w:szCs w:val="24"/>
        </w:rPr>
        <w:t xml:space="preserve">limited precedents </w:t>
      </w:r>
      <w:r w:rsidR="00D466BB" w:rsidRPr="00763436">
        <w:rPr>
          <w:rFonts w:ascii="Calibri" w:hAnsi="Calibri" w:cs="Calibri"/>
          <w:sz w:val="24"/>
          <w:szCs w:val="24"/>
        </w:rPr>
        <w:t xml:space="preserve">for interior monologue </w:t>
      </w:r>
      <w:r w:rsidR="00E238C5">
        <w:rPr>
          <w:rFonts w:ascii="Calibri" w:hAnsi="Calibri" w:cs="Calibri"/>
          <w:sz w:val="24"/>
          <w:szCs w:val="24"/>
        </w:rPr>
        <w:t>in both Homer and other a</w:t>
      </w:r>
      <w:r w:rsidR="000A4922" w:rsidRPr="00763436">
        <w:rPr>
          <w:rFonts w:ascii="Calibri" w:hAnsi="Calibri" w:cs="Calibri"/>
          <w:sz w:val="24"/>
          <w:szCs w:val="24"/>
        </w:rPr>
        <w:t xml:space="preserve">ncient texts </w:t>
      </w:r>
      <w:r w:rsidR="00D466BB" w:rsidRPr="00763436">
        <w:rPr>
          <w:rFonts w:ascii="Calibri" w:hAnsi="Calibri" w:cs="Calibri"/>
          <w:sz w:val="24"/>
          <w:szCs w:val="24"/>
        </w:rPr>
        <w:t>–</w:t>
      </w:r>
      <w:r w:rsidR="00E238C5">
        <w:rPr>
          <w:rFonts w:ascii="Calibri" w:hAnsi="Calibri" w:cs="Calibri"/>
          <w:sz w:val="24"/>
          <w:szCs w:val="24"/>
        </w:rPr>
        <w:t xml:space="preserve"> </w:t>
      </w:r>
      <w:r w:rsidR="00D466BB" w:rsidRPr="00763436">
        <w:rPr>
          <w:rFonts w:ascii="Calibri" w:hAnsi="Calibri" w:cs="Calibri"/>
          <w:sz w:val="24"/>
          <w:szCs w:val="24"/>
        </w:rPr>
        <w:t xml:space="preserve">the single example in the </w:t>
      </w:r>
      <w:r w:rsidR="00D466BB" w:rsidRPr="00E238C5">
        <w:rPr>
          <w:rFonts w:ascii="Calibri" w:hAnsi="Calibri" w:cs="Calibri"/>
          <w:i/>
          <w:sz w:val="24"/>
          <w:szCs w:val="24"/>
        </w:rPr>
        <w:t>Iliad</w:t>
      </w:r>
      <w:r w:rsidR="00D466BB" w:rsidRPr="00763436">
        <w:rPr>
          <w:rFonts w:ascii="Calibri" w:hAnsi="Calibri" w:cs="Calibri"/>
          <w:sz w:val="24"/>
          <w:szCs w:val="24"/>
        </w:rPr>
        <w:t xml:space="preserve"> </w:t>
      </w:r>
      <w:r w:rsidR="00982B1F" w:rsidRPr="00763436">
        <w:rPr>
          <w:rFonts w:ascii="Calibri" w:hAnsi="Calibri" w:cs="Calibri"/>
          <w:sz w:val="24"/>
          <w:szCs w:val="24"/>
        </w:rPr>
        <w:t xml:space="preserve">for example, being </w:t>
      </w:r>
      <w:r w:rsidR="00D466BB" w:rsidRPr="00763436">
        <w:rPr>
          <w:rFonts w:ascii="Calibri" w:hAnsi="Calibri" w:cs="Calibri"/>
          <w:sz w:val="24"/>
          <w:szCs w:val="24"/>
        </w:rPr>
        <w:t>of Achilles’ premonit</w:t>
      </w:r>
      <w:r w:rsidR="00982B1F" w:rsidRPr="00763436">
        <w:rPr>
          <w:rFonts w:ascii="Calibri" w:hAnsi="Calibri" w:cs="Calibri"/>
          <w:sz w:val="24"/>
          <w:szCs w:val="24"/>
        </w:rPr>
        <w:t>ion of the death of Patroclus. However, a</w:t>
      </w:r>
      <w:r w:rsidR="00D466BB" w:rsidRPr="00763436">
        <w:rPr>
          <w:rFonts w:ascii="Calibri" w:hAnsi="Calibri" w:cs="Calibri"/>
          <w:sz w:val="24"/>
          <w:szCs w:val="24"/>
        </w:rPr>
        <w:t>s</w:t>
      </w:r>
      <w:r w:rsidR="000A4922" w:rsidRPr="00763436">
        <w:rPr>
          <w:rFonts w:ascii="Calibri" w:hAnsi="Calibri" w:cs="Calibri"/>
          <w:sz w:val="24"/>
          <w:szCs w:val="24"/>
        </w:rPr>
        <w:t xml:space="preserve"> Fusillo </w:t>
      </w:r>
      <w:r w:rsidR="00D466BB" w:rsidRPr="00763436">
        <w:rPr>
          <w:rFonts w:ascii="Calibri" w:hAnsi="Calibri" w:cs="Calibri"/>
          <w:sz w:val="24"/>
          <w:szCs w:val="24"/>
        </w:rPr>
        <w:t>argues, the concept of an ‘inner life’ was pro</w:t>
      </w:r>
      <w:r w:rsidR="00E238C5">
        <w:rPr>
          <w:rFonts w:ascii="Calibri" w:hAnsi="Calibri" w:cs="Calibri"/>
          <w:sz w:val="24"/>
          <w:szCs w:val="24"/>
        </w:rPr>
        <w:t>blematic in Archaic times. W</w:t>
      </w:r>
      <w:r w:rsidR="00B3737B" w:rsidRPr="00763436">
        <w:rPr>
          <w:rFonts w:ascii="Calibri" w:hAnsi="Calibri" w:cs="Calibri"/>
          <w:sz w:val="24"/>
          <w:szCs w:val="24"/>
        </w:rPr>
        <w:t xml:space="preserve">ith Apollonius, particularly in </w:t>
      </w:r>
      <w:r w:rsidR="008B68C9">
        <w:rPr>
          <w:rFonts w:ascii="Calibri" w:hAnsi="Calibri" w:cs="Calibri"/>
          <w:sz w:val="24"/>
          <w:szCs w:val="24"/>
        </w:rPr>
        <w:t>his writing of</w:t>
      </w:r>
      <w:r w:rsidR="00B3737B" w:rsidRPr="00763436">
        <w:rPr>
          <w:rFonts w:ascii="Calibri" w:hAnsi="Calibri" w:cs="Calibri"/>
          <w:sz w:val="24"/>
          <w:szCs w:val="24"/>
        </w:rPr>
        <w:t xml:space="preserve"> crisis situations, where </w:t>
      </w:r>
      <w:r w:rsidR="00982B1F" w:rsidRPr="00763436">
        <w:rPr>
          <w:rFonts w:ascii="Calibri" w:hAnsi="Calibri" w:cs="Calibri"/>
          <w:sz w:val="24"/>
          <w:szCs w:val="24"/>
        </w:rPr>
        <w:t xml:space="preserve">his </w:t>
      </w:r>
      <w:r w:rsidR="00B3737B" w:rsidRPr="00763436">
        <w:rPr>
          <w:rFonts w:ascii="Calibri" w:hAnsi="Calibri" w:cs="Calibri"/>
          <w:sz w:val="24"/>
          <w:szCs w:val="24"/>
        </w:rPr>
        <w:t xml:space="preserve">characters are torn between different responsibilities and emotions, and their decisions are pivotal to the plot, we see “the element of inner conflict becoming central to the whole narrative”. </w:t>
      </w:r>
      <w:r w:rsidR="00D73FEC" w:rsidRPr="00763436">
        <w:rPr>
          <w:rFonts w:ascii="Calibri" w:hAnsi="Calibri" w:cs="Calibri"/>
          <w:sz w:val="24"/>
          <w:szCs w:val="24"/>
        </w:rPr>
        <w:t xml:space="preserve">We see this for example most clearly in Medea’s inner monologue </w:t>
      </w:r>
      <w:r w:rsidR="00B63380" w:rsidRPr="00763436">
        <w:rPr>
          <w:rFonts w:ascii="Calibri" w:hAnsi="Calibri" w:cs="Calibri"/>
          <w:sz w:val="24"/>
          <w:szCs w:val="24"/>
        </w:rPr>
        <w:t>in Book T</w:t>
      </w:r>
      <w:r w:rsidR="00D73FEC" w:rsidRPr="00763436">
        <w:rPr>
          <w:rFonts w:ascii="Calibri" w:hAnsi="Calibri" w:cs="Calibri"/>
          <w:sz w:val="24"/>
          <w:szCs w:val="24"/>
        </w:rPr>
        <w:t xml:space="preserve">hree, where she </w:t>
      </w:r>
      <w:r w:rsidR="001A47BE" w:rsidRPr="00763436">
        <w:rPr>
          <w:rFonts w:ascii="Calibri" w:hAnsi="Calibri" w:cs="Calibri"/>
          <w:sz w:val="24"/>
          <w:szCs w:val="24"/>
        </w:rPr>
        <w:t>agonises</w:t>
      </w:r>
      <w:r w:rsidR="00B63380" w:rsidRPr="00763436">
        <w:rPr>
          <w:rFonts w:ascii="Calibri" w:hAnsi="Calibri" w:cs="Calibri"/>
          <w:sz w:val="24"/>
          <w:szCs w:val="24"/>
        </w:rPr>
        <w:t xml:space="preserve"> </w:t>
      </w:r>
      <w:r w:rsidR="001A47BE" w:rsidRPr="00763436">
        <w:rPr>
          <w:rFonts w:ascii="Calibri" w:hAnsi="Calibri" w:cs="Calibri"/>
          <w:sz w:val="24"/>
          <w:szCs w:val="24"/>
        </w:rPr>
        <w:t>over the terrible choice before her:</w:t>
      </w:r>
    </w:p>
    <w:p w14:paraId="52F2181D" w14:textId="0F365A33" w:rsidR="00D73FEC" w:rsidRPr="008B68C9" w:rsidRDefault="00D73FEC" w:rsidP="001A47BE">
      <w:pPr>
        <w:ind w:left="720"/>
        <w:rPr>
          <w:rFonts w:ascii="Calibri" w:hAnsi="Calibri" w:cs="Calibri"/>
          <w:sz w:val="24"/>
          <w:szCs w:val="24"/>
        </w:rPr>
      </w:pPr>
      <w:r w:rsidRPr="00763436">
        <w:rPr>
          <w:rFonts w:ascii="Calibri" w:hAnsi="Calibri" w:cs="Calibri"/>
          <w:i/>
          <w:sz w:val="24"/>
          <w:szCs w:val="24"/>
        </w:rPr>
        <w:t>“Alas, which of these miseries am I to choose? My mind is utterly at a loss</w:t>
      </w:r>
      <w:r w:rsidR="001A47BE" w:rsidRPr="00763436">
        <w:rPr>
          <w:rFonts w:ascii="Calibri" w:hAnsi="Calibri" w:cs="Calibri"/>
          <w:i/>
          <w:sz w:val="24"/>
          <w:szCs w:val="24"/>
        </w:rPr>
        <w:t xml:space="preserve">, nor can I find any way to stop the pain … </w:t>
      </w:r>
      <w:r w:rsidRPr="00763436">
        <w:rPr>
          <w:rFonts w:ascii="Calibri" w:hAnsi="Calibri" w:cs="Calibri"/>
          <w:i/>
          <w:sz w:val="24"/>
          <w:szCs w:val="24"/>
        </w:rPr>
        <w:t xml:space="preserve">For if I devised aid with my drugs, how could my parents fail </w:t>
      </w:r>
      <w:r w:rsidRPr="00763436">
        <w:rPr>
          <w:rFonts w:ascii="Calibri" w:hAnsi="Calibri" w:cs="Calibri"/>
          <w:i/>
          <w:sz w:val="24"/>
          <w:szCs w:val="24"/>
        </w:rPr>
        <w:lastRenderedPageBreak/>
        <w:t>to notice?</w:t>
      </w:r>
      <w:r w:rsidR="001A47BE" w:rsidRPr="00763436">
        <w:rPr>
          <w:rFonts w:ascii="Calibri" w:hAnsi="Calibri" w:cs="Calibri"/>
          <w:i/>
          <w:sz w:val="24"/>
          <w:szCs w:val="24"/>
        </w:rPr>
        <w:t xml:space="preserve"> What could I say? … </w:t>
      </w:r>
      <w:r w:rsidRPr="00763436">
        <w:rPr>
          <w:rFonts w:ascii="Calibri" w:hAnsi="Calibri" w:cs="Calibri"/>
          <w:i/>
          <w:sz w:val="24"/>
          <w:szCs w:val="24"/>
        </w:rPr>
        <w:t>Shall I meet him alone, without companions?</w:t>
      </w:r>
      <w:r w:rsidR="001A47BE" w:rsidRPr="00763436">
        <w:rPr>
          <w:rFonts w:ascii="Calibri" w:hAnsi="Calibri" w:cs="Calibri"/>
          <w:i/>
          <w:sz w:val="24"/>
          <w:szCs w:val="24"/>
        </w:rPr>
        <w:t xml:space="preserve"> Ah I do not imagine that even his de</w:t>
      </w:r>
      <w:r w:rsidR="00D31198" w:rsidRPr="00763436">
        <w:rPr>
          <w:rFonts w:ascii="Calibri" w:hAnsi="Calibri" w:cs="Calibri"/>
          <w:i/>
          <w:sz w:val="24"/>
          <w:szCs w:val="24"/>
        </w:rPr>
        <w:t>ath will stop the terrible ache;</w:t>
      </w:r>
      <w:r w:rsidR="001A47BE" w:rsidRPr="00763436">
        <w:rPr>
          <w:rFonts w:ascii="Calibri" w:hAnsi="Calibri" w:cs="Calibri"/>
          <w:i/>
          <w:sz w:val="24"/>
          <w:szCs w:val="24"/>
        </w:rPr>
        <w:t xml:space="preserve"> that is just when he will bring me pain, when he no longer lives! </w:t>
      </w:r>
      <w:r w:rsidRPr="00763436">
        <w:rPr>
          <w:rFonts w:ascii="Calibri" w:hAnsi="Calibri" w:cs="Calibri"/>
          <w:i/>
          <w:sz w:val="24"/>
          <w:szCs w:val="24"/>
        </w:rPr>
        <w:t>Away with s</w:t>
      </w:r>
      <w:r w:rsidR="00B63380" w:rsidRPr="00763436">
        <w:rPr>
          <w:rFonts w:ascii="Calibri" w:hAnsi="Calibri" w:cs="Calibri"/>
          <w:i/>
          <w:sz w:val="24"/>
          <w:szCs w:val="24"/>
        </w:rPr>
        <w:t>hame, away with fine reputation! My efforts shall save him!</w:t>
      </w:r>
      <w:r w:rsidR="001A47BE" w:rsidRPr="00763436">
        <w:rPr>
          <w:rFonts w:ascii="Calibri" w:hAnsi="Calibri" w:cs="Calibri"/>
          <w:i/>
          <w:sz w:val="24"/>
          <w:szCs w:val="24"/>
        </w:rPr>
        <w:t xml:space="preserve"> … Of what disgrace will I not be accused? </w:t>
      </w:r>
      <w:r w:rsidR="00B63380" w:rsidRPr="00763436">
        <w:rPr>
          <w:rFonts w:ascii="Calibri" w:hAnsi="Calibri" w:cs="Calibri"/>
          <w:i/>
          <w:sz w:val="24"/>
          <w:szCs w:val="24"/>
        </w:rPr>
        <w:t xml:space="preserve">Alas, </w:t>
      </w:r>
      <w:r w:rsidR="001A47BE" w:rsidRPr="00763436">
        <w:rPr>
          <w:rFonts w:ascii="Calibri" w:hAnsi="Calibri" w:cs="Calibri"/>
          <w:i/>
          <w:sz w:val="24"/>
          <w:szCs w:val="24"/>
        </w:rPr>
        <w:t xml:space="preserve">for </w:t>
      </w:r>
      <w:r w:rsidR="00B63380" w:rsidRPr="00763436">
        <w:rPr>
          <w:rFonts w:ascii="Calibri" w:hAnsi="Calibri" w:cs="Calibri"/>
          <w:i/>
          <w:sz w:val="24"/>
          <w:szCs w:val="24"/>
        </w:rPr>
        <w:t>my mad folly!”</w:t>
      </w:r>
      <w:r w:rsidR="007C5B5F" w:rsidRPr="00763436">
        <w:rPr>
          <w:rFonts w:ascii="Calibri" w:hAnsi="Calibri" w:cs="Calibri"/>
          <w:i/>
          <w:sz w:val="24"/>
          <w:szCs w:val="24"/>
        </w:rPr>
        <w:t xml:space="preserve"> </w:t>
      </w:r>
      <w:r w:rsidR="008B68C9" w:rsidRPr="008B68C9">
        <w:rPr>
          <w:rFonts w:ascii="Calibri" w:hAnsi="Calibri" w:cs="Calibri"/>
          <w:sz w:val="24"/>
          <w:szCs w:val="24"/>
        </w:rPr>
        <w:t>(</w:t>
      </w:r>
      <w:r w:rsidR="007C5B5F" w:rsidRPr="008B68C9">
        <w:rPr>
          <w:rFonts w:ascii="Calibri" w:hAnsi="Calibri" w:cs="Calibri"/>
          <w:sz w:val="24"/>
          <w:szCs w:val="24"/>
        </w:rPr>
        <w:t>Apollonius; Hunter op cit</w:t>
      </w:r>
      <w:r w:rsidR="002340DD">
        <w:rPr>
          <w:rFonts w:ascii="Calibri" w:hAnsi="Calibri" w:cs="Calibri"/>
          <w:sz w:val="24"/>
          <w:szCs w:val="24"/>
        </w:rPr>
        <w:t xml:space="preserve">, </w:t>
      </w:r>
      <w:r w:rsidR="002340DD" w:rsidRPr="008B68C9">
        <w:rPr>
          <w:rFonts w:ascii="Calibri" w:hAnsi="Calibri" w:cs="Calibri"/>
          <w:sz w:val="24"/>
          <w:szCs w:val="24"/>
        </w:rPr>
        <w:t>Book 3, lines 771-800</w:t>
      </w:r>
      <w:r w:rsidR="00B63380" w:rsidRPr="008B68C9">
        <w:rPr>
          <w:rFonts w:ascii="Calibri" w:hAnsi="Calibri" w:cs="Calibri"/>
          <w:sz w:val="24"/>
          <w:szCs w:val="24"/>
        </w:rPr>
        <w:t>)</w:t>
      </w:r>
    </w:p>
    <w:p w14:paraId="2574ADEB" w14:textId="57D90FA7" w:rsidR="00DD49DC" w:rsidRDefault="00DD49DC" w:rsidP="000A4922">
      <w:pPr>
        <w:rPr>
          <w:rFonts w:ascii="Calibri" w:hAnsi="Calibri" w:cs="Calibri"/>
          <w:sz w:val="24"/>
          <w:szCs w:val="24"/>
        </w:rPr>
      </w:pPr>
      <w:r>
        <w:rPr>
          <w:rFonts w:ascii="Calibri" w:hAnsi="Calibri" w:cs="Calibri"/>
          <w:sz w:val="24"/>
          <w:szCs w:val="24"/>
        </w:rPr>
        <w:t xml:space="preserve">In this passage among others we see how Apollonius uses repeated rhetorical questions, and constant going back and forth between her different options, thoughts and feelings, to demonstrate and explore both her inner torment, and the process of her decision making, which ultimately ends with her defying shame, despite recognising that do so is “mad folly”. As Medea says at line 771, both options before her are “miseries”, both of which will cause her, and those she loves, intense pain. If she helps Jason she will pain her parents and destroy her own reputation. If she fails to help him, the man she has fallen in love with will die. Recognising there is no easy answer, Apollonius takes us into the heart of the experience of inner torment and conflict, poignantly illustrating </w:t>
      </w:r>
      <w:r w:rsidR="0053601E">
        <w:rPr>
          <w:rFonts w:ascii="Calibri" w:hAnsi="Calibri" w:cs="Calibri"/>
          <w:sz w:val="24"/>
          <w:szCs w:val="24"/>
        </w:rPr>
        <w:t xml:space="preserve">both </w:t>
      </w:r>
      <w:r>
        <w:rPr>
          <w:rFonts w:ascii="Calibri" w:hAnsi="Calibri" w:cs="Calibri"/>
          <w:sz w:val="24"/>
          <w:szCs w:val="24"/>
        </w:rPr>
        <w:t xml:space="preserve">the practical process of deciding between irreconcilable goods and ills, and the emotional cost of such situations. </w:t>
      </w:r>
    </w:p>
    <w:p w14:paraId="34A4837F" w14:textId="0840C593" w:rsidR="001C657C" w:rsidRPr="00763436" w:rsidRDefault="00B3737B" w:rsidP="000A4922">
      <w:pPr>
        <w:rPr>
          <w:rFonts w:ascii="Calibri" w:hAnsi="Calibri" w:cs="Calibri"/>
          <w:sz w:val="24"/>
          <w:szCs w:val="24"/>
        </w:rPr>
      </w:pPr>
      <w:r w:rsidRPr="00763436">
        <w:rPr>
          <w:rFonts w:ascii="Calibri" w:hAnsi="Calibri" w:cs="Calibri"/>
          <w:sz w:val="24"/>
          <w:szCs w:val="24"/>
        </w:rPr>
        <w:t xml:space="preserve">Fusillo also points out that Medea’s dream </w:t>
      </w:r>
      <w:r w:rsidR="00350CED" w:rsidRPr="00763436">
        <w:rPr>
          <w:rFonts w:ascii="Calibri" w:hAnsi="Calibri" w:cs="Calibri"/>
          <w:sz w:val="24"/>
          <w:szCs w:val="24"/>
        </w:rPr>
        <w:t xml:space="preserve">immediately preceding </w:t>
      </w:r>
      <w:r w:rsidR="001A47BE" w:rsidRPr="00763436">
        <w:rPr>
          <w:rFonts w:ascii="Calibri" w:hAnsi="Calibri" w:cs="Calibri"/>
          <w:sz w:val="24"/>
          <w:szCs w:val="24"/>
        </w:rPr>
        <w:t xml:space="preserve">this </w:t>
      </w:r>
      <w:r w:rsidRPr="00763436">
        <w:rPr>
          <w:rFonts w:ascii="Calibri" w:hAnsi="Calibri" w:cs="Calibri"/>
          <w:sz w:val="24"/>
          <w:szCs w:val="24"/>
        </w:rPr>
        <w:t>at Book 3</w:t>
      </w:r>
      <w:r w:rsidR="008B68C9">
        <w:rPr>
          <w:rFonts w:ascii="Calibri" w:hAnsi="Calibri" w:cs="Calibri"/>
          <w:sz w:val="24"/>
          <w:szCs w:val="24"/>
        </w:rPr>
        <w:t xml:space="preserve"> line</w:t>
      </w:r>
      <w:r w:rsidRPr="00763436">
        <w:rPr>
          <w:rFonts w:ascii="Calibri" w:hAnsi="Calibri" w:cs="Calibri"/>
          <w:sz w:val="24"/>
          <w:szCs w:val="24"/>
        </w:rPr>
        <w:t xml:space="preserve"> 614, although not exactly describing </w:t>
      </w:r>
      <w:r w:rsidR="001A47BE" w:rsidRPr="00763436">
        <w:rPr>
          <w:rFonts w:ascii="Calibri" w:hAnsi="Calibri" w:cs="Calibri"/>
          <w:sz w:val="24"/>
          <w:szCs w:val="24"/>
        </w:rPr>
        <w:t xml:space="preserve">an </w:t>
      </w:r>
      <w:r w:rsidRPr="00763436">
        <w:rPr>
          <w:rFonts w:ascii="Calibri" w:hAnsi="Calibri" w:cs="Calibri"/>
          <w:sz w:val="24"/>
          <w:szCs w:val="24"/>
        </w:rPr>
        <w:t xml:space="preserve">interior monologue but </w:t>
      </w:r>
      <w:r w:rsidR="001A47BE" w:rsidRPr="00763436">
        <w:rPr>
          <w:rFonts w:ascii="Calibri" w:hAnsi="Calibri" w:cs="Calibri"/>
          <w:sz w:val="24"/>
          <w:szCs w:val="24"/>
        </w:rPr>
        <w:t xml:space="preserve">an </w:t>
      </w:r>
      <w:r w:rsidRPr="00763436">
        <w:rPr>
          <w:rFonts w:ascii="Calibri" w:hAnsi="Calibri" w:cs="Calibri"/>
          <w:sz w:val="24"/>
          <w:szCs w:val="24"/>
        </w:rPr>
        <w:t xml:space="preserve">inner experience, is </w:t>
      </w:r>
      <w:r w:rsidRPr="00763436">
        <w:rPr>
          <w:rFonts w:ascii="Calibri" w:hAnsi="Calibri" w:cs="Calibri"/>
          <w:i/>
          <w:sz w:val="24"/>
          <w:szCs w:val="24"/>
        </w:rPr>
        <w:t>entirely</w:t>
      </w:r>
      <w:r w:rsidRPr="00763436">
        <w:rPr>
          <w:rFonts w:ascii="Calibri" w:hAnsi="Calibri" w:cs="Calibri"/>
          <w:sz w:val="24"/>
          <w:szCs w:val="24"/>
        </w:rPr>
        <w:t xml:space="preserve"> unique in Ancient literature</w:t>
      </w:r>
      <w:r w:rsidR="008B68C9">
        <w:rPr>
          <w:rFonts w:ascii="Calibri" w:hAnsi="Calibri" w:cs="Calibri"/>
          <w:sz w:val="24"/>
          <w:szCs w:val="24"/>
        </w:rPr>
        <w:t>,</w:t>
      </w:r>
      <w:r w:rsidRPr="00763436">
        <w:rPr>
          <w:rFonts w:ascii="Calibri" w:hAnsi="Calibri" w:cs="Calibri"/>
          <w:sz w:val="24"/>
          <w:szCs w:val="24"/>
        </w:rPr>
        <w:t xml:space="preserve"> and prescient of Freudian analysis, in its exploration of repressed desire and wish fulfillment. As Gutzwiller (</w:t>
      </w:r>
      <w:r w:rsidR="007C5B5F" w:rsidRPr="00763436">
        <w:rPr>
          <w:rFonts w:ascii="Calibri" w:hAnsi="Calibri" w:cs="Calibri"/>
          <w:sz w:val="24"/>
          <w:szCs w:val="24"/>
        </w:rPr>
        <w:t>op cit</w:t>
      </w:r>
      <w:r w:rsidRPr="00763436">
        <w:rPr>
          <w:rFonts w:ascii="Calibri" w:hAnsi="Calibri" w:cs="Calibri"/>
          <w:sz w:val="24"/>
          <w:szCs w:val="24"/>
        </w:rPr>
        <w:t xml:space="preserve">) </w:t>
      </w:r>
      <w:r w:rsidR="00B63380" w:rsidRPr="00763436">
        <w:rPr>
          <w:rFonts w:ascii="Calibri" w:hAnsi="Calibri" w:cs="Calibri"/>
          <w:sz w:val="24"/>
          <w:szCs w:val="24"/>
        </w:rPr>
        <w:t>has argued, Apollonius’</w:t>
      </w:r>
      <w:r w:rsidR="00D466BB" w:rsidRPr="00763436">
        <w:rPr>
          <w:rFonts w:ascii="Calibri" w:hAnsi="Calibri" w:cs="Calibri"/>
          <w:sz w:val="24"/>
          <w:szCs w:val="24"/>
        </w:rPr>
        <w:t xml:space="preserve"> deeper use of interior monologue enables </w:t>
      </w:r>
      <w:r w:rsidR="001A47BE" w:rsidRPr="00763436">
        <w:rPr>
          <w:rFonts w:ascii="Calibri" w:hAnsi="Calibri" w:cs="Calibri"/>
          <w:sz w:val="24"/>
          <w:szCs w:val="24"/>
        </w:rPr>
        <w:t>him</w:t>
      </w:r>
      <w:r w:rsidR="00D466BB" w:rsidRPr="00763436">
        <w:rPr>
          <w:rFonts w:ascii="Calibri" w:hAnsi="Calibri" w:cs="Calibri"/>
          <w:sz w:val="24"/>
          <w:szCs w:val="24"/>
        </w:rPr>
        <w:t xml:space="preserve"> to explore </w:t>
      </w:r>
      <w:r w:rsidR="008D2344" w:rsidRPr="00763436">
        <w:rPr>
          <w:rFonts w:ascii="Calibri" w:hAnsi="Calibri" w:cs="Calibri"/>
          <w:sz w:val="24"/>
          <w:szCs w:val="24"/>
        </w:rPr>
        <w:t>“</w:t>
      </w:r>
      <w:r w:rsidR="001C657C" w:rsidRPr="00763436">
        <w:rPr>
          <w:rFonts w:ascii="Calibri" w:hAnsi="Calibri" w:cs="Calibri"/>
          <w:sz w:val="24"/>
          <w:szCs w:val="24"/>
        </w:rPr>
        <w:t xml:space="preserve">a more </w:t>
      </w:r>
      <w:r w:rsidR="008D2344" w:rsidRPr="00763436">
        <w:rPr>
          <w:rFonts w:ascii="Calibri" w:hAnsi="Calibri" w:cs="Calibri"/>
          <w:sz w:val="24"/>
          <w:szCs w:val="24"/>
        </w:rPr>
        <w:t xml:space="preserve">nuanced and realistic approach to </w:t>
      </w:r>
      <w:r w:rsidR="001C657C" w:rsidRPr="00763436">
        <w:rPr>
          <w:rFonts w:ascii="Calibri" w:hAnsi="Calibri" w:cs="Calibri"/>
          <w:sz w:val="24"/>
          <w:szCs w:val="24"/>
        </w:rPr>
        <w:t>ethical behavior</w:t>
      </w:r>
      <w:r w:rsidR="008D2344" w:rsidRPr="00763436">
        <w:rPr>
          <w:rFonts w:ascii="Calibri" w:hAnsi="Calibri" w:cs="Calibri"/>
          <w:sz w:val="24"/>
          <w:szCs w:val="24"/>
        </w:rPr>
        <w:t>”</w:t>
      </w:r>
      <w:r w:rsidR="00982B1F" w:rsidRPr="00763436">
        <w:rPr>
          <w:rFonts w:ascii="Calibri" w:hAnsi="Calibri" w:cs="Calibri"/>
          <w:sz w:val="24"/>
          <w:szCs w:val="24"/>
        </w:rPr>
        <w:t>, a</w:t>
      </w:r>
      <w:r w:rsidR="001C657C" w:rsidRPr="00763436">
        <w:rPr>
          <w:rFonts w:ascii="Calibri" w:hAnsi="Calibri" w:cs="Calibri"/>
          <w:sz w:val="24"/>
          <w:szCs w:val="24"/>
        </w:rPr>
        <w:t>nd</w:t>
      </w:r>
      <w:r w:rsidR="00982B1F" w:rsidRPr="00763436">
        <w:rPr>
          <w:rFonts w:ascii="Calibri" w:hAnsi="Calibri" w:cs="Calibri"/>
          <w:sz w:val="24"/>
          <w:szCs w:val="24"/>
        </w:rPr>
        <w:t xml:space="preserve"> I would argue</w:t>
      </w:r>
      <w:r w:rsidR="008B68C9">
        <w:rPr>
          <w:rFonts w:ascii="Calibri" w:hAnsi="Calibri" w:cs="Calibri"/>
          <w:sz w:val="24"/>
          <w:szCs w:val="24"/>
        </w:rPr>
        <w:t>,</w:t>
      </w:r>
      <w:r w:rsidR="00982B1F" w:rsidRPr="00763436">
        <w:rPr>
          <w:rFonts w:ascii="Calibri" w:hAnsi="Calibri" w:cs="Calibri"/>
          <w:sz w:val="24"/>
          <w:szCs w:val="24"/>
        </w:rPr>
        <w:t xml:space="preserve"> therefore, </w:t>
      </w:r>
      <w:r w:rsidR="008D2344" w:rsidRPr="00763436">
        <w:rPr>
          <w:rFonts w:ascii="Calibri" w:hAnsi="Calibri" w:cs="Calibri"/>
          <w:sz w:val="24"/>
          <w:szCs w:val="24"/>
        </w:rPr>
        <w:t xml:space="preserve">to </w:t>
      </w:r>
      <w:r w:rsidR="00B63380" w:rsidRPr="00763436">
        <w:rPr>
          <w:rFonts w:ascii="Calibri" w:hAnsi="Calibri" w:cs="Calibri"/>
          <w:sz w:val="24"/>
          <w:szCs w:val="24"/>
        </w:rPr>
        <w:t xml:space="preserve">explore </w:t>
      </w:r>
      <w:r w:rsidR="00982B1F" w:rsidRPr="00763436">
        <w:rPr>
          <w:rFonts w:ascii="Calibri" w:hAnsi="Calibri" w:cs="Calibri"/>
          <w:sz w:val="24"/>
          <w:szCs w:val="24"/>
        </w:rPr>
        <w:t xml:space="preserve">what it is to be human. </w:t>
      </w:r>
      <w:r w:rsidR="001C657C" w:rsidRPr="00763436">
        <w:rPr>
          <w:rFonts w:ascii="Calibri" w:hAnsi="Calibri" w:cs="Calibri"/>
          <w:sz w:val="24"/>
          <w:szCs w:val="24"/>
        </w:rPr>
        <w:t xml:space="preserve"> </w:t>
      </w:r>
    </w:p>
    <w:p w14:paraId="26557861" w14:textId="1FD4F8D6" w:rsidR="001C657C" w:rsidRPr="00763436" w:rsidRDefault="00D466BB" w:rsidP="00D466BB">
      <w:pPr>
        <w:rPr>
          <w:rFonts w:ascii="Calibri" w:hAnsi="Calibri" w:cs="Calibri"/>
          <w:sz w:val="24"/>
          <w:szCs w:val="24"/>
        </w:rPr>
      </w:pPr>
      <w:r w:rsidRPr="00763436">
        <w:rPr>
          <w:rFonts w:ascii="Calibri" w:hAnsi="Calibri" w:cs="Calibri"/>
          <w:sz w:val="24"/>
          <w:szCs w:val="24"/>
        </w:rPr>
        <w:t xml:space="preserve">Fourth, Apollonius is innovative in writing </w:t>
      </w:r>
      <w:r w:rsidR="001C657C" w:rsidRPr="00763436">
        <w:rPr>
          <w:rFonts w:ascii="Calibri" w:hAnsi="Calibri" w:cs="Calibri"/>
          <w:i/>
          <w:sz w:val="24"/>
          <w:szCs w:val="24"/>
        </w:rPr>
        <w:t>against</w:t>
      </w:r>
      <w:r w:rsidR="001C657C" w:rsidRPr="00763436">
        <w:rPr>
          <w:rFonts w:ascii="Calibri" w:hAnsi="Calibri" w:cs="Calibri"/>
          <w:sz w:val="24"/>
          <w:szCs w:val="24"/>
        </w:rPr>
        <w:t xml:space="preserve"> the ‘barbarian’ scapegoating and</w:t>
      </w:r>
      <w:r w:rsidR="008B68C9">
        <w:rPr>
          <w:rFonts w:ascii="Calibri" w:hAnsi="Calibri" w:cs="Calibri"/>
          <w:sz w:val="24"/>
          <w:szCs w:val="24"/>
        </w:rPr>
        <w:t xml:space="preserve"> Girardian</w:t>
      </w:r>
      <w:r w:rsidR="001C657C" w:rsidRPr="00763436">
        <w:rPr>
          <w:rFonts w:ascii="Calibri" w:hAnsi="Calibri" w:cs="Calibri"/>
          <w:sz w:val="24"/>
          <w:szCs w:val="24"/>
        </w:rPr>
        <w:t xml:space="preserve"> ‘othering’ of Medea (</w:t>
      </w:r>
      <w:r w:rsidR="0053601E">
        <w:rPr>
          <w:rFonts w:ascii="Calibri" w:hAnsi="Calibri" w:cs="Calibri"/>
          <w:sz w:val="24"/>
          <w:szCs w:val="24"/>
        </w:rPr>
        <w:t xml:space="preserve">see </w:t>
      </w:r>
      <w:r w:rsidR="001C657C" w:rsidRPr="00763436">
        <w:rPr>
          <w:rFonts w:ascii="Calibri" w:hAnsi="Calibri" w:cs="Calibri"/>
          <w:sz w:val="24"/>
          <w:szCs w:val="24"/>
        </w:rPr>
        <w:t>Vernant</w:t>
      </w:r>
      <w:r w:rsidR="00982B1F" w:rsidRPr="00763436">
        <w:rPr>
          <w:rFonts w:ascii="Calibri" w:hAnsi="Calibri" w:cs="Calibri"/>
          <w:sz w:val="24"/>
          <w:szCs w:val="24"/>
        </w:rPr>
        <w:t>, in Zeitlin</w:t>
      </w:r>
      <w:r w:rsidR="0092631C" w:rsidRPr="00763436">
        <w:rPr>
          <w:rFonts w:ascii="Calibri" w:hAnsi="Calibri" w:cs="Calibri"/>
          <w:sz w:val="24"/>
          <w:szCs w:val="24"/>
        </w:rPr>
        <w:t>, F ed,</w:t>
      </w:r>
      <w:r w:rsidR="00982B1F" w:rsidRPr="00763436">
        <w:rPr>
          <w:rFonts w:ascii="Calibri" w:hAnsi="Calibri" w:cs="Calibri"/>
          <w:sz w:val="24"/>
          <w:szCs w:val="24"/>
        </w:rPr>
        <w:t xml:space="preserve"> 1991</w:t>
      </w:r>
      <w:r w:rsidR="001C657C" w:rsidRPr="00763436">
        <w:rPr>
          <w:rFonts w:ascii="Calibri" w:hAnsi="Calibri" w:cs="Calibri"/>
          <w:sz w:val="24"/>
          <w:szCs w:val="24"/>
        </w:rPr>
        <w:t xml:space="preserve">) in </w:t>
      </w:r>
      <w:r w:rsidR="00982B1F" w:rsidRPr="00763436">
        <w:rPr>
          <w:rFonts w:ascii="Calibri" w:hAnsi="Calibri" w:cs="Calibri"/>
          <w:sz w:val="24"/>
          <w:szCs w:val="24"/>
        </w:rPr>
        <w:t>other extant</w:t>
      </w:r>
      <w:r w:rsidR="001C657C" w:rsidRPr="00763436">
        <w:rPr>
          <w:rFonts w:ascii="Calibri" w:hAnsi="Calibri" w:cs="Calibri"/>
          <w:sz w:val="24"/>
          <w:szCs w:val="24"/>
        </w:rPr>
        <w:t xml:space="preserve"> texts</w:t>
      </w:r>
      <w:r w:rsidR="00982B1F" w:rsidRPr="00763436">
        <w:rPr>
          <w:rFonts w:ascii="Calibri" w:hAnsi="Calibri" w:cs="Calibri"/>
          <w:sz w:val="24"/>
          <w:szCs w:val="24"/>
        </w:rPr>
        <w:t xml:space="preserve"> and versions of the myth</w:t>
      </w:r>
      <w:r w:rsidR="001C657C" w:rsidRPr="00763436">
        <w:rPr>
          <w:rFonts w:ascii="Calibri" w:hAnsi="Calibri" w:cs="Calibri"/>
          <w:sz w:val="24"/>
          <w:szCs w:val="24"/>
        </w:rPr>
        <w:t xml:space="preserve"> </w:t>
      </w:r>
      <w:r w:rsidRPr="00763436">
        <w:rPr>
          <w:rFonts w:ascii="Calibri" w:hAnsi="Calibri" w:cs="Calibri"/>
          <w:sz w:val="24"/>
          <w:szCs w:val="24"/>
        </w:rPr>
        <w:t>(Vellacott</w:t>
      </w:r>
      <w:r w:rsidR="00982B1F" w:rsidRPr="00763436">
        <w:rPr>
          <w:rFonts w:ascii="Calibri" w:hAnsi="Calibri" w:cs="Calibri"/>
          <w:sz w:val="24"/>
          <w:szCs w:val="24"/>
        </w:rPr>
        <w:t xml:space="preserve">, </w:t>
      </w:r>
      <w:r w:rsidR="0053601E">
        <w:rPr>
          <w:rFonts w:ascii="Calibri" w:hAnsi="Calibri" w:cs="Calibri"/>
          <w:sz w:val="24"/>
          <w:szCs w:val="24"/>
        </w:rPr>
        <w:t>I</w:t>
      </w:r>
      <w:r w:rsidR="0092631C" w:rsidRPr="00763436">
        <w:rPr>
          <w:rFonts w:ascii="Calibri" w:hAnsi="Calibri" w:cs="Calibri"/>
          <w:sz w:val="24"/>
          <w:szCs w:val="24"/>
        </w:rPr>
        <w:t xml:space="preserve">ntroduction to his translation of Eurpides, </w:t>
      </w:r>
      <w:r w:rsidR="00982B1F" w:rsidRPr="00763436">
        <w:rPr>
          <w:rFonts w:ascii="Calibri" w:hAnsi="Calibri" w:cs="Calibri"/>
          <w:sz w:val="24"/>
          <w:szCs w:val="24"/>
        </w:rPr>
        <w:t>1963</w:t>
      </w:r>
      <w:r w:rsidRPr="00763436">
        <w:rPr>
          <w:rFonts w:ascii="Calibri" w:hAnsi="Calibri" w:cs="Calibri"/>
          <w:sz w:val="24"/>
          <w:szCs w:val="24"/>
        </w:rPr>
        <w:t>). In showing a complex, multi-faceted and human Medea, Apollonius refuses simply to demo</w:t>
      </w:r>
      <w:r w:rsidR="008B68C9">
        <w:rPr>
          <w:rFonts w:ascii="Calibri" w:hAnsi="Calibri" w:cs="Calibri"/>
          <w:sz w:val="24"/>
          <w:szCs w:val="24"/>
        </w:rPr>
        <w:t>nise her as a barbarian ‘other’. This stands</w:t>
      </w:r>
      <w:r w:rsidRPr="00763436">
        <w:rPr>
          <w:rFonts w:ascii="Calibri" w:hAnsi="Calibri" w:cs="Calibri"/>
          <w:sz w:val="24"/>
          <w:szCs w:val="24"/>
        </w:rPr>
        <w:t xml:space="preserve"> in</w:t>
      </w:r>
      <w:r w:rsidR="008B68C9">
        <w:rPr>
          <w:rFonts w:ascii="Calibri" w:hAnsi="Calibri" w:cs="Calibri"/>
          <w:sz w:val="24"/>
          <w:szCs w:val="24"/>
        </w:rPr>
        <w:t xml:space="preserve"> sharp</w:t>
      </w:r>
      <w:r w:rsidRPr="00763436">
        <w:rPr>
          <w:rFonts w:ascii="Calibri" w:hAnsi="Calibri" w:cs="Calibri"/>
          <w:sz w:val="24"/>
          <w:szCs w:val="24"/>
        </w:rPr>
        <w:t xml:space="preserve"> contrast to </w:t>
      </w:r>
      <w:r w:rsidR="00982B1F" w:rsidRPr="00763436">
        <w:rPr>
          <w:rFonts w:ascii="Calibri" w:hAnsi="Calibri" w:cs="Calibri"/>
          <w:sz w:val="24"/>
          <w:szCs w:val="24"/>
        </w:rPr>
        <w:t xml:space="preserve">the </w:t>
      </w:r>
      <w:r w:rsidRPr="00763436">
        <w:rPr>
          <w:rFonts w:ascii="Calibri" w:hAnsi="Calibri" w:cs="Calibri"/>
          <w:sz w:val="24"/>
          <w:szCs w:val="24"/>
        </w:rPr>
        <w:t xml:space="preserve">other </w:t>
      </w:r>
      <w:r w:rsidR="00982B1F" w:rsidRPr="00763436">
        <w:rPr>
          <w:rFonts w:ascii="Calibri" w:hAnsi="Calibri" w:cs="Calibri"/>
          <w:sz w:val="24"/>
          <w:szCs w:val="24"/>
        </w:rPr>
        <w:t>surviving</w:t>
      </w:r>
      <w:r w:rsidRPr="00763436">
        <w:rPr>
          <w:rFonts w:ascii="Calibri" w:hAnsi="Calibri" w:cs="Calibri"/>
          <w:sz w:val="24"/>
          <w:szCs w:val="24"/>
        </w:rPr>
        <w:t xml:space="preserve"> texts and versions of Medea that we know from both Euripides (who it seems, may have invented the version of Medea as the murderer of her ow</w:t>
      </w:r>
      <w:r w:rsidR="008B68C9">
        <w:rPr>
          <w:rFonts w:ascii="Calibri" w:hAnsi="Calibri" w:cs="Calibri"/>
          <w:sz w:val="24"/>
          <w:szCs w:val="24"/>
        </w:rPr>
        <w:t xml:space="preserve">n children) and Pindar’s Medea, </w:t>
      </w:r>
      <w:r w:rsidRPr="00763436">
        <w:rPr>
          <w:rFonts w:ascii="Calibri" w:hAnsi="Calibri" w:cs="Calibri"/>
          <w:sz w:val="24"/>
          <w:szCs w:val="24"/>
        </w:rPr>
        <w:t xml:space="preserve">which </w:t>
      </w:r>
      <w:r w:rsidR="008B68C9">
        <w:rPr>
          <w:rFonts w:ascii="Calibri" w:hAnsi="Calibri" w:cs="Calibri"/>
          <w:sz w:val="24"/>
          <w:szCs w:val="24"/>
        </w:rPr>
        <w:t>concentrates</w:t>
      </w:r>
      <w:r w:rsidRPr="00763436">
        <w:rPr>
          <w:rFonts w:ascii="Calibri" w:hAnsi="Calibri" w:cs="Calibri"/>
          <w:sz w:val="24"/>
          <w:szCs w:val="24"/>
        </w:rPr>
        <w:t xml:space="preserve"> on her ‘otherness’</w:t>
      </w:r>
      <w:r w:rsidR="008B68C9">
        <w:rPr>
          <w:rFonts w:ascii="Calibri" w:hAnsi="Calibri" w:cs="Calibri"/>
          <w:sz w:val="24"/>
          <w:szCs w:val="24"/>
        </w:rPr>
        <w:t xml:space="preserve"> </w:t>
      </w:r>
      <w:r w:rsidR="001C657C" w:rsidRPr="00763436">
        <w:rPr>
          <w:rFonts w:ascii="Calibri" w:hAnsi="Calibri" w:cs="Calibri"/>
          <w:sz w:val="24"/>
          <w:szCs w:val="24"/>
        </w:rPr>
        <w:t>(</w:t>
      </w:r>
      <w:r w:rsidR="0092631C" w:rsidRPr="00763436">
        <w:rPr>
          <w:rFonts w:ascii="Calibri" w:hAnsi="Calibri" w:cs="Calibri"/>
          <w:sz w:val="24"/>
          <w:szCs w:val="24"/>
        </w:rPr>
        <w:t>O’</w:t>
      </w:r>
      <w:r w:rsidR="001C657C" w:rsidRPr="00763436">
        <w:rPr>
          <w:rFonts w:ascii="Calibri" w:hAnsi="Calibri" w:cs="Calibri"/>
          <w:sz w:val="24"/>
          <w:szCs w:val="24"/>
        </w:rPr>
        <w:t>Higgins</w:t>
      </w:r>
      <w:r w:rsidR="00D23659" w:rsidRPr="00763436">
        <w:rPr>
          <w:rFonts w:ascii="Calibri" w:hAnsi="Calibri" w:cs="Calibri"/>
          <w:sz w:val="24"/>
          <w:szCs w:val="24"/>
        </w:rPr>
        <w:t xml:space="preserve">, in Clauss </w:t>
      </w:r>
      <w:r w:rsidR="0092631C" w:rsidRPr="00763436">
        <w:rPr>
          <w:rFonts w:ascii="Calibri" w:hAnsi="Calibri" w:cs="Calibri"/>
          <w:sz w:val="24"/>
          <w:szCs w:val="24"/>
        </w:rPr>
        <w:t xml:space="preserve">and Johnston </w:t>
      </w:r>
      <w:r w:rsidR="00D23659" w:rsidRPr="00763436">
        <w:rPr>
          <w:rFonts w:ascii="Calibri" w:hAnsi="Calibri" w:cs="Calibri"/>
          <w:sz w:val="24"/>
          <w:szCs w:val="24"/>
        </w:rPr>
        <w:t>ed</w:t>
      </w:r>
      <w:r w:rsidR="0092631C" w:rsidRPr="00763436">
        <w:rPr>
          <w:rFonts w:ascii="Calibri" w:hAnsi="Calibri" w:cs="Calibri"/>
          <w:sz w:val="24"/>
          <w:szCs w:val="24"/>
        </w:rPr>
        <w:t>, 1997</w:t>
      </w:r>
      <w:r w:rsidR="001C657C" w:rsidRPr="00763436">
        <w:rPr>
          <w:rFonts w:ascii="Calibri" w:hAnsi="Calibri" w:cs="Calibri"/>
          <w:sz w:val="24"/>
          <w:szCs w:val="24"/>
        </w:rPr>
        <w:t xml:space="preserve">). </w:t>
      </w:r>
    </w:p>
    <w:p w14:paraId="5ECE3594" w14:textId="7590FE5F" w:rsidR="008B68C9" w:rsidRPr="00763436" w:rsidRDefault="000A4922" w:rsidP="008B68C9">
      <w:pPr>
        <w:rPr>
          <w:rFonts w:ascii="Calibri" w:hAnsi="Calibri" w:cs="Calibri"/>
          <w:sz w:val="24"/>
          <w:szCs w:val="24"/>
        </w:rPr>
      </w:pPr>
      <w:r w:rsidRPr="00763436">
        <w:rPr>
          <w:rFonts w:ascii="Calibri" w:hAnsi="Calibri" w:cs="Calibri"/>
          <w:sz w:val="24"/>
          <w:szCs w:val="24"/>
        </w:rPr>
        <w:t>In conclusion to this section then, these four aspects have shown</w:t>
      </w:r>
      <w:r w:rsidR="00D466BB" w:rsidRPr="00763436">
        <w:rPr>
          <w:rFonts w:ascii="Calibri" w:hAnsi="Calibri" w:cs="Calibri"/>
          <w:sz w:val="24"/>
          <w:szCs w:val="24"/>
        </w:rPr>
        <w:t xml:space="preserve"> the extent of the innovation that </w:t>
      </w:r>
      <w:r w:rsidR="001C657C" w:rsidRPr="00763436">
        <w:rPr>
          <w:rFonts w:ascii="Calibri" w:hAnsi="Calibri" w:cs="Calibri"/>
          <w:sz w:val="24"/>
          <w:szCs w:val="24"/>
        </w:rPr>
        <w:t xml:space="preserve">Apollonius </w:t>
      </w:r>
      <w:r w:rsidRPr="00763436">
        <w:rPr>
          <w:rFonts w:ascii="Calibri" w:hAnsi="Calibri" w:cs="Calibri"/>
          <w:sz w:val="24"/>
          <w:szCs w:val="24"/>
        </w:rPr>
        <w:t>w</w:t>
      </w:r>
      <w:r w:rsidR="001C657C" w:rsidRPr="00763436">
        <w:rPr>
          <w:rFonts w:ascii="Calibri" w:hAnsi="Calibri" w:cs="Calibri"/>
          <w:sz w:val="24"/>
          <w:szCs w:val="24"/>
        </w:rPr>
        <w:t>as</w:t>
      </w:r>
      <w:r w:rsidRPr="00763436">
        <w:rPr>
          <w:rFonts w:ascii="Calibri" w:hAnsi="Calibri" w:cs="Calibri"/>
          <w:sz w:val="24"/>
          <w:szCs w:val="24"/>
        </w:rPr>
        <w:t xml:space="preserve"> undertaking</w:t>
      </w:r>
      <w:r w:rsidR="00D466BB" w:rsidRPr="00763436">
        <w:rPr>
          <w:rFonts w:ascii="Calibri" w:hAnsi="Calibri" w:cs="Calibri"/>
          <w:sz w:val="24"/>
          <w:szCs w:val="24"/>
        </w:rPr>
        <w:t xml:space="preserve">, in </w:t>
      </w:r>
      <w:r w:rsidR="00BE64A7">
        <w:rPr>
          <w:rFonts w:ascii="Calibri" w:hAnsi="Calibri" w:cs="Calibri"/>
          <w:sz w:val="24"/>
          <w:szCs w:val="24"/>
        </w:rPr>
        <w:t xml:space="preserve">what Fusillo (op cit) has called </w:t>
      </w:r>
      <w:r w:rsidR="00D466BB" w:rsidRPr="00763436">
        <w:rPr>
          <w:rFonts w:ascii="Calibri" w:hAnsi="Calibri" w:cs="Calibri"/>
          <w:sz w:val="24"/>
          <w:szCs w:val="24"/>
        </w:rPr>
        <w:t xml:space="preserve">his </w:t>
      </w:r>
      <w:r w:rsidRPr="00763436">
        <w:rPr>
          <w:rFonts w:ascii="Calibri" w:hAnsi="Calibri" w:cs="Calibri"/>
          <w:sz w:val="24"/>
          <w:szCs w:val="24"/>
        </w:rPr>
        <w:t>deliberately</w:t>
      </w:r>
      <w:r w:rsidR="008B68C9">
        <w:rPr>
          <w:rFonts w:ascii="Calibri" w:hAnsi="Calibri" w:cs="Calibri"/>
          <w:sz w:val="24"/>
          <w:szCs w:val="24"/>
        </w:rPr>
        <w:t xml:space="preserve"> “</w:t>
      </w:r>
      <w:r w:rsidR="008B68C9" w:rsidRPr="00763436">
        <w:rPr>
          <w:rFonts w:ascii="Calibri" w:hAnsi="Calibri" w:cs="Calibri"/>
          <w:sz w:val="24"/>
          <w:szCs w:val="24"/>
        </w:rPr>
        <w:t xml:space="preserve">modern and experimental re-writing of a canonical genre.” </w:t>
      </w:r>
    </w:p>
    <w:p w14:paraId="37F7E187" w14:textId="690F8126" w:rsidR="001C657C" w:rsidRPr="00763436" w:rsidRDefault="00D466BB" w:rsidP="000A4922">
      <w:pPr>
        <w:rPr>
          <w:rFonts w:ascii="Calibri" w:hAnsi="Calibri" w:cs="Calibri"/>
          <w:sz w:val="24"/>
          <w:szCs w:val="24"/>
        </w:rPr>
      </w:pPr>
      <w:r w:rsidRPr="00763436">
        <w:rPr>
          <w:rFonts w:ascii="Calibri" w:hAnsi="Calibri" w:cs="Calibri"/>
          <w:sz w:val="24"/>
          <w:szCs w:val="24"/>
        </w:rPr>
        <w:t>Apollonius, particularly in his creation of the character of Medea,</w:t>
      </w:r>
      <w:r w:rsidR="00E238C5">
        <w:rPr>
          <w:rFonts w:ascii="Calibri" w:hAnsi="Calibri" w:cs="Calibri"/>
          <w:sz w:val="24"/>
          <w:szCs w:val="24"/>
        </w:rPr>
        <w:t xml:space="preserve"> clearly </w:t>
      </w:r>
      <w:r w:rsidR="00982B1F" w:rsidRPr="00763436">
        <w:rPr>
          <w:rFonts w:ascii="Calibri" w:hAnsi="Calibri" w:cs="Calibri"/>
          <w:sz w:val="24"/>
          <w:szCs w:val="24"/>
        </w:rPr>
        <w:t>chose carefully</w:t>
      </w:r>
      <w:r w:rsidRPr="00763436">
        <w:rPr>
          <w:rFonts w:ascii="Calibri" w:hAnsi="Calibri" w:cs="Calibri"/>
          <w:sz w:val="24"/>
          <w:szCs w:val="24"/>
        </w:rPr>
        <w:t xml:space="preserve"> among the many options available to him, </w:t>
      </w:r>
      <w:r w:rsidR="00E72221" w:rsidRPr="00763436">
        <w:rPr>
          <w:rFonts w:ascii="Calibri" w:hAnsi="Calibri" w:cs="Calibri"/>
          <w:sz w:val="24"/>
          <w:szCs w:val="24"/>
        </w:rPr>
        <w:t>(including for example in relation to</w:t>
      </w:r>
      <w:r w:rsidR="008B68C9">
        <w:rPr>
          <w:rFonts w:ascii="Calibri" w:hAnsi="Calibri" w:cs="Calibri"/>
          <w:sz w:val="24"/>
          <w:szCs w:val="24"/>
        </w:rPr>
        <w:t xml:space="preserve"> his version of</w:t>
      </w:r>
      <w:r w:rsidR="00E72221" w:rsidRPr="00763436">
        <w:rPr>
          <w:rFonts w:ascii="Calibri" w:hAnsi="Calibri" w:cs="Calibri"/>
          <w:sz w:val="24"/>
          <w:szCs w:val="24"/>
        </w:rPr>
        <w:t xml:space="preserve"> the death of </w:t>
      </w:r>
      <w:r w:rsidR="008B68C9">
        <w:rPr>
          <w:rFonts w:ascii="Calibri" w:hAnsi="Calibri" w:cs="Calibri"/>
          <w:sz w:val="24"/>
          <w:szCs w:val="24"/>
        </w:rPr>
        <w:t xml:space="preserve">her brother, </w:t>
      </w:r>
      <w:r w:rsidR="00E72221" w:rsidRPr="00763436">
        <w:rPr>
          <w:rFonts w:ascii="Calibri" w:hAnsi="Calibri" w:cs="Calibri"/>
          <w:sz w:val="24"/>
          <w:szCs w:val="24"/>
        </w:rPr>
        <w:t xml:space="preserve">Apsyrtus) </w:t>
      </w:r>
      <w:r w:rsidR="00982B1F" w:rsidRPr="00763436">
        <w:rPr>
          <w:rFonts w:ascii="Calibri" w:hAnsi="Calibri" w:cs="Calibri"/>
          <w:sz w:val="24"/>
          <w:szCs w:val="24"/>
        </w:rPr>
        <w:t xml:space="preserve">and wrote his own version of her, </w:t>
      </w:r>
      <w:r w:rsidR="00E72221" w:rsidRPr="00763436">
        <w:rPr>
          <w:rFonts w:ascii="Calibri" w:hAnsi="Calibri" w:cs="Calibri"/>
          <w:sz w:val="24"/>
          <w:szCs w:val="24"/>
        </w:rPr>
        <w:t xml:space="preserve">enabling him to </w:t>
      </w:r>
      <w:r w:rsidRPr="00763436">
        <w:rPr>
          <w:rFonts w:ascii="Calibri" w:hAnsi="Calibri" w:cs="Calibri"/>
          <w:sz w:val="24"/>
          <w:szCs w:val="24"/>
        </w:rPr>
        <w:t xml:space="preserve">emphasize both her </w:t>
      </w:r>
      <w:r w:rsidR="00E72221" w:rsidRPr="00763436">
        <w:rPr>
          <w:rFonts w:ascii="Calibri" w:hAnsi="Calibri" w:cs="Calibri"/>
          <w:sz w:val="24"/>
          <w:szCs w:val="24"/>
        </w:rPr>
        <w:t xml:space="preserve">human </w:t>
      </w:r>
      <w:r w:rsidRPr="00763436">
        <w:rPr>
          <w:rFonts w:ascii="Calibri" w:hAnsi="Calibri" w:cs="Calibri"/>
          <w:sz w:val="24"/>
          <w:szCs w:val="24"/>
        </w:rPr>
        <w:t xml:space="preserve">vulnerability and her power. The final question I want to address therefore is – </w:t>
      </w:r>
      <w:r w:rsidRPr="00763436">
        <w:rPr>
          <w:rFonts w:ascii="Calibri" w:hAnsi="Calibri" w:cs="Calibri"/>
          <w:i/>
          <w:sz w:val="24"/>
          <w:szCs w:val="24"/>
        </w:rPr>
        <w:t>why?</w:t>
      </w:r>
      <w:r w:rsidRPr="00763436">
        <w:rPr>
          <w:rFonts w:ascii="Calibri" w:hAnsi="Calibri" w:cs="Calibri"/>
          <w:sz w:val="24"/>
          <w:szCs w:val="24"/>
        </w:rPr>
        <w:t xml:space="preserve"> </w:t>
      </w:r>
      <w:r w:rsidR="00E238C5">
        <w:rPr>
          <w:rFonts w:ascii="Calibri" w:hAnsi="Calibri" w:cs="Calibri"/>
          <w:sz w:val="24"/>
          <w:szCs w:val="24"/>
        </w:rPr>
        <w:t>What prompted him to innovate in this way? To answer this</w:t>
      </w:r>
      <w:r w:rsidRPr="00763436">
        <w:rPr>
          <w:rFonts w:ascii="Calibri" w:hAnsi="Calibri" w:cs="Calibri"/>
          <w:sz w:val="24"/>
          <w:szCs w:val="24"/>
        </w:rPr>
        <w:t>, we need to set Apollonius more clearly within the historical, cultural and literary context in which he was writing.</w:t>
      </w:r>
    </w:p>
    <w:p w14:paraId="300766DD" w14:textId="77777777" w:rsidR="001C657C" w:rsidRPr="00763436" w:rsidRDefault="001C657C" w:rsidP="001C657C">
      <w:pPr>
        <w:rPr>
          <w:rFonts w:ascii="Calibri" w:hAnsi="Calibri" w:cs="Calibri"/>
          <w:b/>
          <w:sz w:val="24"/>
          <w:szCs w:val="24"/>
        </w:rPr>
      </w:pPr>
      <w:r w:rsidRPr="00763436">
        <w:rPr>
          <w:rFonts w:ascii="Calibri" w:hAnsi="Calibri" w:cs="Calibri"/>
          <w:b/>
          <w:sz w:val="24"/>
          <w:szCs w:val="24"/>
        </w:rPr>
        <w:lastRenderedPageBreak/>
        <w:t>Apollonius in his historical context:</w:t>
      </w:r>
    </w:p>
    <w:p w14:paraId="2701EDD9" w14:textId="4156B479" w:rsidR="001C657C" w:rsidRPr="00763436" w:rsidRDefault="001C657C" w:rsidP="001C657C">
      <w:pPr>
        <w:rPr>
          <w:rFonts w:ascii="Calibri" w:hAnsi="Calibri" w:cs="Calibri"/>
          <w:sz w:val="24"/>
          <w:szCs w:val="24"/>
        </w:rPr>
      </w:pPr>
      <w:r w:rsidRPr="00763436">
        <w:rPr>
          <w:rFonts w:ascii="Calibri" w:hAnsi="Calibri" w:cs="Calibri"/>
          <w:sz w:val="24"/>
          <w:szCs w:val="24"/>
        </w:rPr>
        <w:t xml:space="preserve">To understand why Apollonius chose to innovate with Medea’s character and role in the way he did we need to </w:t>
      </w:r>
      <w:r w:rsidR="00982B1F" w:rsidRPr="00763436">
        <w:rPr>
          <w:rFonts w:ascii="Calibri" w:hAnsi="Calibri" w:cs="Calibri"/>
          <w:sz w:val="24"/>
          <w:szCs w:val="24"/>
        </w:rPr>
        <w:t>understand his work</w:t>
      </w:r>
      <w:r w:rsidRPr="00763436">
        <w:rPr>
          <w:rFonts w:ascii="Calibri" w:hAnsi="Calibri" w:cs="Calibri"/>
          <w:sz w:val="24"/>
          <w:szCs w:val="24"/>
        </w:rPr>
        <w:t xml:space="preserve"> </w:t>
      </w:r>
      <w:r w:rsidR="00982B1F" w:rsidRPr="00763436">
        <w:rPr>
          <w:rFonts w:ascii="Calibri" w:hAnsi="Calibri" w:cs="Calibri"/>
          <w:sz w:val="24"/>
          <w:szCs w:val="24"/>
        </w:rPr>
        <w:t>with</w:t>
      </w:r>
      <w:r w:rsidRPr="00763436">
        <w:rPr>
          <w:rFonts w:ascii="Calibri" w:hAnsi="Calibri" w:cs="Calibri"/>
          <w:sz w:val="24"/>
          <w:szCs w:val="24"/>
        </w:rPr>
        <w:t>in his historical</w:t>
      </w:r>
      <w:r w:rsidR="00982B1F" w:rsidRPr="00763436">
        <w:rPr>
          <w:rFonts w:ascii="Calibri" w:hAnsi="Calibri" w:cs="Calibri"/>
          <w:sz w:val="24"/>
          <w:szCs w:val="24"/>
        </w:rPr>
        <w:t>, cultural</w:t>
      </w:r>
      <w:r w:rsidRPr="00763436">
        <w:rPr>
          <w:rFonts w:ascii="Calibri" w:hAnsi="Calibri" w:cs="Calibri"/>
          <w:sz w:val="24"/>
          <w:szCs w:val="24"/>
        </w:rPr>
        <w:t xml:space="preserve"> and geographic context. </w:t>
      </w:r>
      <w:r w:rsidR="00982B1F" w:rsidRPr="00763436">
        <w:rPr>
          <w:rFonts w:ascii="Calibri" w:hAnsi="Calibri" w:cs="Calibri"/>
          <w:sz w:val="24"/>
          <w:szCs w:val="24"/>
        </w:rPr>
        <w:t>This insight, as Gutzwiller</w:t>
      </w:r>
      <w:r w:rsidR="00BE64A7">
        <w:rPr>
          <w:rFonts w:ascii="Calibri" w:hAnsi="Calibri" w:cs="Calibri"/>
          <w:sz w:val="24"/>
          <w:szCs w:val="24"/>
        </w:rPr>
        <w:t xml:space="preserve"> (op cit)</w:t>
      </w:r>
      <w:r w:rsidR="00982B1F" w:rsidRPr="00763436">
        <w:rPr>
          <w:rFonts w:ascii="Calibri" w:hAnsi="Calibri" w:cs="Calibri"/>
          <w:sz w:val="24"/>
          <w:szCs w:val="24"/>
        </w:rPr>
        <w:t xml:space="preserve"> argues, is at the heart of the “new historicism</w:t>
      </w:r>
      <w:r w:rsidR="008B68C9">
        <w:rPr>
          <w:rFonts w:ascii="Calibri" w:hAnsi="Calibri" w:cs="Calibri"/>
          <w:sz w:val="24"/>
          <w:szCs w:val="24"/>
        </w:rPr>
        <w:t>” in approaching literary texts.</w:t>
      </w:r>
      <w:r w:rsidRPr="00763436">
        <w:rPr>
          <w:rFonts w:ascii="Calibri" w:hAnsi="Calibri" w:cs="Calibri"/>
          <w:sz w:val="24"/>
          <w:szCs w:val="24"/>
        </w:rPr>
        <w:t xml:space="preserve"> </w:t>
      </w:r>
      <w:r w:rsidR="00982B1F" w:rsidRPr="00763436">
        <w:rPr>
          <w:rFonts w:ascii="Calibri" w:hAnsi="Calibri" w:cs="Calibri"/>
          <w:sz w:val="24"/>
          <w:szCs w:val="24"/>
        </w:rPr>
        <w:t xml:space="preserve">Four key elements give us an insight into what motivated and enabled Apollonius’ innovation in the writing of the </w:t>
      </w:r>
      <w:r w:rsidR="00982B1F" w:rsidRPr="00E238C5">
        <w:rPr>
          <w:rFonts w:ascii="Calibri" w:hAnsi="Calibri" w:cs="Calibri"/>
          <w:i/>
          <w:sz w:val="24"/>
          <w:szCs w:val="24"/>
        </w:rPr>
        <w:t>Argonautica</w:t>
      </w:r>
      <w:r w:rsidR="00982B1F" w:rsidRPr="00763436">
        <w:rPr>
          <w:rFonts w:ascii="Calibri" w:hAnsi="Calibri" w:cs="Calibri"/>
          <w:sz w:val="24"/>
          <w:szCs w:val="24"/>
        </w:rPr>
        <w:t xml:space="preserve">. </w:t>
      </w:r>
    </w:p>
    <w:p w14:paraId="7EC8BF9D" w14:textId="69782796" w:rsidR="006E32F7" w:rsidRPr="00763436" w:rsidRDefault="008224A8" w:rsidP="00982B1F">
      <w:pPr>
        <w:rPr>
          <w:rFonts w:ascii="Calibri" w:hAnsi="Calibri" w:cs="Calibri"/>
          <w:sz w:val="24"/>
          <w:szCs w:val="24"/>
        </w:rPr>
      </w:pPr>
      <w:r w:rsidRPr="00763436">
        <w:rPr>
          <w:rFonts w:ascii="Calibri" w:hAnsi="Calibri" w:cs="Calibri"/>
          <w:sz w:val="24"/>
          <w:szCs w:val="24"/>
        </w:rPr>
        <w:t xml:space="preserve">First, Apollonius was </w:t>
      </w:r>
      <w:r w:rsidR="00982B1F" w:rsidRPr="00763436">
        <w:rPr>
          <w:rFonts w:ascii="Calibri" w:hAnsi="Calibri" w:cs="Calibri"/>
          <w:sz w:val="24"/>
          <w:szCs w:val="24"/>
        </w:rPr>
        <w:t>writing within the highly erudite and literary conte</w:t>
      </w:r>
      <w:r w:rsidRPr="00763436">
        <w:rPr>
          <w:rFonts w:ascii="Calibri" w:hAnsi="Calibri" w:cs="Calibri"/>
          <w:sz w:val="24"/>
          <w:szCs w:val="24"/>
        </w:rPr>
        <w:t>xt of Alexandria in the T</w:t>
      </w:r>
      <w:r w:rsidR="00982B1F" w:rsidRPr="00763436">
        <w:rPr>
          <w:rFonts w:ascii="Calibri" w:hAnsi="Calibri" w:cs="Calibri"/>
          <w:sz w:val="24"/>
          <w:szCs w:val="24"/>
        </w:rPr>
        <w:t xml:space="preserve">hird Century BC. He himself was extremely well read, and was indeed the librarian of the greatest library in the world at </w:t>
      </w:r>
      <w:r w:rsidRPr="00763436">
        <w:rPr>
          <w:rFonts w:ascii="Calibri" w:hAnsi="Calibri" w:cs="Calibri"/>
          <w:sz w:val="24"/>
          <w:szCs w:val="24"/>
        </w:rPr>
        <w:t>Alexandria</w:t>
      </w:r>
      <w:r w:rsidR="00982B1F" w:rsidRPr="00763436">
        <w:rPr>
          <w:rFonts w:ascii="Calibri" w:hAnsi="Calibri" w:cs="Calibri"/>
          <w:sz w:val="24"/>
          <w:szCs w:val="24"/>
        </w:rPr>
        <w:t>, built by the Ptolomies to bring together all of existing Gr</w:t>
      </w:r>
      <w:r w:rsidR="006E32F7" w:rsidRPr="00763436">
        <w:rPr>
          <w:rFonts w:ascii="Calibri" w:hAnsi="Calibri" w:cs="Calibri"/>
          <w:sz w:val="24"/>
          <w:szCs w:val="24"/>
        </w:rPr>
        <w:t>eek and other known literature. The Greek literary elite within the city were living at a time of great literary energy and innovation, revisiting of the interpretati</w:t>
      </w:r>
      <w:r w:rsidR="00E238C5">
        <w:rPr>
          <w:rFonts w:ascii="Calibri" w:hAnsi="Calibri" w:cs="Calibri"/>
          <w:sz w:val="24"/>
          <w:szCs w:val="24"/>
        </w:rPr>
        <w:t>on of the Homeric ‘canon’ and</w:t>
      </w:r>
      <w:r w:rsidR="006E32F7" w:rsidRPr="00763436">
        <w:rPr>
          <w:rFonts w:ascii="Calibri" w:hAnsi="Calibri" w:cs="Calibri"/>
          <w:sz w:val="24"/>
          <w:szCs w:val="24"/>
        </w:rPr>
        <w:t xml:space="preserve"> innovating in poetry, epic and other genres. Theocritus</w:t>
      </w:r>
      <w:r w:rsidR="00956284">
        <w:rPr>
          <w:rFonts w:ascii="Calibri" w:hAnsi="Calibri" w:cs="Calibri"/>
          <w:sz w:val="24"/>
          <w:szCs w:val="24"/>
        </w:rPr>
        <w:t xml:space="preserve">’ </w:t>
      </w:r>
      <w:r w:rsidR="00C72BDD">
        <w:rPr>
          <w:rFonts w:ascii="Calibri" w:hAnsi="Calibri" w:cs="Calibri"/>
          <w:sz w:val="24"/>
          <w:szCs w:val="24"/>
        </w:rPr>
        <w:t xml:space="preserve">in his </w:t>
      </w:r>
      <w:r w:rsidR="00956284" w:rsidRPr="00956284">
        <w:rPr>
          <w:rFonts w:ascii="Calibri" w:hAnsi="Calibri" w:cs="Calibri"/>
          <w:i/>
          <w:sz w:val="24"/>
          <w:szCs w:val="24"/>
        </w:rPr>
        <w:t>Idyll 13</w:t>
      </w:r>
      <w:r w:rsidR="006E32F7" w:rsidRPr="00763436">
        <w:rPr>
          <w:rFonts w:ascii="Calibri" w:hAnsi="Calibri" w:cs="Calibri"/>
          <w:sz w:val="24"/>
          <w:szCs w:val="24"/>
        </w:rPr>
        <w:t xml:space="preserve"> and Callimachus</w:t>
      </w:r>
      <w:r w:rsidR="00C72BDD">
        <w:rPr>
          <w:rFonts w:ascii="Calibri" w:hAnsi="Calibri" w:cs="Calibri"/>
          <w:sz w:val="24"/>
          <w:szCs w:val="24"/>
        </w:rPr>
        <w:t>’</w:t>
      </w:r>
      <w:r w:rsidR="00956284">
        <w:rPr>
          <w:rFonts w:ascii="Calibri" w:hAnsi="Calibri" w:cs="Calibri"/>
          <w:sz w:val="24"/>
          <w:szCs w:val="24"/>
        </w:rPr>
        <w:t xml:space="preserve"> </w:t>
      </w:r>
      <w:r w:rsidR="00C72BDD">
        <w:rPr>
          <w:rFonts w:ascii="Calibri" w:hAnsi="Calibri" w:cs="Calibri"/>
          <w:sz w:val="24"/>
          <w:szCs w:val="24"/>
        </w:rPr>
        <w:t xml:space="preserve">in his </w:t>
      </w:r>
      <w:r w:rsidR="00956284" w:rsidRPr="00C72BDD">
        <w:rPr>
          <w:rFonts w:ascii="Calibri" w:hAnsi="Calibri" w:cs="Calibri"/>
          <w:i/>
          <w:sz w:val="24"/>
          <w:szCs w:val="24"/>
        </w:rPr>
        <w:t>Aetia</w:t>
      </w:r>
      <w:r w:rsidR="00C72BDD">
        <w:rPr>
          <w:rFonts w:ascii="Calibri" w:hAnsi="Calibri" w:cs="Calibri"/>
          <w:sz w:val="24"/>
          <w:szCs w:val="24"/>
        </w:rPr>
        <w:t>, for example (both contemporaries of Apollonius)</w:t>
      </w:r>
      <w:r w:rsidR="006E32F7" w:rsidRPr="00763436">
        <w:rPr>
          <w:rFonts w:ascii="Calibri" w:hAnsi="Calibri" w:cs="Calibri"/>
          <w:sz w:val="24"/>
          <w:szCs w:val="24"/>
        </w:rPr>
        <w:t xml:space="preserve"> referenced versions of the myth of the Argonauts, emphasizing different elements and characters within the story, and it has lo</w:t>
      </w:r>
      <w:r w:rsidR="00C72BDD">
        <w:rPr>
          <w:rFonts w:ascii="Calibri" w:hAnsi="Calibri" w:cs="Calibri"/>
          <w:sz w:val="24"/>
          <w:szCs w:val="24"/>
        </w:rPr>
        <w:t>ng been argued over whether these works</w:t>
      </w:r>
      <w:r w:rsidR="006E32F7" w:rsidRPr="00763436">
        <w:rPr>
          <w:rFonts w:ascii="Calibri" w:hAnsi="Calibri" w:cs="Calibri"/>
          <w:sz w:val="24"/>
          <w:szCs w:val="24"/>
        </w:rPr>
        <w:t xml:space="preserve"> reference Apollonius or vice versa (Hunter</w:t>
      </w:r>
      <w:r w:rsidR="0092631C" w:rsidRPr="00763436">
        <w:rPr>
          <w:rFonts w:ascii="Calibri" w:hAnsi="Calibri" w:cs="Calibri"/>
          <w:sz w:val="24"/>
          <w:szCs w:val="24"/>
        </w:rPr>
        <w:t>, in his introduction to his translation of Apollonius, 1998</w:t>
      </w:r>
      <w:r w:rsidR="006E32F7" w:rsidRPr="00763436">
        <w:rPr>
          <w:rFonts w:ascii="Calibri" w:hAnsi="Calibri" w:cs="Calibri"/>
          <w:sz w:val="24"/>
          <w:szCs w:val="24"/>
        </w:rPr>
        <w:t xml:space="preserve">).  </w:t>
      </w:r>
    </w:p>
    <w:p w14:paraId="100E7534" w14:textId="429C15F3" w:rsidR="001C657C" w:rsidRPr="00763436" w:rsidRDefault="006E32F7" w:rsidP="00982B1F">
      <w:pPr>
        <w:rPr>
          <w:rFonts w:ascii="Calibri" w:hAnsi="Calibri" w:cs="Calibri"/>
          <w:sz w:val="24"/>
          <w:szCs w:val="24"/>
        </w:rPr>
      </w:pPr>
      <w:r w:rsidRPr="00763436">
        <w:rPr>
          <w:rFonts w:ascii="Calibri" w:hAnsi="Calibri" w:cs="Calibri"/>
          <w:sz w:val="24"/>
          <w:szCs w:val="24"/>
        </w:rPr>
        <w:t xml:space="preserve">Key to understanding what was new in this period, </w:t>
      </w:r>
      <w:r w:rsidR="008224A8" w:rsidRPr="00763436">
        <w:rPr>
          <w:rFonts w:ascii="Calibri" w:hAnsi="Calibri" w:cs="Calibri"/>
          <w:sz w:val="24"/>
          <w:szCs w:val="24"/>
        </w:rPr>
        <w:t>by contrast with the contexts of Archaic and Athenian authors, was</w:t>
      </w:r>
      <w:r w:rsidRPr="00763436">
        <w:rPr>
          <w:rFonts w:ascii="Calibri" w:hAnsi="Calibri" w:cs="Calibri"/>
          <w:sz w:val="24"/>
          <w:szCs w:val="24"/>
        </w:rPr>
        <w:t xml:space="preserve"> the emergence of women as </w:t>
      </w:r>
      <w:r w:rsidR="009D0A91">
        <w:rPr>
          <w:rFonts w:ascii="Calibri" w:hAnsi="Calibri" w:cs="Calibri"/>
          <w:sz w:val="24"/>
          <w:szCs w:val="24"/>
        </w:rPr>
        <w:t xml:space="preserve">both </w:t>
      </w:r>
      <w:r w:rsidRPr="00763436">
        <w:rPr>
          <w:rFonts w:ascii="Calibri" w:hAnsi="Calibri" w:cs="Calibri"/>
          <w:sz w:val="24"/>
          <w:szCs w:val="24"/>
        </w:rPr>
        <w:t>poets and philosophers</w:t>
      </w:r>
      <w:r w:rsidR="00D23659" w:rsidRPr="00763436">
        <w:rPr>
          <w:rFonts w:ascii="Calibri" w:hAnsi="Calibri" w:cs="Calibri"/>
          <w:sz w:val="24"/>
          <w:szCs w:val="24"/>
        </w:rPr>
        <w:t xml:space="preserve"> (Po</w:t>
      </w:r>
      <w:r w:rsidR="000A745C" w:rsidRPr="00763436">
        <w:rPr>
          <w:rFonts w:ascii="Calibri" w:hAnsi="Calibri" w:cs="Calibri"/>
          <w:sz w:val="24"/>
          <w:szCs w:val="24"/>
        </w:rPr>
        <w:t>meroy, 1975). Examples of this include</w:t>
      </w:r>
      <w:r w:rsidRPr="00763436">
        <w:rPr>
          <w:rFonts w:ascii="Calibri" w:hAnsi="Calibri" w:cs="Calibri"/>
          <w:sz w:val="24"/>
          <w:szCs w:val="24"/>
        </w:rPr>
        <w:t xml:space="preserve"> the </w:t>
      </w:r>
      <w:r w:rsidR="00D23659" w:rsidRPr="00763436">
        <w:rPr>
          <w:rFonts w:ascii="Calibri" w:hAnsi="Calibri" w:cs="Calibri"/>
          <w:sz w:val="24"/>
          <w:szCs w:val="24"/>
        </w:rPr>
        <w:t xml:space="preserve">lyric </w:t>
      </w:r>
      <w:r w:rsidRPr="00763436">
        <w:rPr>
          <w:rFonts w:ascii="Calibri" w:hAnsi="Calibri" w:cs="Calibri"/>
          <w:sz w:val="24"/>
          <w:szCs w:val="24"/>
        </w:rPr>
        <w:t>poetry of Sappho</w:t>
      </w:r>
      <w:r w:rsidR="00D23659" w:rsidRPr="00763436">
        <w:rPr>
          <w:rFonts w:ascii="Calibri" w:hAnsi="Calibri" w:cs="Calibri"/>
          <w:sz w:val="24"/>
          <w:szCs w:val="24"/>
        </w:rPr>
        <w:t xml:space="preserve">, </w:t>
      </w:r>
      <w:r w:rsidRPr="00763436">
        <w:rPr>
          <w:rFonts w:ascii="Calibri" w:hAnsi="Calibri" w:cs="Calibri"/>
          <w:sz w:val="24"/>
          <w:szCs w:val="24"/>
        </w:rPr>
        <w:t>and</w:t>
      </w:r>
      <w:r w:rsidR="001C657C" w:rsidRPr="00763436">
        <w:rPr>
          <w:rFonts w:ascii="Calibri" w:hAnsi="Calibri" w:cs="Calibri"/>
          <w:sz w:val="24"/>
          <w:szCs w:val="24"/>
        </w:rPr>
        <w:t xml:space="preserve"> </w:t>
      </w:r>
      <w:r w:rsidR="00D23659" w:rsidRPr="00763436">
        <w:rPr>
          <w:rFonts w:ascii="Calibri" w:hAnsi="Calibri" w:cs="Calibri"/>
          <w:sz w:val="24"/>
          <w:szCs w:val="24"/>
        </w:rPr>
        <w:t xml:space="preserve">the </w:t>
      </w:r>
      <w:r w:rsidR="009C152A" w:rsidRPr="00763436">
        <w:rPr>
          <w:rFonts w:ascii="Calibri" w:hAnsi="Calibri" w:cs="Calibri"/>
          <w:i/>
          <w:sz w:val="24"/>
          <w:szCs w:val="24"/>
        </w:rPr>
        <w:t>Distaff</w:t>
      </w:r>
      <w:r w:rsidR="000A745C" w:rsidRPr="00763436">
        <w:rPr>
          <w:rFonts w:ascii="Calibri" w:hAnsi="Calibri" w:cs="Calibri"/>
          <w:sz w:val="24"/>
          <w:szCs w:val="24"/>
        </w:rPr>
        <w:t xml:space="preserve">, </w:t>
      </w:r>
      <w:r w:rsidR="009C152A" w:rsidRPr="00763436">
        <w:rPr>
          <w:rFonts w:ascii="Calibri" w:hAnsi="Calibri" w:cs="Calibri"/>
          <w:sz w:val="24"/>
          <w:szCs w:val="24"/>
        </w:rPr>
        <w:t xml:space="preserve">written by </w:t>
      </w:r>
      <w:r w:rsidR="008224A8" w:rsidRPr="00763436">
        <w:rPr>
          <w:rFonts w:ascii="Calibri" w:hAnsi="Calibri" w:cs="Calibri"/>
          <w:sz w:val="24"/>
          <w:szCs w:val="24"/>
        </w:rPr>
        <w:t xml:space="preserve">Apollonius’ </w:t>
      </w:r>
      <w:r w:rsidR="00C72BDD">
        <w:rPr>
          <w:rFonts w:ascii="Calibri" w:hAnsi="Calibri" w:cs="Calibri"/>
          <w:sz w:val="24"/>
          <w:szCs w:val="24"/>
        </w:rPr>
        <w:t>(</w:t>
      </w:r>
      <w:r w:rsidR="00DF135A" w:rsidRPr="00763436">
        <w:rPr>
          <w:rFonts w:ascii="Calibri" w:hAnsi="Calibri" w:cs="Calibri"/>
          <w:sz w:val="24"/>
          <w:szCs w:val="24"/>
        </w:rPr>
        <w:t>probable</w:t>
      </w:r>
      <w:r w:rsidR="00C72BDD">
        <w:rPr>
          <w:rFonts w:ascii="Calibri" w:hAnsi="Calibri" w:cs="Calibri"/>
          <w:sz w:val="24"/>
          <w:szCs w:val="24"/>
        </w:rPr>
        <w:t>, but her dates are contested)</w:t>
      </w:r>
      <w:r w:rsidR="00DF135A" w:rsidRPr="00763436">
        <w:rPr>
          <w:rFonts w:ascii="Calibri" w:hAnsi="Calibri" w:cs="Calibri"/>
          <w:sz w:val="24"/>
          <w:szCs w:val="24"/>
        </w:rPr>
        <w:t xml:space="preserve"> </w:t>
      </w:r>
      <w:r w:rsidR="008224A8" w:rsidRPr="00763436">
        <w:rPr>
          <w:rFonts w:ascii="Calibri" w:hAnsi="Calibri" w:cs="Calibri"/>
          <w:sz w:val="24"/>
          <w:szCs w:val="24"/>
        </w:rPr>
        <w:t xml:space="preserve">contemporary, </w:t>
      </w:r>
      <w:r w:rsidR="001C657C" w:rsidRPr="00763436">
        <w:rPr>
          <w:rFonts w:ascii="Calibri" w:hAnsi="Calibri" w:cs="Calibri"/>
          <w:sz w:val="24"/>
          <w:szCs w:val="24"/>
        </w:rPr>
        <w:t>Er</w:t>
      </w:r>
      <w:r w:rsidR="00D23659" w:rsidRPr="00763436">
        <w:rPr>
          <w:rFonts w:ascii="Calibri" w:hAnsi="Calibri" w:cs="Calibri"/>
          <w:sz w:val="24"/>
          <w:szCs w:val="24"/>
        </w:rPr>
        <w:t>inna</w:t>
      </w:r>
      <w:r w:rsidR="009C152A" w:rsidRPr="00763436">
        <w:rPr>
          <w:rFonts w:ascii="Calibri" w:hAnsi="Calibri" w:cs="Calibri"/>
          <w:sz w:val="24"/>
          <w:szCs w:val="24"/>
        </w:rPr>
        <w:t>,</w:t>
      </w:r>
      <w:r w:rsidR="00D23659" w:rsidRPr="00763436">
        <w:rPr>
          <w:rFonts w:ascii="Calibri" w:hAnsi="Calibri" w:cs="Calibri"/>
          <w:sz w:val="24"/>
          <w:szCs w:val="24"/>
        </w:rPr>
        <w:t xml:space="preserve"> which explores the subjective, emotional, inner life of a young woman (Gutzwiller, </w:t>
      </w:r>
      <w:r w:rsidR="0092631C" w:rsidRPr="00763436">
        <w:rPr>
          <w:rFonts w:ascii="Calibri" w:hAnsi="Calibri" w:cs="Calibri"/>
          <w:sz w:val="24"/>
          <w:szCs w:val="24"/>
        </w:rPr>
        <w:t>op cit</w:t>
      </w:r>
      <w:r w:rsidR="00D23659" w:rsidRPr="00763436">
        <w:rPr>
          <w:rFonts w:ascii="Calibri" w:hAnsi="Calibri" w:cs="Calibri"/>
          <w:sz w:val="24"/>
          <w:szCs w:val="24"/>
        </w:rPr>
        <w:t xml:space="preserve">). </w:t>
      </w:r>
      <w:r w:rsidRPr="00763436">
        <w:rPr>
          <w:rFonts w:ascii="Calibri" w:hAnsi="Calibri" w:cs="Calibri"/>
          <w:sz w:val="24"/>
          <w:szCs w:val="24"/>
        </w:rPr>
        <w:t xml:space="preserve">Apollonius would have known the work of these women poets and writers, and </w:t>
      </w:r>
      <w:r w:rsidR="00D23659" w:rsidRPr="00763436">
        <w:rPr>
          <w:rFonts w:ascii="Calibri" w:hAnsi="Calibri" w:cs="Calibri"/>
          <w:sz w:val="24"/>
          <w:szCs w:val="24"/>
        </w:rPr>
        <w:t xml:space="preserve">likely drew </w:t>
      </w:r>
      <w:r w:rsidR="008224A8" w:rsidRPr="00763436">
        <w:rPr>
          <w:rFonts w:ascii="Calibri" w:hAnsi="Calibri" w:cs="Calibri"/>
          <w:sz w:val="24"/>
          <w:szCs w:val="24"/>
        </w:rPr>
        <w:t>on them as</w:t>
      </w:r>
      <w:r w:rsidRPr="00763436">
        <w:rPr>
          <w:rFonts w:ascii="Calibri" w:hAnsi="Calibri" w:cs="Calibri"/>
          <w:sz w:val="24"/>
          <w:szCs w:val="24"/>
        </w:rPr>
        <w:t xml:space="preserve"> sources to shape his own exploration of female experience and inner life in his depiction of Medea, particularly in her emotional and erotic reaction to Jason. </w:t>
      </w:r>
    </w:p>
    <w:p w14:paraId="29913AF4" w14:textId="432C99D3" w:rsidR="008224A8" w:rsidRPr="00763436" w:rsidRDefault="008224A8" w:rsidP="008224A8">
      <w:pPr>
        <w:rPr>
          <w:rFonts w:ascii="Calibri" w:hAnsi="Calibri" w:cs="Calibri"/>
          <w:sz w:val="24"/>
          <w:szCs w:val="24"/>
        </w:rPr>
      </w:pPr>
      <w:r w:rsidRPr="00763436">
        <w:rPr>
          <w:rFonts w:ascii="Calibri" w:hAnsi="Calibri" w:cs="Calibri"/>
          <w:sz w:val="24"/>
          <w:szCs w:val="24"/>
        </w:rPr>
        <w:t>A</w:t>
      </w:r>
      <w:r w:rsidR="006E32F7" w:rsidRPr="00763436">
        <w:rPr>
          <w:rFonts w:ascii="Calibri" w:hAnsi="Calibri" w:cs="Calibri"/>
          <w:sz w:val="24"/>
          <w:szCs w:val="24"/>
        </w:rPr>
        <w:t xml:space="preserve"> second key element in the wider literary culture in which Apollonius was writing was a growing interest among </w:t>
      </w:r>
      <w:r w:rsidRPr="00763436">
        <w:rPr>
          <w:rFonts w:ascii="Calibri" w:hAnsi="Calibri" w:cs="Calibri"/>
          <w:sz w:val="24"/>
          <w:szCs w:val="24"/>
        </w:rPr>
        <w:t xml:space="preserve">male </w:t>
      </w:r>
      <w:r w:rsidR="006E32F7" w:rsidRPr="00763436">
        <w:rPr>
          <w:rFonts w:ascii="Calibri" w:hAnsi="Calibri" w:cs="Calibri"/>
          <w:sz w:val="24"/>
          <w:szCs w:val="24"/>
        </w:rPr>
        <w:t xml:space="preserve">authors </w:t>
      </w:r>
      <w:r w:rsidRPr="00763436">
        <w:rPr>
          <w:rFonts w:ascii="Calibri" w:hAnsi="Calibri" w:cs="Calibri"/>
          <w:sz w:val="24"/>
          <w:szCs w:val="24"/>
        </w:rPr>
        <w:t>in female identity</w:t>
      </w:r>
      <w:r w:rsidR="00D23659" w:rsidRPr="00763436">
        <w:rPr>
          <w:rFonts w:ascii="Calibri" w:hAnsi="Calibri" w:cs="Calibri"/>
          <w:sz w:val="24"/>
          <w:szCs w:val="24"/>
        </w:rPr>
        <w:t xml:space="preserve">. </w:t>
      </w:r>
      <w:r w:rsidR="00A74C7A" w:rsidRPr="00763436">
        <w:rPr>
          <w:rFonts w:ascii="Calibri" w:hAnsi="Calibri" w:cs="Calibri"/>
          <w:sz w:val="24"/>
          <w:szCs w:val="24"/>
        </w:rPr>
        <w:t xml:space="preserve">Philosophers were debating the role and character of women, with a few, like Epicurus, arguing for full equality between women and men. </w:t>
      </w:r>
      <w:r w:rsidR="009D0A91">
        <w:rPr>
          <w:rFonts w:ascii="Calibri" w:hAnsi="Calibri" w:cs="Calibri"/>
          <w:sz w:val="24"/>
          <w:szCs w:val="24"/>
        </w:rPr>
        <w:t>As Gutzwiller (op cit) points out, a</w:t>
      </w:r>
      <w:r w:rsidR="00D23659" w:rsidRPr="00763436">
        <w:rPr>
          <w:rFonts w:ascii="Calibri" w:hAnsi="Calibri" w:cs="Calibri"/>
          <w:sz w:val="24"/>
          <w:szCs w:val="24"/>
        </w:rPr>
        <w:t xml:space="preserve">uthors like </w:t>
      </w:r>
      <w:r w:rsidRPr="00763436">
        <w:rPr>
          <w:rFonts w:ascii="Calibri" w:hAnsi="Calibri" w:cs="Calibri"/>
          <w:sz w:val="24"/>
          <w:szCs w:val="24"/>
        </w:rPr>
        <w:t>Dionysi</w:t>
      </w:r>
      <w:r w:rsidR="00A74C7A" w:rsidRPr="00763436">
        <w:rPr>
          <w:rFonts w:ascii="Calibri" w:hAnsi="Calibri" w:cs="Calibri"/>
          <w:sz w:val="24"/>
          <w:szCs w:val="24"/>
        </w:rPr>
        <w:t>u</w:t>
      </w:r>
      <w:r w:rsidRPr="00763436">
        <w:rPr>
          <w:rFonts w:ascii="Calibri" w:hAnsi="Calibri" w:cs="Calibri"/>
          <w:sz w:val="24"/>
          <w:szCs w:val="24"/>
        </w:rPr>
        <w:t xml:space="preserve">s </w:t>
      </w:r>
      <w:r w:rsidR="00A74C7A" w:rsidRPr="00763436">
        <w:rPr>
          <w:rFonts w:ascii="Calibri" w:hAnsi="Calibri" w:cs="Calibri"/>
          <w:sz w:val="24"/>
          <w:szCs w:val="24"/>
        </w:rPr>
        <w:t>Scytobrachion</w:t>
      </w:r>
      <w:r w:rsidR="00C72BDD">
        <w:rPr>
          <w:rStyle w:val="FootnoteReference"/>
          <w:rFonts w:ascii="Calibri" w:hAnsi="Calibri" w:cs="Calibri"/>
          <w:sz w:val="24"/>
          <w:szCs w:val="24"/>
        </w:rPr>
        <w:footnoteReference w:id="3"/>
      </w:r>
      <w:r w:rsidR="00A74C7A" w:rsidRPr="00763436">
        <w:rPr>
          <w:rFonts w:ascii="Calibri" w:hAnsi="Calibri" w:cs="Calibri"/>
          <w:sz w:val="24"/>
          <w:szCs w:val="24"/>
        </w:rPr>
        <w:t xml:space="preserve">, </w:t>
      </w:r>
      <w:r w:rsidR="008B68C9">
        <w:rPr>
          <w:rFonts w:ascii="Calibri" w:hAnsi="Calibri" w:cs="Calibri"/>
          <w:sz w:val="24"/>
          <w:szCs w:val="24"/>
        </w:rPr>
        <w:t>whose</w:t>
      </w:r>
      <w:r w:rsidR="00A74C7A" w:rsidRPr="00763436">
        <w:rPr>
          <w:rFonts w:ascii="Calibri" w:hAnsi="Calibri" w:cs="Calibri"/>
          <w:sz w:val="24"/>
          <w:szCs w:val="24"/>
        </w:rPr>
        <w:t xml:space="preserve"> work we </w:t>
      </w:r>
      <w:r w:rsidR="009C152A" w:rsidRPr="00763436">
        <w:rPr>
          <w:rFonts w:ascii="Calibri" w:hAnsi="Calibri" w:cs="Calibri"/>
          <w:sz w:val="24"/>
          <w:szCs w:val="24"/>
        </w:rPr>
        <w:t xml:space="preserve">only </w:t>
      </w:r>
      <w:r w:rsidR="009D0A91">
        <w:rPr>
          <w:rFonts w:ascii="Calibri" w:hAnsi="Calibri" w:cs="Calibri"/>
          <w:sz w:val="24"/>
          <w:szCs w:val="24"/>
        </w:rPr>
        <w:t>have</w:t>
      </w:r>
      <w:r w:rsidR="00A74C7A" w:rsidRPr="00763436">
        <w:rPr>
          <w:rFonts w:ascii="Calibri" w:hAnsi="Calibri" w:cs="Calibri"/>
          <w:sz w:val="24"/>
          <w:szCs w:val="24"/>
        </w:rPr>
        <w:t xml:space="preserve"> in fragments, also wrote a version of the A</w:t>
      </w:r>
      <w:r w:rsidR="000A745C" w:rsidRPr="00763436">
        <w:rPr>
          <w:rFonts w:ascii="Calibri" w:hAnsi="Calibri" w:cs="Calibri"/>
          <w:sz w:val="24"/>
          <w:szCs w:val="24"/>
        </w:rPr>
        <w:t>rgonautic myth in which Medea was</w:t>
      </w:r>
      <w:r w:rsidR="00A74C7A" w:rsidRPr="00763436">
        <w:rPr>
          <w:rFonts w:ascii="Calibri" w:hAnsi="Calibri" w:cs="Calibri"/>
          <w:sz w:val="24"/>
          <w:szCs w:val="24"/>
        </w:rPr>
        <w:t xml:space="preserve"> portrayed as both humane and virtuous</w:t>
      </w:r>
      <w:r w:rsidR="009C152A" w:rsidRPr="00763436">
        <w:rPr>
          <w:rFonts w:ascii="Calibri" w:hAnsi="Calibri" w:cs="Calibri"/>
          <w:sz w:val="24"/>
          <w:szCs w:val="24"/>
        </w:rPr>
        <w:t xml:space="preserve">; and Callimachus (mentioned above) wrote a new version of the myth of Theseus’ victory in his </w:t>
      </w:r>
      <w:r w:rsidR="009C152A" w:rsidRPr="00BE64A7">
        <w:rPr>
          <w:rFonts w:ascii="Calibri" w:hAnsi="Calibri" w:cs="Calibri"/>
          <w:i/>
          <w:sz w:val="24"/>
          <w:szCs w:val="24"/>
        </w:rPr>
        <w:t>Hecale</w:t>
      </w:r>
      <w:r w:rsidR="009C152A" w:rsidRPr="00763436">
        <w:rPr>
          <w:rFonts w:ascii="Calibri" w:hAnsi="Calibri" w:cs="Calibri"/>
          <w:sz w:val="24"/>
          <w:szCs w:val="24"/>
        </w:rPr>
        <w:t>, which refocused the myth on the role of a woman, the eponymous Hecale</w:t>
      </w:r>
      <w:r w:rsidR="0092631C" w:rsidRPr="00763436">
        <w:rPr>
          <w:rFonts w:ascii="Calibri" w:hAnsi="Calibri" w:cs="Calibri"/>
          <w:sz w:val="24"/>
          <w:szCs w:val="24"/>
        </w:rPr>
        <w:t>.</w:t>
      </w:r>
      <w:r w:rsidRPr="00763436">
        <w:rPr>
          <w:rFonts w:ascii="Calibri" w:hAnsi="Calibri" w:cs="Calibri"/>
          <w:sz w:val="24"/>
          <w:szCs w:val="24"/>
        </w:rPr>
        <w:t xml:space="preserve"> </w:t>
      </w:r>
      <w:r w:rsidR="009C152A" w:rsidRPr="00763436">
        <w:rPr>
          <w:rFonts w:ascii="Calibri" w:hAnsi="Calibri" w:cs="Calibri"/>
          <w:sz w:val="24"/>
          <w:szCs w:val="24"/>
        </w:rPr>
        <w:t xml:space="preserve">These examples and many more show that Apollonius was writing in a context not just in which female authorship existed, but </w:t>
      </w:r>
      <w:r w:rsidR="000A745C" w:rsidRPr="00763436">
        <w:rPr>
          <w:rFonts w:ascii="Calibri" w:hAnsi="Calibri" w:cs="Calibri"/>
          <w:sz w:val="24"/>
          <w:szCs w:val="24"/>
        </w:rPr>
        <w:t xml:space="preserve">in which </w:t>
      </w:r>
      <w:r w:rsidR="009C152A" w:rsidRPr="00763436">
        <w:rPr>
          <w:rFonts w:ascii="Calibri" w:hAnsi="Calibri" w:cs="Calibri"/>
          <w:sz w:val="24"/>
          <w:szCs w:val="24"/>
        </w:rPr>
        <w:t xml:space="preserve">male writers were </w:t>
      </w:r>
      <w:r w:rsidR="000A745C" w:rsidRPr="00763436">
        <w:rPr>
          <w:rFonts w:ascii="Calibri" w:hAnsi="Calibri" w:cs="Calibri"/>
          <w:sz w:val="24"/>
          <w:szCs w:val="24"/>
        </w:rPr>
        <w:t xml:space="preserve">re-telling and </w:t>
      </w:r>
      <w:r w:rsidR="009C152A" w:rsidRPr="00763436">
        <w:rPr>
          <w:rFonts w:ascii="Calibri" w:hAnsi="Calibri" w:cs="Calibri"/>
          <w:sz w:val="24"/>
          <w:szCs w:val="24"/>
        </w:rPr>
        <w:t>playing with traditional myth</w:t>
      </w:r>
      <w:r w:rsidR="000A745C" w:rsidRPr="00763436">
        <w:rPr>
          <w:rFonts w:ascii="Calibri" w:hAnsi="Calibri" w:cs="Calibri"/>
          <w:sz w:val="24"/>
          <w:szCs w:val="24"/>
        </w:rPr>
        <w:t>s</w:t>
      </w:r>
      <w:r w:rsidR="00BE64A7">
        <w:rPr>
          <w:rFonts w:ascii="Calibri" w:hAnsi="Calibri" w:cs="Calibri"/>
          <w:sz w:val="24"/>
          <w:szCs w:val="24"/>
        </w:rPr>
        <w:t>,</w:t>
      </w:r>
      <w:r w:rsidR="009C152A" w:rsidRPr="00763436">
        <w:rPr>
          <w:rFonts w:ascii="Calibri" w:hAnsi="Calibri" w:cs="Calibri"/>
          <w:sz w:val="24"/>
          <w:szCs w:val="24"/>
        </w:rPr>
        <w:t xml:space="preserve"> to explore and recast the character</w:t>
      </w:r>
      <w:r w:rsidR="000A745C" w:rsidRPr="00763436">
        <w:rPr>
          <w:rFonts w:ascii="Calibri" w:hAnsi="Calibri" w:cs="Calibri"/>
          <w:sz w:val="24"/>
          <w:szCs w:val="24"/>
        </w:rPr>
        <w:t>s</w:t>
      </w:r>
      <w:r w:rsidR="009C152A" w:rsidRPr="00763436">
        <w:rPr>
          <w:rFonts w:ascii="Calibri" w:hAnsi="Calibri" w:cs="Calibri"/>
          <w:sz w:val="24"/>
          <w:szCs w:val="24"/>
        </w:rPr>
        <w:t xml:space="preserve"> and role</w:t>
      </w:r>
      <w:r w:rsidR="000A745C" w:rsidRPr="00763436">
        <w:rPr>
          <w:rFonts w:ascii="Calibri" w:hAnsi="Calibri" w:cs="Calibri"/>
          <w:sz w:val="24"/>
          <w:szCs w:val="24"/>
        </w:rPr>
        <w:t>s</w:t>
      </w:r>
      <w:r w:rsidR="009C152A" w:rsidRPr="00763436">
        <w:rPr>
          <w:rFonts w:ascii="Calibri" w:hAnsi="Calibri" w:cs="Calibri"/>
          <w:sz w:val="24"/>
          <w:szCs w:val="24"/>
        </w:rPr>
        <w:t xml:space="preserve"> of women in new ways. </w:t>
      </w:r>
    </w:p>
    <w:p w14:paraId="1D7B8CB0" w14:textId="77777777" w:rsidR="00BE64A7" w:rsidRDefault="006E32F7" w:rsidP="00982B1F">
      <w:pPr>
        <w:rPr>
          <w:rFonts w:ascii="Calibri" w:hAnsi="Calibri" w:cs="Calibri"/>
          <w:sz w:val="24"/>
          <w:szCs w:val="24"/>
        </w:rPr>
      </w:pPr>
      <w:r w:rsidRPr="00763436">
        <w:rPr>
          <w:rFonts w:ascii="Calibri" w:hAnsi="Calibri" w:cs="Calibri"/>
          <w:sz w:val="24"/>
          <w:szCs w:val="24"/>
        </w:rPr>
        <w:lastRenderedPageBreak/>
        <w:t xml:space="preserve">A </w:t>
      </w:r>
      <w:r w:rsidR="008224A8" w:rsidRPr="00763436">
        <w:rPr>
          <w:rFonts w:ascii="Calibri" w:hAnsi="Calibri" w:cs="Calibri"/>
          <w:sz w:val="24"/>
          <w:szCs w:val="24"/>
        </w:rPr>
        <w:t>third</w:t>
      </w:r>
      <w:r w:rsidRPr="00763436">
        <w:rPr>
          <w:rFonts w:ascii="Calibri" w:hAnsi="Calibri" w:cs="Calibri"/>
          <w:sz w:val="24"/>
          <w:szCs w:val="24"/>
        </w:rPr>
        <w:t xml:space="preserve"> </w:t>
      </w:r>
      <w:r w:rsidR="009C152A" w:rsidRPr="00763436">
        <w:rPr>
          <w:rFonts w:ascii="Calibri" w:hAnsi="Calibri" w:cs="Calibri"/>
          <w:sz w:val="24"/>
          <w:szCs w:val="24"/>
        </w:rPr>
        <w:t xml:space="preserve">crucial </w:t>
      </w:r>
      <w:r w:rsidRPr="00763436">
        <w:rPr>
          <w:rFonts w:ascii="Calibri" w:hAnsi="Calibri" w:cs="Calibri"/>
          <w:sz w:val="24"/>
          <w:szCs w:val="24"/>
        </w:rPr>
        <w:t xml:space="preserve">element of the context in which we need to understand Apollonius’ work, is the geographic location of Alexandria, where he was writing as a Greek in an Egyptian city. </w:t>
      </w:r>
      <w:r w:rsidR="009C152A" w:rsidRPr="00763436">
        <w:rPr>
          <w:rFonts w:ascii="Calibri" w:hAnsi="Calibri" w:cs="Calibri"/>
          <w:sz w:val="24"/>
          <w:szCs w:val="24"/>
        </w:rPr>
        <w:t xml:space="preserve">Greek culture had for hundreds of years feared Egyptians, seeing them the barbarian ‘other’. However in the circumstances in which the Greek authors of Alexandria </w:t>
      </w:r>
      <w:r w:rsidR="00DF135A" w:rsidRPr="00763436">
        <w:rPr>
          <w:rFonts w:ascii="Calibri" w:hAnsi="Calibri" w:cs="Calibri"/>
          <w:sz w:val="24"/>
          <w:szCs w:val="24"/>
        </w:rPr>
        <w:t>found themselves in Egypt</w:t>
      </w:r>
      <w:r w:rsidR="009C152A" w:rsidRPr="00763436">
        <w:rPr>
          <w:rFonts w:ascii="Calibri" w:hAnsi="Calibri" w:cs="Calibri"/>
          <w:sz w:val="24"/>
          <w:szCs w:val="24"/>
        </w:rPr>
        <w:t>, with the patronage and protection of the Ptolomies, Greeks were living in and among Egyptians with direct experience of their and many other cultures. This had two key consequences for their authorship</w:t>
      </w:r>
      <w:r w:rsidR="00BE64A7">
        <w:rPr>
          <w:rFonts w:ascii="Calibri" w:hAnsi="Calibri" w:cs="Calibri"/>
          <w:sz w:val="24"/>
          <w:szCs w:val="24"/>
        </w:rPr>
        <w:t>,</w:t>
      </w:r>
      <w:r w:rsidR="009C152A" w:rsidRPr="00763436">
        <w:rPr>
          <w:rFonts w:ascii="Calibri" w:hAnsi="Calibri" w:cs="Calibri"/>
          <w:sz w:val="24"/>
          <w:szCs w:val="24"/>
        </w:rPr>
        <w:t xml:space="preserve"> which have a crucial bearing on the Argonautica. </w:t>
      </w:r>
    </w:p>
    <w:p w14:paraId="55A72C26" w14:textId="148744A7" w:rsidR="006E32F7" w:rsidRPr="00763436" w:rsidRDefault="009C152A" w:rsidP="00982B1F">
      <w:pPr>
        <w:rPr>
          <w:rFonts w:ascii="Calibri" w:hAnsi="Calibri" w:cs="Calibri"/>
          <w:sz w:val="24"/>
          <w:szCs w:val="24"/>
        </w:rPr>
      </w:pPr>
      <w:r w:rsidRPr="00763436">
        <w:rPr>
          <w:rFonts w:ascii="Calibri" w:hAnsi="Calibri" w:cs="Calibri"/>
          <w:sz w:val="24"/>
          <w:szCs w:val="24"/>
        </w:rPr>
        <w:t xml:space="preserve">Life for Greeks in Alexandria involved a breaking with the traditional bonds and identity markers </w:t>
      </w:r>
      <w:r w:rsidR="00BE64A7">
        <w:rPr>
          <w:rFonts w:ascii="Calibri" w:hAnsi="Calibri" w:cs="Calibri"/>
          <w:sz w:val="24"/>
          <w:szCs w:val="24"/>
        </w:rPr>
        <w:t xml:space="preserve">of Greek culture, </w:t>
      </w:r>
      <w:r w:rsidRPr="00763436">
        <w:rPr>
          <w:rFonts w:ascii="Calibri" w:hAnsi="Calibri" w:cs="Calibri"/>
          <w:sz w:val="24"/>
          <w:szCs w:val="24"/>
        </w:rPr>
        <w:t xml:space="preserve">of kinship and polis, as neither held strong significance </w:t>
      </w:r>
      <w:r w:rsidR="005E2E36" w:rsidRPr="00763436">
        <w:rPr>
          <w:rFonts w:ascii="Calibri" w:hAnsi="Calibri" w:cs="Calibri"/>
          <w:sz w:val="24"/>
          <w:szCs w:val="24"/>
        </w:rPr>
        <w:t xml:space="preserve">for Alexandrian Greeks. Instead, the mixing of cultures and experience of being in and among </w:t>
      </w:r>
      <w:r w:rsidR="00BE64A7">
        <w:rPr>
          <w:rFonts w:ascii="Calibri" w:hAnsi="Calibri" w:cs="Calibri"/>
          <w:sz w:val="24"/>
          <w:szCs w:val="24"/>
        </w:rPr>
        <w:t>‘</w:t>
      </w:r>
      <w:r w:rsidR="005E2E36" w:rsidRPr="00763436">
        <w:rPr>
          <w:rFonts w:ascii="Calibri" w:hAnsi="Calibri" w:cs="Calibri"/>
          <w:sz w:val="24"/>
          <w:szCs w:val="24"/>
        </w:rPr>
        <w:t>the other</w:t>
      </w:r>
      <w:r w:rsidR="00BE64A7">
        <w:rPr>
          <w:rFonts w:ascii="Calibri" w:hAnsi="Calibri" w:cs="Calibri"/>
          <w:sz w:val="24"/>
          <w:szCs w:val="24"/>
        </w:rPr>
        <w:t>’</w:t>
      </w:r>
      <w:r w:rsidR="000A745C" w:rsidRPr="00763436">
        <w:rPr>
          <w:rFonts w:ascii="Calibri" w:hAnsi="Calibri" w:cs="Calibri"/>
          <w:sz w:val="24"/>
          <w:szCs w:val="24"/>
        </w:rPr>
        <w:t>,</w:t>
      </w:r>
      <w:r w:rsidR="005E2E36" w:rsidRPr="00763436">
        <w:rPr>
          <w:rFonts w:ascii="Calibri" w:hAnsi="Calibri" w:cs="Calibri"/>
          <w:sz w:val="24"/>
          <w:szCs w:val="24"/>
        </w:rPr>
        <w:t xml:space="preserve"> enabl</w:t>
      </w:r>
      <w:r w:rsidR="00BE64A7">
        <w:rPr>
          <w:rFonts w:ascii="Calibri" w:hAnsi="Calibri" w:cs="Calibri"/>
          <w:sz w:val="24"/>
          <w:szCs w:val="24"/>
        </w:rPr>
        <w:t>ed the growth of a new humanism,</w:t>
      </w:r>
      <w:r w:rsidR="005E2E36" w:rsidRPr="00763436">
        <w:rPr>
          <w:rFonts w:ascii="Calibri" w:hAnsi="Calibri" w:cs="Calibri"/>
          <w:sz w:val="24"/>
          <w:szCs w:val="24"/>
        </w:rPr>
        <w:t xml:space="preserve"> in which a deep interest in what makes us all (Greek, Egyptian etc) human</w:t>
      </w:r>
      <w:r w:rsidR="000A745C" w:rsidRPr="00763436">
        <w:rPr>
          <w:rFonts w:ascii="Calibri" w:hAnsi="Calibri" w:cs="Calibri"/>
          <w:sz w:val="24"/>
          <w:szCs w:val="24"/>
        </w:rPr>
        <w:t xml:space="preserve"> </w:t>
      </w:r>
      <w:r w:rsidR="005E2E36" w:rsidRPr="00763436">
        <w:rPr>
          <w:rFonts w:ascii="Calibri" w:hAnsi="Calibri" w:cs="Calibri"/>
          <w:sz w:val="24"/>
          <w:szCs w:val="24"/>
        </w:rPr>
        <w:t xml:space="preserve">(Gutzwiller, </w:t>
      </w:r>
      <w:r w:rsidR="0092631C" w:rsidRPr="00763436">
        <w:rPr>
          <w:rFonts w:ascii="Calibri" w:hAnsi="Calibri" w:cs="Calibri"/>
          <w:sz w:val="24"/>
          <w:szCs w:val="24"/>
        </w:rPr>
        <w:t>op cit</w:t>
      </w:r>
      <w:r w:rsidR="00BE64A7">
        <w:rPr>
          <w:rFonts w:ascii="Calibri" w:hAnsi="Calibri" w:cs="Calibri"/>
          <w:sz w:val="24"/>
          <w:szCs w:val="24"/>
        </w:rPr>
        <w:t>). It also enabled</w:t>
      </w:r>
      <w:r w:rsidR="000A745C" w:rsidRPr="00763436">
        <w:rPr>
          <w:rFonts w:ascii="Calibri" w:hAnsi="Calibri" w:cs="Calibri"/>
          <w:sz w:val="24"/>
          <w:szCs w:val="24"/>
        </w:rPr>
        <w:t xml:space="preserve"> </w:t>
      </w:r>
      <w:r w:rsidR="009D0A91">
        <w:rPr>
          <w:rFonts w:ascii="Calibri" w:hAnsi="Calibri" w:cs="Calibri"/>
          <w:sz w:val="24"/>
          <w:szCs w:val="24"/>
        </w:rPr>
        <w:t>Greek authors</w:t>
      </w:r>
      <w:r w:rsidR="005E2E36" w:rsidRPr="00763436">
        <w:rPr>
          <w:rFonts w:ascii="Calibri" w:hAnsi="Calibri" w:cs="Calibri"/>
          <w:sz w:val="24"/>
          <w:szCs w:val="24"/>
        </w:rPr>
        <w:t xml:space="preserve"> to step back from the instinctive ‘othering’ of the barbarian, which </w:t>
      </w:r>
      <w:r w:rsidR="000A745C" w:rsidRPr="00763436">
        <w:rPr>
          <w:rFonts w:ascii="Calibri" w:hAnsi="Calibri" w:cs="Calibri"/>
          <w:sz w:val="24"/>
          <w:szCs w:val="24"/>
        </w:rPr>
        <w:t xml:space="preserve">had </w:t>
      </w:r>
      <w:r w:rsidR="005E2E36" w:rsidRPr="00763436">
        <w:rPr>
          <w:rFonts w:ascii="Calibri" w:hAnsi="Calibri" w:cs="Calibri"/>
          <w:sz w:val="24"/>
          <w:szCs w:val="24"/>
        </w:rPr>
        <w:t xml:space="preserve">so </w:t>
      </w:r>
      <w:r w:rsidR="000A745C" w:rsidRPr="00763436">
        <w:rPr>
          <w:rFonts w:ascii="Calibri" w:hAnsi="Calibri" w:cs="Calibri"/>
          <w:sz w:val="24"/>
          <w:szCs w:val="24"/>
        </w:rPr>
        <w:t>shaped</w:t>
      </w:r>
      <w:r w:rsidR="005E2E36" w:rsidRPr="00763436">
        <w:rPr>
          <w:rFonts w:ascii="Calibri" w:hAnsi="Calibri" w:cs="Calibri"/>
          <w:sz w:val="24"/>
          <w:szCs w:val="24"/>
        </w:rPr>
        <w:t xml:space="preserve"> earlier versions of the Medea in the telling of the Argonautic myth, including Euripides’ </w:t>
      </w:r>
      <w:r w:rsidR="00BE64A7">
        <w:rPr>
          <w:rFonts w:ascii="Calibri" w:hAnsi="Calibri" w:cs="Calibri"/>
          <w:sz w:val="24"/>
          <w:szCs w:val="24"/>
        </w:rPr>
        <w:t xml:space="preserve">version of </w:t>
      </w:r>
      <w:r w:rsidR="005E2E36" w:rsidRPr="00763436">
        <w:rPr>
          <w:rFonts w:ascii="Calibri" w:hAnsi="Calibri" w:cs="Calibri"/>
          <w:sz w:val="24"/>
          <w:szCs w:val="24"/>
        </w:rPr>
        <w:t xml:space="preserve">Medea. Apollonius was </w:t>
      </w:r>
      <w:r w:rsidR="00BE64A7">
        <w:rPr>
          <w:rFonts w:ascii="Calibri" w:hAnsi="Calibri" w:cs="Calibri"/>
          <w:sz w:val="24"/>
          <w:szCs w:val="24"/>
        </w:rPr>
        <w:t xml:space="preserve">thus </w:t>
      </w:r>
      <w:r w:rsidR="005E2E36" w:rsidRPr="00763436">
        <w:rPr>
          <w:rFonts w:ascii="Calibri" w:hAnsi="Calibri" w:cs="Calibri"/>
          <w:sz w:val="24"/>
          <w:szCs w:val="24"/>
        </w:rPr>
        <w:t xml:space="preserve">able to write his new, more humane and nuanced version of Medea, 200 years later, I would argue, precisely because he was living in a culture in which the boundaries between ‘us’ and ‘them’ were far more porous. </w:t>
      </w:r>
    </w:p>
    <w:p w14:paraId="520D112F" w14:textId="515156CC" w:rsidR="005E2E36" w:rsidRPr="00763436" w:rsidRDefault="005E2E36" w:rsidP="005E2E36">
      <w:pPr>
        <w:rPr>
          <w:rFonts w:ascii="Calibri" w:hAnsi="Calibri" w:cs="Calibri"/>
          <w:sz w:val="24"/>
          <w:szCs w:val="24"/>
        </w:rPr>
      </w:pPr>
      <w:r w:rsidRPr="00763436">
        <w:rPr>
          <w:rFonts w:ascii="Calibri" w:hAnsi="Calibri" w:cs="Calibri"/>
          <w:sz w:val="24"/>
          <w:szCs w:val="24"/>
        </w:rPr>
        <w:t>Concrete evidence of this blending of cultures directly impacting the lives and rights of women can be found in Looney’s fascinating analysis of Greek and Egyptian marriage contracts, demonstrating a blending of elements of both in the 3</w:t>
      </w:r>
      <w:r w:rsidRPr="00763436">
        <w:rPr>
          <w:rFonts w:ascii="Calibri" w:hAnsi="Calibri" w:cs="Calibri"/>
          <w:sz w:val="24"/>
          <w:szCs w:val="24"/>
          <w:vertAlign w:val="superscript"/>
        </w:rPr>
        <w:t>rd</w:t>
      </w:r>
      <w:r w:rsidRPr="00763436">
        <w:rPr>
          <w:rFonts w:ascii="Calibri" w:hAnsi="Calibri" w:cs="Calibri"/>
          <w:sz w:val="24"/>
          <w:szCs w:val="24"/>
        </w:rPr>
        <w:t xml:space="preserve"> Century BC, enabling greater rights within marriage for Greek women, as their culture ‘borrowed’ and integrated elements from the native Egyptians (Looney, </w:t>
      </w:r>
      <w:r w:rsidR="0021717F" w:rsidRPr="00763436">
        <w:rPr>
          <w:rFonts w:ascii="Calibri" w:hAnsi="Calibri" w:cs="Calibri"/>
          <w:sz w:val="24"/>
          <w:szCs w:val="24"/>
        </w:rPr>
        <w:t>2019</w:t>
      </w:r>
      <w:r w:rsidRPr="00763436">
        <w:rPr>
          <w:rFonts w:ascii="Calibri" w:hAnsi="Calibri" w:cs="Calibri"/>
          <w:sz w:val="24"/>
          <w:szCs w:val="24"/>
        </w:rPr>
        <w:t xml:space="preserve">). </w:t>
      </w:r>
      <w:r w:rsidR="000A745C" w:rsidRPr="00763436">
        <w:rPr>
          <w:rFonts w:ascii="Calibri" w:hAnsi="Calibri" w:cs="Calibri"/>
          <w:sz w:val="24"/>
          <w:szCs w:val="24"/>
        </w:rPr>
        <w:t xml:space="preserve"> </w:t>
      </w:r>
      <w:r w:rsidRPr="00763436">
        <w:rPr>
          <w:rFonts w:ascii="Calibri" w:hAnsi="Calibri" w:cs="Calibri"/>
          <w:sz w:val="24"/>
          <w:szCs w:val="24"/>
        </w:rPr>
        <w:t xml:space="preserve">Apollonius was writing in a context in which the distance between foreigner and other was blurred, with specific and empowering implications for </w:t>
      </w:r>
      <w:r w:rsidR="00BE64A7">
        <w:rPr>
          <w:rFonts w:ascii="Calibri" w:hAnsi="Calibri" w:cs="Calibri"/>
          <w:sz w:val="24"/>
          <w:szCs w:val="24"/>
        </w:rPr>
        <w:t xml:space="preserve">Greek </w:t>
      </w:r>
      <w:r w:rsidRPr="00763436">
        <w:rPr>
          <w:rFonts w:ascii="Calibri" w:hAnsi="Calibri" w:cs="Calibri"/>
          <w:sz w:val="24"/>
          <w:szCs w:val="24"/>
        </w:rPr>
        <w:t>women – all of which can be seen</w:t>
      </w:r>
      <w:r w:rsidR="000A745C" w:rsidRPr="00763436">
        <w:rPr>
          <w:rFonts w:ascii="Calibri" w:hAnsi="Calibri" w:cs="Calibri"/>
          <w:sz w:val="24"/>
          <w:szCs w:val="24"/>
        </w:rPr>
        <w:t xml:space="preserve"> reflected</w:t>
      </w:r>
      <w:r w:rsidRPr="00763436">
        <w:rPr>
          <w:rFonts w:ascii="Calibri" w:hAnsi="Calibri" w:cs="Calibri"/>
          <w:sz w:val="24"/>
          <w:szCs w:val="24"/>
        </w:rPr>
        <w:t xml:space="preserve"> in his </w:t>
      </w:r>
      <w:r w:rsidR="006B1600" w:rsidRPr="00763436">
        <w:rPr>
          <w:rFonts w:ascii="Calibri" w:hAnsi="Calibri" w:cs="Calibri"/>
          <w:sz w:val="24"/>
          <w:szCs w:val="24"/>
        </w:rPr>
        <w:t xml:space="preserve">empowered and self-determining </w:t>
      </w:r>
      <w:r w:rsidRPr="00763436">
        <w:rPr>
          <w:rFonts w:ascii="Calibri" w:hAnsi="Calibri" w:cs="Calibri"/>
          <w:sz w:val="24"/>
          <w:szCs w:val="24"/>
        </w:rPr>
        <w:t xml:space="preserve">Medea. </w:t>
      </w:r>
    </w:p>
    <w:p w14:paraId="6625C6C1" w14:textId="605C77EA" w:rsidR="002C7EE6" w:rsidRPr="00763436" w:rsidRDefault="005E2E36" w:rsidP="002C7EE6">
      <w:pPr>
        <w:rPr>
          <w:rFonts w:ascii="Calibri" w:hAnsi="Calibri" w:cs="Calibri"/>
          <w:sz w:val="24"/>
          <w:szCs w:val="24"/>
        </w:rPr>
      </w:pPr>
      <w:r w:rsidRPr="00763436">
        <w:rPr>
          <w:rFonts w:ascii="Calibri" w:hAnsi="Calibri" w:cs="Calibri"/>
          <w:sz w:val="24"/>
          <w:szCs w:val="24"/>
        </w:rPr>
        <w:t>Fourthly and also crucially, Apollonius</w:t>
      </w:r>
      <w:r w:rsidR="006B1600" w:rsidRPr="00763436">
        <w:rPr>
          <w:rFonts w:ascii="Calibri" w:hAnsi="Calibri" w:cs="Calibri"/>
          <w:sz w:val="24"/>
          <w:szCs w:val="24"/>
        </w:rPr>
        <w:t xml:space="preserve"> and others writing in 3rd Century </w:t>
      </w:r>
      <w:r w:rsidRPr="00763436">
        <w:rPr>
          <w:rFonts w:ascii="Calibri" w:hAnsi="Calibri" w:cs="Calibri"/>
          <w:sz w:val="24"/>
          <w:szCs w:val="24"/>
        </w:rPr>
        <w:t xml:space="preserve">Alexandria were writing in a context in which royal women held and shared power with men. </w:t>
      </w:r>
      <w:r w:rsidR="006B1600" w:rsidRPr="00763436">
        <w:rPr>
          <w:rFonts w:ascii="Calibri" w:hAnsi="Calibri" w:cs="Calibri"/>
          <w:sz w:val="24"/>
          <w:szCs w:val="24"/>
        </w:rPr>
        <w:t>Within Egyptian culture Queens had often ruled as co-regents with the King, who was also often their brother, and ruled alone upon the death of the King. Ptolemaic</w:t>
      </w:r>
      <w:r w:rsidR="001C657C" w:rsidRPr="00763436">
        <w:rPr>
          <w:rFonts w:ascii="Calibri" w:hAnsi="Calibri" w:cs="Calibri"/>
          <w:sz w:val="24"/>
          <w:szCs w:val="24"/>
        </w:rPr>
        <w:t xml:space="preserve"> Queens</w:t>
      </w:r>
      <w:r w:rsidR="006B1600" w:rsidRPr="00763436">
        <w:rPr>
          <w:rFonts w:ascii="Calibri" w:hAnsi="Calibri" w:cs="Calibri"/>
          <w:sz w:val="24"/>
          <w:szCs w:val="24"/>
        </w:rPr>
        <w:t xml:space="preserve"> both served as powerful </w:t>
      </w:r>
      <w:r w:rsidR="001C657C" w:rsidRPr="00763436">
        <w:rPr>
          <w:rFonts w:ascii="Calibri" w:hAnsi="Calibri" w:cs="Calibri"/>
          <w:sz w:val="24"/>
          <w:szCs w:val="24"/>
        </w:rPr>
        <w:t xml:space="preserve">role models </w:t>
      </w:r>
      <w:r w:rsidR="006B1600" w:rsidRPr="00763436">
        <w:rPr>
          <w:rFonts w:ascii="Calibri" w:hAnsi="Calibri" w:cs="Calibri"/>
          <w:sz w:val="24"/>
          <w:szCs w:val="24"/>
        </w:rPr>
        <w:t>of men and women sharing</w:t>
      </w:r>
      <w:r w:rsidR="001C657C" w:rsidRPr="00763436">
        <w:rPr>
          <w:rFonts w:ascii="Calibri" w:hAnsi="Calibri" w:cs="Calibri"/>
          <w:sz w:val="24"/>
          <w:szCs w:val="24"/>
        </w:rPr>
        <w:t xml:space="preserve"> power</w:t>
      </w:r>
      <w:r w:rsidR="00BE64A7">
        <w:rPr>
          <w:rFonts w:ascii="Calibri" w:hAnsi="Calibri" w:cs="Calibri"/>
          <w:sz w:val="24"/>
          <w:szCs w:val="24"/>
        </w:rPr>
        <w:t>,</w:t>
      </w:r>
      <w:r w:rsidR="001C657C" w:rsidRPr="00763436">
        <w:rPr>
          <w:rFonts w:ascii="Calibri" w:hAnsi="Calibri" w:cs="Calibri"/>
          <w:sz w:val="24"/>
          <w:szCs w:val="24"/>
        </w:rPr>
        <w:t xml:space="preserve"> and as patrons of culture</w:t>
      </w:r>
      <w:r w:rsidR="006B1600" w:rsidRPr="00763436">
        <w:rPr>
          <w:rFonts w:ascii="Calibri" w:hAnsi="Calibri" w:cs="Calibri"/>
          <w:sz w:val="24"/>
          <w:szCs w:val="24"/>
        </w:rPr>
        <w:t xml:space="preserve">, commissioning works in their own honour. </w:t>
      </w:r>
      <w:r w:rsidR="00CE69AB" w:rsidRPr="00763436">
        <w:rPr>
          <w:rFonts w:ascii="Calibri" w:hAnsi="Calibri" w:cs="Calibri"/>
          <w:sz w:val="24"/>
          <w:szCs w:val="24"/>
        </w:rPr>
        <w:t xml:space="preserve">Callimachus’ portrayals of the Ptolemaic queens in his poetry honouring the monarchs show Berenice I and II as both sexually and politically powerful. </w:t>
      </w:r>
      <w:r w:rsidR="002C7EE6" w:rsidRPr="00763436">
        <w:rPr>
          <w:rFonts w:ascii="Calibri" w:hAnsi="Calibri" w:cs="Calibri"/>
          <w:sz w:val="24"/>
          <w:szCs w:val="24"/>
        </w:rPr>
        <w:t>Ptolemaic</w:t>
      </w:r>
      <w:r w:rsidR="00504D6C" w:rsidRPr="00763436">
        <w:rPr>
          <w:rFonts w:ascii="Calibri" w:hAnsi="Calibri" w:cs="Calibri"/>
          <w:sz w:val="24"/>
          <w:szCs w:val="24"/>
        </w:rPr>
        <w:t xml:space="preserve"> queens were well known to use their power, both alongside and independently of </w:t>
      </w:r>
      <w:r w:rsidR="002C7EE6" w:rsidRPr="00763436">
        <w:rPr>
          <w:rFonts w:ascii="Calibri" w:hAnsi="Calibri" w:cs="Calibri"/>
          <w:sz w:val="24"/>
          <w:szCs w:val="24"/>
        </w:rPr>
        <w:t xml:space="preserve">the </w:t>
      </w:r>
      <w:r w:rsidR="00504D6C" w:rsidRPr="00763436">
        <w:rPr>
          <w:rFonts w:ascii="Calibri" w:hAnsi="Calibri" w:cs="Calibri"/>
          <w:sz w:val="24"/>
          <w:szCs w:val="24"/>
        </w:rPr>
        <w:t>men within the Royal household (</w:t>
      </w:r>
      <w:r w:rsidR="00CE69AB" w:rsidRPr="00763436">
        <w:rPr>
          <w:rFonts w:ascii="Calibri" w:hAnsi="Calibri" w:cs="Calibri"/>
          <w:sz w:val="24"/>
          <w:szCs w:val="24"/>
        </w:rPr>
        <w:t xml:space="preserve">Pomeroy </w:t>
      </w:r>
      <w:r w:rsidR="0021717F" w:rsidRPr="00763436">
        <w:rPr>
          <w:rFonts w:ascii="Calibri" w:hAnsi="Calibri" w:cs="Calibri"/>
          <w:sz w:val="24"/>
          <w:szCs w:val="24"/>
        </w:rPr>
        <w:t>1990</w:t>
      </w:r>
      <w:r w:rsidR="00504D6C" w:rsidRPr="00763436">
        <w:rPr>
          <w:rFonts w:ascii="Calibri" w:hAnsi="Calibri" w:cs="Calibri"/>
          <w:sz w:val="24"/>
          <w:szCs w:val="24"/>
        </w:rPr>
        <w:t>)</w:t>
      </w:r>
      <w:r w:rsidR="00BE64A7">
        <w:rPr>
          <w:rFonts w:ascii="Calibri" w:hAnsi="Calibri" w:cs="Calibri"/>
          <w:sz w:val="24"/>
          <w:szCs w:val="24"/>
        </w:rPr>
        <w:t>,</w:t>
      </w:r>
      <w:r w:rsidR="00504D6C" w:rsidRPr="00763436">
        <w:rPr>
          <w:rFonts w:ascii="Calibri" w:hAnsi="Calibri" w:cs="Calibri"/>
          <w:sz w:val="24"/>
          <w:szCs w:val="24"/>
        </w:rPr>
        <w:t xml:space="preserve"> </w:t>
      </w:r>
      <w:r w:rsidR="002C7EE6" w:rsidRPr="00763436">
        <w:rPr>
          <w:rFonts w:ascii="Calibri" w:hAnsi="Calibri" w:cs="Calibri"/>
          <w:sz w:val="24"/>
          <w:szCs w:val="24"/>
        </w:rPr>
        <w:t xml:space="preserve">and there was much literary exploration of </w:t>
      </w:r>
      <w:r w:rsidR="0035143E" w:rsidRPr="00763436">
        <w:rPr>
          <w:rFonts w:ascii="Calibri" w:hAnsi="Calibri" w:cs="Calibri"/>
          <w:sz w:val="24"/>
          <w:szCs w:val="24"/>
        </w:rPr>
        <w:t xml:space="preserve">exactly </w:t>
      </w:r>
      <w:r w:rsidR="002C7EE6" w:rsidRPr="00763436">
        <w:rPr>
          <w:rFonts w:ascii="Calibri" w:hAnsi="Calibri" w:cs="Calibri"/>
          <w:sz w:val="24"/>
          <w:szCs w:val="24"/>
        </w:rPr>
        <w:t xml:space="preserve">how their power was exercised alongside that of fathers, brothers, husbands and sons. </w:t>
      </w:r>
      <w:r w:rsidR="00DF135A" w:rsidRPr="00763436">
        <w:rPr>
          <w:rFonts w:ascii="Calibri" w:hAnsi="Calibri" w:cs="Calibri"/>
          <w:sz w:val="24"/>
          <w:szCs w:val="24"/>
        </w:rPr>
        <w:t>Beyond the central figure of Medea, Apollonius’ text is replete with examples of women exercising wisdom and judgement (Circe), negotiating (</w:t>
      </w:r>
      <w:r w:rsidR="008D2344" w:rsidRPr="00763436">
        <w:rPr>
          <w:rFonts w:ascii="Calibri" w:hAnsi="Calibri" w:cs="Calibri"/>
          <w:sz w:val="24"/>
          <w:szCs w:val="24"/>
        </w:rPr>
        <w:t>Chalciope)</w:t>
      </w:r>
      <w:r w:rsidR="00DF135A" w:rsidRPr="00763436">
        <w:rPr>
          <w:rFonts w:ascii="Calibri" w:hAnsi="Calibri" w:cs="Calibri"/>
          <w:sz w:val="24"/>
          <w:szCs w:val="24"/>
        </w:rPr>
        <w:t xml:space="preserve"> and using their power as regents in subtle and sophisticated ways (both Hypsipyle and</w:t>
      </w:r>
      <w:r w:rsidR="00350CED" w:rsidRPr="00763436">
        <w:rPr>
          <w:rFonts w:ascii="Calibri" w:hAnsi="Calibri" w:cs="Calibri"/>
          <w:sz w:val="24"/>
          <w:szCs w:val="24"/>
        </w:rPr>
        <w:t xml:space="preserve"> Arete</w:t>
      </w:r>
      <w:r w:rsidR="00DF135A" w:rsidRPr="00763436">
        <w:rPr>
          <w:rFonts w:ascii="Calibri" w:hAnsi="Calibri" w:cs="Calibri"/>
          <w:sz w:val="24"/>
          <w:szCs w:val="24"/>
        </w:rPr>
        <w:t xml:space="preserve">). </w:t>
      </w:r>
      <w:r w:rsidR="002C7EE6" w:rsidRPr="00763436">
        <w:rPr>
          <w:rFonts w:ascii="Calibri" w:hAnsi="Calibri" w:cs="Calibri"/>
          <w:sz w:val="24"/>
          <w:szCs w:val="24"/>
        </w:rPr>
        <w:t xml:space="preserve">As Gutzwiller </w:t>
      </w:r>
      <w:r w:rsidR="00BE64A7">
        <w:rPr>
          <w:rFonts w:ascii="Calibri" w:hAnsi="Calibri" w:cs="Calibri"/>
          <w:sz w:val="24"/>
          <w:szCs w:val="24"/>
        </w:rPr>
        <w:t xml:space="preserve">(op cit) </w:t>
      </w:r>
      <w:r w:rsidR="002C7EE6" w:rsidRPr="00763436">
        <w:rPr>
          <w:rFonts w:ascii="Calibri" w:hAnsi="Calibri" w:cs="Calibri"/>
          <w:sz w:val="24"/>
          <w:szCs w:val="24"/>
        </w:rPr>
        <w:t>argues “Apollonius portrayal of Medea indicates a very real change in attitudes to Greek women … a cultural advance in coming to terms with women’s pow</w:t>
      </w:r>
      <w:r w:rsidR="00BE64A7">
        <w:rPr>
          <w:rFonts w:ascii="Calibri" w:hAnsi="Calibri" w:cs="Calibri"/>
          <w:sz w:val="24"/>
          <w:szCs w:val="24"/>
        </w:rPr>
        <w:t>er and privilege.”</w:t>
      </w:r>
    </w:p>
    <w:p w14:paraId="62A92A68" w14:textId="3AC1DD99" w:rsidR="00CE69AB" w:rsidRPr="00763436" w:rsidRDefault="002C7EE6" w:rsidP="00CE69AB">
      <w:pPr>
        <w:rPr>
          <w:rFonts w:ascii="Calibri" w:hAnsi="Calibri" w:cs="Calibri"/>
          <w:sz w:val="24"/>
          <w:szCs w:val="24"/>
        </w:rPr>
      </w:pPr>
      <w:r w:rsidRPr="00763436">
        <w:rPr>
          <w:rFonts w:ascii="Calibri" w:hAnsi="Calibri" w:cs="Calibri"/>
          <w:sz w:val="24"/>
          <w:szCs w:val="24"/>
        </w:rPr>
        <w:lastRenderedPageBreak/>
        <w:t xml:space="preserve">Caneva </w:t>
      </w:r>
      <w:r w:rsidR="002B7DF7">
        <w:rPr>
          <w:rFonts w:ascii="Calibri" w:hAnsi="Calibri" w:cs="Calibri"/>
          <w:sz w:val="24"/>
          <w:szCs w:val="24"/>
        </w:rPr>
        <w:t xml:space="preserve">(2014) </w:t>
      </w:r>
      <w:r w:rsidRPr="00763436">
        <w:rPr>
          <w:rFonts w:ascii="Calibri" w:hAnsi="Calibri" w:cs="Calibri"/>
          <w:sz w:val="24"/>
          <w:szCs w:val="24"/>
        </w:rPr>
        <w:t>points out that in literary explorations of romantic love in this period “the rhetoric of reciprocal love is associated with a model of a royal couple where competences are destabilized from a gender basis, just to be strategically integrated in a common aim</w:t>
      </w:r>
      <w:r w:rsidR="002B7DF7">
        <w:rPr>
          <w:rFonts w:ascii="Calibri" w:hAnsi="Calibri" w:cs="Calibri"/>
          <w:sz w:val="24"/>
          <w:szCs w:val="24"/>
        </w:rPr>
        <w:t xml:space="preserve">.” </w:t>
      </w:r>
      <w:r w:rsidRPr="00763436">
        <w:rPr>
          <w:rFonts w:ascii="Calibri" w:hAnsi="Calibri" w:cs="Calibri"/>
          <w:sz w:val="24"/>
          <w:szCs w:val="24"/>
        </w:rPr>
        <w:t xml:space="preserve">It is precisely this deliberate ‘de-stabilising’ of gender roles that we see in Jason and Medea’s relationship in Apollonius’ </w:t>
      </w:r>
      <w:r w:rsidRPr="009D0A91">
        <w:rPr>
          <w:rFonts w:ascii="Calibri" w:hAnsi="Calibri" w:cs="Calibri"/>
          <w:i/>
          <w:sz w:val="24"/>
          <w:szCs w:val="24"/>
        </w:rPr>
        <w:t>Argonautica</w:t>
      </w:r>
      <w:r w:rsidRPr="00763436">
        <w:rPr>
          <w:rFonts w:ascii="Calibri" w:hAnsi="Calibri" w:cs="Calibri"/>
          <w:sz w:val="24"/>
          <w:szCs w:val="24"/>
        </w:rPr>
        <w:t xml:space="preserve">, where Jason and Medea need to work together, across traditional gender roles and boundaries, if the overall heroic quest is to succeed. </w:t>
      </w:r>
    </w:p>
    <w:p w14:paraId="1F0E72F2" w14:textId="28986F49" w:rsidR="001C657C" w:rsidRPr="00763436" w:rsidRDefault="00CE69AB" w:rsidP="001C657C">
      <w:pPr>
        <w:rPr>
          <w:rFonts w:ascii="Calibri" w:hAnsi="Calibri" w:cs="Calibri"/>
          <w:sz w:val="24"/>
          <w:szCs w:val="24"/>
        </w:rPr>
      </w:pPr>
      <w:r w:rsidRPr="00763436">
        <w:rPr>
          <w:rFonts w:ascii="Calibri" w:hAnsi="Calibri" w:cs="Calibri"/>
          <w:sz w:val="24"/>
          <w:szCs w:val="24"/>
        </w:rPr>
        <w:t xml:space="preserve">Against the backdrop of this </w:t>
      </w:r>
      <w:r w:rsidR="002C7EE6" w:rsidRPr="00763436">
        <w:rPr>
          <w:rFonts w:ascii="Calibri" w:hAnsi="Calibri" w:cs="Calibri"/>
          <w:sz w:val="24"/>
          <w:szCs w:val="24"/>
        </w:rPr>
        <w:t xml:space="preserve">highly </w:t>
      </w:r>
      <w:r w:rsidRPr="00763436">
        <w:rPr>
          <w:rFonts w:ascii="Calibri" w:hAnsi="Calibri" w:cs="Calibri"/>
          <w:sz w:val="24"/>
          <w:szCs w:val="24"/>
        </w:rPr>
        <w:t>specific aspect of the political, cultural and literary context</w:t>
      </w:r>
      <w:r w:rsidR="002C7EE6" w:rsidRPr="00763436">
        <w:rPr>
          <w:rFonts w:ascii="Calibri" w:hAnsi="Calibri" w:cs="Calibri"/>
          <w:sz w:val="24"/>
          <w:szCs w:val="24"/>
        </w:rPr>
        <w:t>,</w:t>
      </w:r>
      <w:r w:rsidRPr="00763436">
        <w:rPr>
          <w:rFonts w:ascii="Calibri" w:hAnsi="Calibri" w:cs="Calibri"/>
          <w:sz w:val="24"/>
          <w:szCs w:val="24"/>
        </w:rPr>
        <w:t xml:space="preserve"> entirely new to Greek authorship, Apollonius’ Medea, in her ‘co-regency’ of the epic along with Jason, can be understood as reflecting both the direct the experience of co-regency in Ptolemaic Alexandria, and the wider literary e</w:t>
      </w:r>
      <w:r w:rsidR="00BE64A7">
        <w:rPr>
          <w:rFonts w:ascii="Calibri" w:hAnsi="Calibri" w:cs="Calibri"/>
          <w:sz w:val="24"/>
          <w:szCs w:val="24"/>
        </w:rPr>
        <w:t>xploration of the internal dynamics of co-regency</w:t>
      </w:r>
      <w:r w:rsidRPr="00763436">
        <w:rPr>
          <w:rFonts w:ascii="Calibri" w:hAnsi="Calibri" w:cs="Calibri"/>
          <w:sz w:val="24"/>
          <w:szCs w:val="24"/>
        </w:rPr>
        <w:t xml:space="preserve"> by the Greek authors. </w:t>
      </w:r>
    </w:p>
    <w:p w14:paraId="085C6F55" w14:textId="6B7F99C3" w:rsidR="001C657C" w:rsidRPr="00763436" w:rsidRDefault="001C657C" w:rsidP="001C657C">
      <w:pPr>
        <w:rPr>
          <w:rFonts w:ascii="Calibri" w:hAnsi="Calibri" w:cs="Calibri"/>
          <w:b/>
          <w:sz w:val="24"/>
          <w:szCs w:val="24"/>
        </w:rPr>
      </w:pPr>
      <w:r w:rsidRPr="00763436">
        <w:rPr>
          <w:rFonts w:ascii="Calibri" w:hAnsi="Calibri" w:cs="Calibri"/>
          <w:b/>
          <w:sz w:val="24"/>
          <w:szCs w:val="24"/>
        </w:rPr>
        <w:t>Conclusion</w:t>
      </w:r>
    </w:p>
    <w:p w14:paraId="5D96F698" w14:textId="606E99CA" w:rsidR="006B1600" w:rsidRPr="00763436" w:rsidRDefault="001C657C" w:rsidP="001C657C">
      <w:pPr>
        <w:rPr>
          <w:rFonts w:ascii="Calibri" w:hAnsi="Calibri" w:cs="Calibri"/>
          <w:sz w:val="24"/>
          <w:szCs w:val="24"/>
        </w:rPr>
      </w:pPr>
      <w:r w:rsidRPr="00763436">
        <w:rPr>
          <w:rFonts w:ascii="Calibri" w:hAnsi="Calibri" w:cs="Calibri"/>
          <w:sz w:val="24"/>
          <w:szCs w:val="24"/>
        </w:rPr>
        <w:t xml:space="preserve">Apollonius </w:t>
      </w:r>
      <w:r w:rsidR="00541980">
        <w:rPr>
          <w:rFonts w:ascii="Calibri" w:hAnsi="Calibri" w:cs="Calibri"/>
          <w:sz w:val="24"/>
          <w:szCs w:val="24"/>
        </w:rPr>
        <w:t>was underappreciated by critics</w:t>
      </w:r>
      <w:r w:rsidR="006B1600" w:rsidRPr="00763436">
        <w:rPr>
          <w:rFonts w:ascii="Calibri" w:hAnsi="Calibri" w:cs="Calibri"/>
          <w:sz w:val="24"/>
          <w:szCs w:val="24"/>
        </w:rPr>
        <w:t xml:space="preserve"> who </w:t>
      </w:r>
      <w:r w:rsidR="00541980">
        <w:rPr>
          <w:rFonts w:ascii="Calibri" w:hAnsi="Calibri" w:cs="Calibri"/>
          <w:sz w:val="24"/>
          <w:szCs w:val="24"/>
        </w:rPr>
        <w:t>read</w:t>
      </w:r>
      <w:r w:rsidR="006B1600" w:rsidRPr="00763436">
        <w:rPr>
          <w:rFonts w:ascii="Calibri" w:hAnsi="Calibri" w:cs="Calibri"/>
          <w:sz w:val="24"/>
          <w:szCs w:val="24"/>
        </w:rPr>
        <w:t xml:space="preserve"> him solely </w:t>
      </w:r>
      <w:r w:rsidR="00541980">
        <w:rPr>
          <w:rFonts w:ascii="Calibri" w:hAnsi="Calibri" w:cs="Calibri"/>
          <w:sz w:val="24"/>
          <w:szCs w:val="24"/>
        </w:rPr>
        <w:t>in relation to</w:t>
      </w:r>
      <w:r w:rsidR="006B1600" w:rsidRPr="00763436">
        <w:rPr>
          <w:rFonts w:ascii="Calibri" w:hAnsi="Calibri" w:cs="Calibri"/>
          <w:sz w:val="24"/>
          <w:szCs w:val="24"/>
        </w:rPr>
        <w:t xml:space="preserve"> earlier epic authors and versions of Medea</w:t>
      </w:r>
      <w:r w:rsidR="00541980">
        <w:rPr>
          <w:rFonts w:ascii="Calibri" w:hAnsi="Calibri" w:cs="Calibri"/>
          <w:sz w:val="24"/>
          <w:szCs w:val="24"/>
        </w:rPr>
        <w:t>’s</w:t>
      </w:r>
      <w:r w:rsidR="006B1600" w:rsidRPr="00763436">
        <w:rPr>
          <w:rFonts w:ascii="Calibri" w:hAnsi="Calibri" w:cs="Calibri"/>
          <w:sz w:val="24"/>
          <w:szCs w:val="24"/>
        </w:rPr>
        <w:t xml:space="preserve"> story. However, more recent criticism, particularly that which starts from seeing Apollonius within his historical, literary and cultural context, reveals his ski</w:t>
      </w:r>
      <w:r w:rsidR="00541980">
        <w:rPr>
          <w:rFonts w:ascii="Calibri" w:hAnsi="Calibri" w:cs="Calibri"/>
          <w:sz w:val="24"/>
          <w:szCs w:val="24"/>
        </w:rPr>
        <w:t xml:space="preserve">ll and intention as an author. </w:t>
      </w:r>
      <w:r w:rsidR="006B1600" w:rsidRPr="00763436">
        <w:rPr>
          <w:rFonts w:ascii="Calibri" w:hAnsi="Calibri" w:cs="Calibri"/>
          <w:sz w:val="24"/>
          <w:szCs w:val="24"/>
        </w:rPr>
        <w:t xml:space="preserve">Apollonius </w:t>
      </w:r>
      <w:r w:rsidRPr="00763436">
        <w:rPr>
          <w:rFonts w:ascii="Calibri" w:hAnsi="Calibri" w:cs="Calibri"/>
          <w:sz w:val="24"/>
          <w:szCs w:val="24"/>
        </w:rPr>
        <w:t xml:space="preserve">deliberately </w:t>
      </w:r>
      <w:r w:rsidR="008224A8" w:rsidRPr="00763436">
        <w:rPr>
          <w:rFonts w:ascii="Calibri" w:hAnsi="Calibri" w:cs="Calibri"/>
          <w:sz w:val="24"/>
          <w:szCs w:val="24"/>
        </w:rPr>
        <w:t>innovated</w:t>
      </w:r>
      <w:r w:rsidRPr="00763436">
        <w:rPr>
          <w:rFonts w:ascii="Calibri" w:hAnsi="Calibri" w:cs="Calibri"/>
          <w:sz w:val="24"/>
          <w:szCs w:val="24"/>
        </w:rPr>
        <w:t xml:space="preserve"> with the character of Medea, to in</w:t>
      </w:r>
      <w:r w:rsidR="006B1600" w:rsidRPr="00763436">
        <w:rPr>
          <w:rFonts w:ascii="Calibri" w:hAnsi="Calibri" w:cs="Calibri"/>
          <w:sz w:val="24"/>
          <w:szCs w:val="24"/>
        </w:rPr>
        <w:t xml:space="preserve">troduce a new theme (love) into </w:t>
      </w:r>
      <w:r w:rsidRPr="00763436">
        <w:rPr>
          <w:rFonts w:ascii="Calibri" w:hAnsi="Calibri" w:cs="Calibri"/>
          <w:sz w:val="24"/>
          <w:szCs w:val="24"/>
        </w:rPr>
        <w:t xml:space="preserve">epic, to </w:t>
      </w:r>
      <w:r w:rsidR="00BE64A7">
        <w:rPr>
          <w:rFonts w:ascii="Calibri" w:hAnsi="Calibri" w:cs="Calibri"/>
          <w:sz w:val="24"/>
          <w:szCs w:val="24"/>
        </w:rPr>
        <w:t xml:space="preserve">explore and </w:t>
      </w:r>
      <w:r w:rsidRPr="00763436">
        <w:rPr>
          <w:rFonts w:ascii="Calibri" w:hAnsi="Calibri" w:cs="Calibri"/>
          <w:sz w:val="24"/>
          <w:szCs w:val="24"/>
        </w:rPr>
        <w:t xml:space="preserve">create a </w:t>
      </w:r>
      <w:r w:rsidR="006B1600" w:rsidRPr="00763436">
        <w:rPr>
          <w:rFonts w:ascii="Calibri" w:hAnsi="Calibri" w:cs="Calibri"/>
          <w:sz w:val="24"/>
          <w:szCs w:val="24"/>
        </w:rPr>
        <w:t>new</w:t>
      </w:r>
      <w:r w:rsidRPr="00763436">
        <w:rPr>
          <w:rFonts w:ascii="Calibri" w:hAnsi="Calibri" w:cs="Calibri"/>
          <w:sz w:val="24"/>
          <w:szCs w:val="24"/>
        </w:rPr>
        <w:t xml:space="preserve"> version of heroism</w:t>
      </w:r>
      <w:r w:rsidR="006B1600" w:rsidRPr="00763436">
        <w:rPr>
          <w:rFonts w:ascii="Calibri" w:hAnsi="Calibri" w:cs="Calibri"/>
          <w:sz w:val="24"/>
          <w:szCs w:val="24"/>
        </w:rPr>
        <w:t xml:space="preserve"> in the character of Jason</w:t>
      </w:r>
      <w:r w:rsidRPr="00763436">
        <w:rPr>
          <w:rFonts w:ascii="Calibri" w:hAnsi="Calibri" w:cs="Calibri"/>
          <w:sz w:val="24"/>
          <w:szCs w:val="24"/>
        </w:rPr>
        <w:t xml:space="preserve">, and to create for the first time a more real, whole, </w:t>
      </w:r>
      <w:r w:rsidR="0053601E">
        <w:rPr>
          <w:rFonts w:ascii="Calibri" w:hAnsi="Calibri" w:cs="Calibri"/>
          <w:sz w:val="24"/>
          <w:szCs w:val="24"/>
        </w:rPr>
        <w:t xml:space="preserve">and </w:t>
      </w:r>
      <w:r w:rsidRPr="00763436">
        <w:rPr>
          <w:rFonts w:ascii="Calibri" w:hAnsi="Calibri" w:cs="Calibri"/>
          <w:sz w:val="24"/>
          <w:szCs w:val="24"/>
        </w:rPr>
        <w:t>complex picture of a woman’s character, both vulnerable and powerful, with a rich inner life, complex moral commitments, and a growing sense of determination to follow her own path</w:t>
      </w:r>
      <w:r w:rsidR="0053601E">
        <w:rPr>
          <w:rFonts w:ascii="Calibri" w:hAnsi="Calibri" w:cs="Calibri"/>
          <w:sz w:val="24"/>
          <w:szCs w:val="24"/>
        </w:rPr>
        <w:t>.</w:t>
      </w:r>
    </w:p>
    <w:p w14:paraId="5D27B2F2" w14:textId="7709985D" w:rsidR="001C657C" w:rsidRPr="00763436" w:rsidRDefault="001C657C" w:rsidP="00541980">
      <w:pPr>
        <w:rPr>
          <w:rFonts w:ascii="Calibri" w:hAnsi="Calibri" w:cs="Calibri"/>
          <w:sz w:val="24"/>
          <w:szCs w:val="24"/>
        </w:rPr>
      </w:pPr>
      <w:r w:rsidRPr="00763436">
        <w:rPr>
          <w:rFonts w:ascii="Calibri" w:hAnsi="Calibri" w:cs="Calibri"/>
          <w:sz w:val="24"/>
          <w:szCs w:val="24"/>
        </w:rPr>
        <w:t>That he writes this without choosing to fall into traps and stereotypes of the ‘good’ or ‘bad’ woman</w:t>
      </w:r>
      <w:r w:rsidR="006B1600" w:rsidRPr="00763436">
        <w:rPr>
          <w:rFonts w:ascii="Calibri" w:hAnsi="Calibri" w:cs="Calibri"/>
          <w:sz w:val="24"/>
          <w:szCs w:val="24"/>
        </w:rPr>
        <w:t xml:space="preserve">, </w:t>
      </w:r>
      <w:r w:rsidRPr="00763436">
        <w:rPr>
          <w:rFonts w:ascii="Calibri" w:hAnsi="Calibri" w:cs="Calibri"/>
          <w:sz w:val="24"/>
          <w:szCs w:val="24"/>
        </w:rPr>
        <w:t>both shows Apollonius</w:t>
      </w:r>
      <w:r w:rsidR="00BE64A7">
        <w:rPr>
          <w:rFonts w:ascii="Calibri" w:hAnsi="Calibri" w:cs="Calibri"/>
          <w:sz w:val="24"/>
          <w:szCs w:val="24"/>
        </w:rPr>
        <w:t>’</w:t>
      </w:r>
      <w:r w:rsidRPr="00763436">
        <w:rPr>
          <w:rFonts w:ascii="Calibri" w:hAnsi="Calibri" w:cs="Calibri"/>
          <w:sz w:val="24"/>
          <w:szCs w:val="24"/>
        </w:rPr>
        <w:t xml:space="preserve"> courage and skill to rework an existing </w:t>
      </w:r>
      <w:r w:rsidR="003A7B6A">
        <w:rPr>
          <w:rFonts w:ascii="Calibri" w:hAnsi="Calibri" w:cs="Calibri"/>
          <w:sz w:val="24"/>
          <w:szCs w:val="24"/>
        </w:rPr>
        <w:t>myth and medium to new ends;</w:t>
      </w:r>
      <w:r w:rsidRPr="00763436">
        <w:rPr>
          <w:rFonts w:ascii="Calibri" w:hAnsi="Calibri" w:cs="Calibri"/>
          <w:sz w:val="24"/>
          <w:szCs w:val="24"/>
        </w:rPr>
        <w:t xml:space="preserve"> his prescient insight into human psychology (</w:t>
      </w:r>
      <w:r w:rsidR="006B1600" w:rsidRPr="00763436">
        <w:rPr>
          <w:rFonts w:ascii="Calibri" w:hAnsi="Calibri" w:cs="Calibri"/>
          <w:sz w:val="24"/>
          <w:szCs w:val="24"/>
        </w:rPr>
        <w:t xml:space="preserve">eg </w:t>
      </w:r>
      <w:r w:rsidR="003A7B6A">
        <w:rPr>
          <w:rFonts w:ascii="Calibri" w:hAnsi="Calibri" w:cs="Calibri"/>
          <w:sz w:val="24"/>
          <w:szCs w:val="24"/>
        </w:rPr>
        <w:t xml:space="preserve">in </w:t>
      </w:r>
      <w:r w:rsidRPr="00763436">
        <w:rPr>
          <w:rFonts w:ascii="Calibri" w:hAnsi="Calibri" w:cs="Calibri"/>
          <w:sz w:val="24"/>
          <w:szCs w:val="24"/>
        </w:rPr>
        <w:t>Medea’s dream, interior monologues)</w:t>
      </w:r>
      <w:r w:rsidR="003A7B6A">
        <w:rPr>
          <w:rFonts w:ascii="Calibri" w:hAnsi="Calibri" w:cs="Calibri"/>
          <w:sz w:val="24"/>
          <w:szCs w:val="24"/>
        </w:rPr>
        <w:t>;</w:t>
      </w:r>
      <w:r w:rsidRPr="00763436">
        <w:rPr>
          <w:rFonts w:ascii="Calibri" w:hAnsi="Calibri" w:cs="Calibri"/>
          <w:sz w:val="24"/>
          <w:szCs w:val="24"/>
        </w:rPr>
        <w:t xml:space="preserve"> and </w:t>
      </w:r>
      <w:r w:rsidR="003A7B6A">
        <w:rPr>
          <w:rFonts w:ascii="Calibri" w:hAnsi="Calibri" w:cs="Calibri"/>
          <w:sz w:val="24"/>
          <w:szCs w:val="24"/>
        </w:rPr>
        <w:t xml:space="preserve">his reflection on </w:t>
      </w:r>
      <w:r w:rsidRPr="00763436">
        <w:rPr>
          <w:rFonts w:ascii="Calibri" w:hAnsi="Calibri" w:cs="Calibri"/>
          <w:sz w:val="24"/>
          <w:szCs w:val="24"/>
        </w:rPr>
        <w:t xml:space="preserve">the potential for equal partnership between men and women (unique to this time </w:t>
      </w:r>
      <w:r w:rsidR="003A7B6A">
        <w:rPr>
          <w:rFonts w:ascii="Calibri" w:hAnsi="Calibri" w:cs="Calibri"/>
          <w:sz w:val="24"/>
          <w:szCs w:val="24"/>
        </w:rPr>
        <w:t xml:space="preserve">and place </w:t>
      </w:r>
      <w:r w:rsidRPr="00763436">
        <w:rPr>
          <w:rFonts w:ascii="Calibri" w:hAnsi="Calibri" w:cs="Calibri"/>
          <w:sz w:val="24"/>
          <w:szCs w:val="24"/>
        </w:rPr>
        <w:t xml:space="preserve">in Ancient History). </w:t>
      </w:r>
      <w:r w:rsidR="006B1600" w:rsidRPr="00763436">
        <w:rPr>
          <w:rFonts w:ascii="Calibri" w:hAnsi="Calibri" w:cs="Calibri"/>
          <w:sz w:val="24"/>
          <w:szCs w:val="24"/>
        </w:rPr>
        <w:t xml:space="preserve">In Apollonius we find a highly skillful, authentic (to human experience) and modern (in the negotiated partnership between the male and female protagonists) </w:t>
      </w:r>
      <w:r w:rsidR="00541980">
        <w:rPr>
          <w:rFonts w:ascii="Calibri" w:hAnsi="Calibri" w:cs="Calibri"/>
          <w:sz w:val="24"/>
          <w:szCs w:val="24"/>
        </w:rPr>
        <w:t>re</w:t>
      </w:r>
      <w:r w:rsidR="006B1600" w:rsidRPr="00763436">
        <w:rPr>
          <w:rFonts w:ascii="Calibri" w:hAnsi="Calibri" w:cs="Calibri"/>
          <w:sz w:val="24"/>
          <w:szCs w:val="24"/>
        </w:rPr>
        <w:t xml:space="preserve">telling of the Argonautic myth. </w:t>
      </w:r>
    </w:p>
    <w:p w14:paraId="5A711A9F" w14:textId="34E34539" w:rsidR="006B1600" w:rsidRPr="00763436" w:rsidRDefault="006B1600" w:rsidP="001C657C">
      <w:pPr>
        <w:rPr>
          <w:rFonts w:ascii="Calibri" w:hAnsi="Calibri" w:cs="Calibri"/>
          <w:sz w:val="24"/>
          <w:szCs w:val="24"/>
        </w:rPr>
      </w:pPr>
      <w:r w:rsidRPr="00763436">
        <w:rPr>
          <w:rFonts w:ascii="Calibri" w:hAnsi="Calibri" w:cs="Calibri"/>
          <w:sz w:val="24"/>
          <w:szCs w:val="24"/>
        </w:rPr>
        <w:t>Elizabeth Nelson October 2023</w:t>
      </w:r>
    </w:p>
    <w:p w14:paraId="2E4B87F9" w14:textId="568077CB" w:rsidR="00987B2E" w:rsidRDefault="00EF4E84">
      <w:pPr>
        <w:rPr>
          <w:rFonts w:ascii="Calibri" w:hAnsi="Calibri" w:cs="Calibri"/>
          <w:sz w:val="24"/>
          <w:szCs w:val="24"/>
        </w:rPr>
      </w:pPr>
      <w:r>
        <w:rPr>
          <w:rFonts w:ascii="Calibri" w:hAnsi="Calibri" w:cs="Calibri"/>
          <w:sz w:val="24"/>
          <w:szCs w:val="24"/>
        </w:rPr>
        <w:t>3</w:t>
      </w:r>
      <w:r w:rsidR="0053601E">
        <w:rPr>
          <w:rFonts w:ascii="Calibri" w:hAnsi="Calibri" w:cs="Calibri"/>
          <w:sz w:val="24"/>
          <w:szCs w:val="24"/>
        </w:rPr>
        <w:t>494</w:t>
      </w:r>
      <w:r w:rsidR="0035143E" w:rsidRPr="00763436">
        <w:rPr>
          <w:rFonts w:ascii="Calibri" w:hAnsi="Calibri" w:cs="Calibri"/>
          <w:sz w:val="24"/>
          <w:szCs w:val="24"/>
        </w:rPr>
        <w:t xml:space="preserve"> words </w:t>
      </w:r>
    </w:p>
    <w:p w14:paraId="6B79D63A" w14:textId="77777777" w:rsidR="00763436" w:rsidRDefault="00763436">
      <w:pPr>
        <w:rPr>
          <w:rFonts w:ascii="Calibri" w:hAnsi="Calibri" w:cs="Calibri"/>
          <w:sz w:val="24"/>
          <w:szCs w:val="24"/>
        </w:rPr>
      </w:pPr>
    </w:p>
    <w:p w14:paraId="3C1C6023" w14:textId="27A0FC4D" w:rsidR="00763436" w:rsidRDefault="00763436">
      <w:pPr>
        <w:rPr>
          <w:rFonts w:ascii="Calibri" w:hAnsi="Calibri" w:cs="Calibri"/>
          <w:sz w:val="24"/>
          <w:szCs w:val="24"/>
        </w:rPr>
      </w:pPr>
      <w:r>
        <w:rPr>
          <w:rFonts w:ascii="Calibri" w:hAnsi="Calibri" w:cs="Calibri"/>
          <w:sz w:val="24"/>
          <w:szCs w:val="24"/>
        </w:rPr>
        <w:br w:type="page"/>
      </w:r>
      <w:bookmarkStart w:id="0" w:name="_GoBack"/>
      <w:bookmarkEnd w:id="0"/>
    </w:p>
    <w:p w14:paraId="65FBEACA" w14:textId="32EA6D14" w:rsidR="00763436" w:rsidRPr="00763436" w:rsidRDefault="00763436">
      <w:pPr>
        <w:rPr>
          <w:rFonts w:ascii="Calibri" w:hAnsi="Calibri" w:cs="Calibri"/>
          <w:b/>
          <w:sz w:val="24"/>
          <w:szCs w:val="24"/>
        </w:rPr>
      </w:pPr>
      <w:r w:rsidRPr="00763436">
        <w:rPr>
          <w:rFonts w:ascii="Calibri" w:hAnsi="Calibri" w:cs="Calibri"/>
          <w:b/>
          <w:sz w:val="24"/>
          <w:szCs w:val="24"/>
        </w:rPr>
        <w:lastRenderedPageBreak/>
        <w:t>Bibliography</w:t>
      </w:r>
    </w:p>
    <w:p w14:paraId="11A31DA7"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APOLLONIUS and HUNTER, R.L.(., 1998. </w:t>
      </w:r>
      <w:r w:rsidRPr="003A7B6A">
        <w:rPr>
          <w:rFonts w:eastAsia="Times New Roman" w:cstheme="minorHAnsi"/>
          <w:i/>
          <w:color w:val="1D2228"/>
          <w:sz w:val="24"/>
          <w:szCs w:val="24"/>
        </w:rPr>
        <w:t>Jason and the golden fleece : (the Argonautica)</w:t>
      </w:r>
      <w:r w:rsidRPr="00763436">
        <w:rPr>
          <w:rFonts w:eastAsia="Times New Roman" w:cstheme="minorHAnsi"/>
          <w:color w:val="1D2228"/>
          <w:sz w:val="24"/>
          <w:szCs w:val="24"/>
        </w:rPr>
        <w:t>. Oxford: Oxford University Press.</w:t>
      </w:r>
    </w:p>
    <w:p w14:paraId="39B5531B"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7C41F890" w14:textId="44727833"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BRACKE, E., 2019. </w:t>
      </w:r>
      <w:r w:rsidRPr="003A7B6A">
        <w:rPr>
          <w:rFonts w:eastAsia="Times New Roman" w:cstheme="minorHAnsi"/>
          <w:i/>
          <w:color w:val="1D2228"/>
          <w:sz w:val="24"/>
          <w:szCs w:val="24"/>
        </w:rPr>
        <w:t>Between Cunning and Chaos</w:t>
      </w:r>
      <w:r w:rsidRPr="00763436">
        <w:rPr>
          <w:rFonts w:eastAsia="Times New Roman" w:cstheme="minorHAnsi"/>
          <w:color w:val="1D2228"/>
          <w:sz w:val="24"/>
          <w:szCs w:val="24"/>
        </w:rPr>
        <w:t xml:space="preserve">. </w:t>
      </w:r>
      <w:r w:rsidR="003A7B6A">
        <w:rPr>
          <w:rFonts w:eastAsia="Times New Roman" w:cstheme="minorHAnsi"/>
          <w:color w:val="1D2228"/>
          <w:sz w:val="24"/>
          <w:szCs w:val="24"/>
        </w:rPr>
        <w:t>Oxford: Oxford University Press</w:t>
      </w:r>
      <w:r w:rsidRPr="00763436">
        <w:rPr>
          <w:rFonts w:eastAsia="Times New Roman" w:cstheme="minorHAnsi"/>
          <w:color w:val="1D2228"/>
          <w:sz w:val="24"/>
          <w:szCs w:val="24"/>
        </w:rPr>
        <w:t>.</w:t>
      </w:r>
    </w:p>
    <w:p w14:paraId="09E9B0A4"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0CC61BBD" w14:textId="1E1DD976" w:rsidR="000B1A6F" w:rsidRPr="000B1A6F" w:rsidRDefault="00541980" w:rsidP="000B1A6F">
      <w:pPr>
        <w:spacing w:after="0" w:line="240" w:lineRule="auto"/>
        <w:rPr>
          <w:rFonts w:eastAsia="Times New Roman" w:cstheme="minorHAnsi"/>
          <w:sz w:val="24"/>
          <w:szCs w:val="24"/>
        </w:rPr>
      </w:pPr>
      <w:r>
        <w:rPr>
          <w:rFonts w:eastAsia="Times New Roman" w:cstheme="minorHAnsi"/>
          <w:sz w:val="24"/>
          <w:szCs w:val="24"/>
        </w:rPr>
        <w:t>BREMER</w:t>
      </w:r>
      <w:r w:rsidR="000B1A6F" w:rsidRPr="000B1A6F">
        <w:rPr>
          <w:rFonts w:eastAsia="Times New Roman" w:cstheme="minorHAnsi"/>
          <w:sz w:val="24"/>
          <w:szCs w:val="24"/>
        </w:rPr>
        <w:t xml:space="preserve">, J. M. </w:t>
      </w:r>
      <w:r w:rsidR="000B1A6F" w:rsidRPr="000B1A6F">
        <w:rPr>
          <w:rFonts w:eastAsia="Times New Roman" w:cstheme="minorHAnsi"/>
          <w:i/>
          <w:sz w:val="24"/>
          <w:szCs w:val="24"/>
        </w:rPr>
        <w:t>“Full Moon and Marriage in Apollonius’ Argonautica.”</w:t>
      </w:r>
      <w:r w:rsidR="000B1A6F" w:rsidRPr="000B1A6F">
        <w:rPr>
          <w:rFonts w:eastAsia="Times New Roman" w:cstheme="minorHAnsi"/>
          <w:sz w:val="24"/>
          <w:szCs w:val="24"/>
        </w:rPr>
        <w:t xml:space="preserve"> </w:t>
      </w:r>
      <w:r w:rsidR="000B1A6F" w:rsidRPr="000B1A6F">
        <w:rPr>
          <w:rFonts w:eastAsia="Times New Roman" w:cstheme="minorHAnsi"/>
          <w:iCs/>
          <w:sz w:val="24"/>
          <w:szCs w:val="24"/>
        </w:rPr>
        <w:t>The Classical Quarterly</w:t>
      </w:r>
      <w:r w:rsidR="000B1A6F" w:rsidRPr="000B1A6F">
        <w:rPr>
          <w:rFonts w:eastAsia="Times New Roman" w:cstheme="minorHAnsi"/>
          <w:sz w:val="24"/>
          <w:szCs w:val="24"/>
        </w:rPr>
        <w:t xml:space="preserve">, vol. 37, no. 2, 1987, pp. 423–26. </w:t>
      </w:r>
    </w:p>
    <w:p w14:paraId="6C4279C3" w14:textId="77777777" w:rsidR="00541980" w:rsidRDefault="00541980" w:rsidP="00D8016D">
      <w:pPr>
        <w:shd w:val="clear" w:color="auto" w:fill="FFFFFF"/>
        <w:spacing w:after="0" w:line="240" w:lineRule="auto"/>
        <w:rPr>
          <w:rFonts w:eastAsia="Times New Roman" w:cstheme="minorHAnsi"/>
          <w:color w:val="1D2228"/>
          <w:sz w:val="24"/>
          <w:szCs w:val="24"/>
        </w:rPr>
      </w:pPr>
    </w:p>
    <w:p w14:paraId="0DDB0C8E" w14:textId="5D677A99" w:rsidR="00D8016D" w:rsidRDefault="00D8016D" w:rsidP="00D8016D">
      <w:pPr>
        <w:shd w:val="clear" w:color="auto" w:fill="FFFFFF"/>
        <w:spacing w:after="0" w:line="240" w:lineRule="auto"/>
        <w:rPr>
          <w:rFonts w:eastAsia="Times New Roman" w:cstheme="minorHAnsi"/>
          <w:color w:val="1D2228"/>
          <w:sz w:val="24"/>
          <w:szCs w:val="24"/>
        </w:rPr>
      </w:pPr>
      <w:r w:rsidRPr="00D8016D">
        <w:rPr>
          <w:rFonts w:eastAsia="Times New Roman" w:cstheme="minorHAnsi"/>
          <w:color w:val="1D2228"/>
          <w:sz w:val="24"/>
          <w:szCs w:val="24"/>
        </w:rPr>
        <w:t xml:space="preserve">CANEVA S. </w:t>
      </w:r>
      <w:r>
        <w:rPr>
          <w:rFonts w:eastAsia="Times New Roman" w:cstheme="minorHAnsi"/>
          <w:color w:val="1D2228"/>
          <w:sz w:val="24"/>
          <w:szCs w:val="24"/>
        </w:rPr>
        <w:t xml:space="preserve">2014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Courtly Love, Stars, and Power: The Queens in Third Century Royal Couples, through Poetry and Epigraphic Texts.</w:t>
      </w:r>
      <w:r w:rsidR="003A7B6A" w:rsidRPr="003A7B6A">
        <w:rPr>
          <w:rFonts w:eastAsia="Times New Roman" w:cstheme="minorHAnsi"/>
          <w:i/>
          <w:color w:val="1D2228"/>
          <w:sz w:val="24"/>
          <w:szCs w:val="24"/>
        </w:rPr>
        <w:t>”</w:t>
      </w:r>
      <w:r w:rsidRPr="00D8016D">
        <w:rPr>
          <w:rFonts w:eastAsia="Times New Roman" w:cstheme="minorHAnsi"/>
          <w:color w:val="1D2228"/>
          <w:sz w:val="24"/>
          <w:szCs w:val="24"/>
        </w:rPr>
        <w:t xml:space="preserve"> In: M.A. HARDER, R.F. REGTUIT, G.C. WAKKER (dir.). Hellenistic Poetry in Context. Louvain-Paris-Walpole, MA : Peeters. </w:t>
      </w:r>
    </w:p>
    <w:p w14:paraId="135547E3" w14:textId="77777777" w:rsidR="00D8016D" w:rsidRPr="00D8016D" w:rsidRDefault="00D8016D" w:rsidP="00D8016D">
      <w:pPr>
        <w:shd w:val="clear" w:color="auto" w:fill="FFFFFF"/>
        <w:spacing w:after="0" w:line="240" w:lineRule="auto"/>
        <w:rPr>
          <w:rFonts w:eastAsia="Times New Roman" w:cstheme="minorHAnsi"/>
          <w:color w:val="1D2228"/>
          <w:sz w:val="24"/>
          <w:szCs w:val="24"/>
        </w:rPr>
      </w:pPr>
    </w:p>
    <w:p w14:paraId="652A2EA9" w14:textId="39CAC08A"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CLACK, 1972. </w:t>
      </w:r>
      <w:r w:rsidR="003A7B6A" w:rsidRPr="003A7B6A">
        <w:rPr>
          <w:rFonts w:eastAsia="Times New Roman" w:cstheme="minorHAnsi"/>
          <w:i/>
          <w:color w:val="1D2228"/>
          <w:sz w:val="24"/>
          <w:szCs w:val="24"/>
        </w:rPr>
        <w:t xml:space="preserve">“The </w:t>
      </w:r>
      <w:r w:rsidRPr="003A7B6A">
        <w:rPr>
          <w:rFonts w:eastAsia="Times New Roman" w:cstheme="minorHAnsi"/>
          <w:i/>
          <w:color w:val="1D2228"/>
          <w:sz w:val="24"/>
          <w:szCs w:val="24"/>
        </w:rPr>
        <w:t>Medea si</w:t>
      </w:r>
      <w:r w:rsidR="003A7B6A" w:rsidRPr="003A7B6A">
        <w:rPr>
          <w:rFonts w:eastAsia="Times New Roman" w:cstheme="minorHAnsi"/>
          <w:i/>
          <w:color w:val="1D2228"/>
          <w:sz w:val="24"/>
          <w:szCs w:val="24"/>
        </w:rPr>
        <w:t>miles of Apollonius Rhodius”</w:t>
      </w:r>
      <w:r w:rsidRPr="00763436">
        <w:rPr>
          <w:rFonts w:eastAsia="Times New Roman" w:cstheme="minorHAnsi"/>
          <w:color w:val="1D2228"/>
          <w:sz w:val="24"/>
          <w:szCs w:val="24"/>
        </w:rPr>
        <w:t>. The Classical journal (Classical Association of the Middle West and South), 68, pp. 310.</w:t>
      </w:r>
    </w:p>
    <w:p w14:paraId="1E4CF43F"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0942C91E" w14:textId="24E67056"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CLAUSS, J.J., 1997. </w:t>
      </w:r>
      <w:r w:rsidR="003A7B6A" w:rsidRPr="003A7B6A">
        <w:rPr>
          <w:rFonts w:eastAsia="Times New Roman" w:cstheme="minorHAnsi"/>
          <w:i/>
          <w:color w:val="1D2228"/>
          <w:sz w:val="24"/>
          <w:szCs w:val="24"/>
        </w:rPr>
        <w:t>“Conquest of the Mephistophelian Nausicaa: Medea’s role in Apollonius’ redefinition of the epic her</w:t>
      </w:r>
      <w:r w:rsidR="003A7B6A">
        <w:rPr>
          <w:rFonts w:eastAsia="Times New Roman" w:cstheme="minorHAnsi"/>
          <w:i/>
          <w:color w:val="1D2228"/>
          <w:sz w:val="24"/>
          <w:szCs w:val="24"/>
        </w:rPr>
        <w:t>o</w:t>
      </w:r>
      <w:r w:rsidR="003A7B6A" w:rsidRPr="003A7B6A">
        <w:rPr>
          <w:rFonts w:eastAsia="Times New Roman" w:cstheme="minorHAnsi"/>
          <w:i/>
          <w:color w:val="1D2228"/>
          <w:sz w:val="24"/>
          <w:szCs w:val="24"/>
        </w:rPr>
        <w:t>.”</w:t>
      </w:r>
      <w:r w:rsidR="003A7B6A">
        <w:rPr>
          <w:rFonts w:eastAsia="Times New Roman" w:cstheme="minorHAnsi"/>
          <w:color w:val="1D2228"/>
          <w:sz w:val="24"/>
          <w:szCs w:val="24"/>
        </w:rPr>
        <w:t xml:space="preserve"> </w:t>
      </w:r>
      <w:r w:rsidRPr="00763436">
        <w:rPr>
          <w:rFonts w:eastAsia="Times New Roman" w:cstheme="minorHAnsi"/>
          <w:color w:val="1D2228"/>
          <w:sz w:val="24"/>
          <w:szCs w:val="24"/>
        </w:rPr>
        <w:t>In: J.J. CLAUSS and S.I. JOHNSTON, eds, Medea. Princeton University Press, pp. 149-177.</w:t>
      </w:r>
    </w:p>
    <w:p w14:paraId="622A2829"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0653A9CE" w14:textId="7288EFBC"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DYCK, A.R., 1989. </w:t>
      </w:r>
      <w:r w:rsidR="003A7B6A">
        <w:rPr>
          <w:rFonts w:eastAsia="Times New Roman" w:cstheme="minorHAnsi"/>
          <w:color w:val="1D2228"/>
          <w:sz w:val="24"/>
          <w:szCs w:val="24"/>
        </w:rPr>
        <w:t>“</w:t>
      </w:r>
      <w:r w:rsidRPr="003A7B6A">
        <w:rPr>
          <w:rFonts w:eastAsia="Times New Roman" w:cstheme="minorHAnsi"/>
          <w:i/>
          <w:color w:val="1D2228"/>
          <w:sz w:val="24"/>
          <w:szCs w:val="24"/>
        </w:rPr>
        <w:t>On the Way from Colchis to Corinth: Medea in Book 4 of the 'Argonautica'</w:t>
      </w:r>
      <w:r w:rsidR="003A7B6A">
        <w:rPr>
          <w:rFonts w:eastAsia="Times New Roman" w:cstheme="minorHAnsi"/>
          <w:color w:val="1D2228"/>
          <w:sz w:val="24"/>
          <w:szCs w:val="24"/>
        </w:rPr>
        <w:t xml:space="preserve">.” </w:t>
      </w:r>
      <w:r w:rsidRPr="00763436">
        <w:rPr>
          <w:rFonts w:eastAsia="Times New Roman" w:cstheme="minorHAnsi"/>
          <w:color w:val="1D2228"/>
          <w:sz w:val="24"/>
          <w:szCs w:val="24"/>
        </w:rPr>
        <w:t>Hermes, 117(4), pp. 455-470.</w:t>
      </w:r>
    </w:p>
    <w:p w14:paraId="52A5EF72"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42DFB750" w14:textId="6B06F517" w:rsidR="00763436" w:rsidRPr="00763436" w:rsidRDefault="003A7B6A" w:rsidP="00763436">
      <w:pPr>
        <w:shd w:val="clear" w:color="auto" w:fill="FFFFFF"/>
        <w:spacing w:after="0" w:line="240" w:lineRule="auto"/>
        <w:rPr>
          <w:rFonts w:eastAsia="Times New Roman" w:cstheme="minorHAnsi"/>
          <w:color w:val="1D2228"/>
          <w:sz w:val="24"/>
          <w:szCs w:val="24"/>
        </w:rPr>
      </w:pPr>
      <w:r>
        <w:rPr>
          <w:rFonts w:eastAsia="Times New Roman" w:cstheme="minorHAnsi"/>
          <w:color w:val="1D2228"/>
          <w:sz w:val="24"/>
          <w:szCs w:val="24"/>
        </w:rPr>
        <w:t>EURIPIDES</w:t>
      </w:r>
      <w:r w:rsidR="00763436" w:rsidRPr="00763436">
        <w:rPr>
          <w:rFonts w:eastAsia="Times New Roman" w:cstheme="minorHAnsi"/>
          <w:color w:val="1D2228"/>
          <w:sz w:val="24"/>
          <w:szCs w:val="24"/>
        </w:rPr>
        <w:t xml:space="preserve"> and VELLACOTT, P., 1963. </w:t>
      </w:r>
      <w:r w:rsidR="00763436" w:rsidRPr="003A7B6A">
        <w:rPr>
          <w:rFonts w:eastAsia="Times New Roman" w:cstheme="minorHAnsi"/>
          <w:i/>
          <w:color w:val="1D2228"/>
          <w:sz w:val="24"/>
          <w:szCs w:val="24"/>
        </w:rPr>
        <w:t>Medea and other plays</w:t>
      </w:r>
      <w:r w:rsidR="00763436" w:rsidRPr="00763436">
        <w:rPr>
          <w:rFonts w:eastAsia="Times New Roman" w:cstheme="minorHAnsi"/>
          <w:color w:val="1D2228"/>
          <w:sz w:val="24"/>
          <w:szCs w:val="24"/>
        </w:rPr>
        <w:t>. Harmondsworth: Penguin.</w:t>
      </w:r>
    </w:p>
    <w:p w14:paraId="1B885C2B"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5944AADF" w14:textId="36742BAC" w:rsidR="00763436" w:rsidRPr="00763436" w:rsidRDefault="00D8016D" w:rsidP="00D8016D">
      <w:pPr>
        <w:pStyle w:val="CommentText"/>
      </w:pPr>
      <w:r>
        <w:rPr>
          <w:rFonts w:eastAsia="Times New Roman" w:cstheme="minorHAnsi"/>
          <w:color w:val="1D2228"/>
          <w:sz w:val="24"/>
          <w:szCs w:val="24"/>
        </w:rPr>
        <w:t xml:space="preserve">FOLEY H.P.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Women in Ancient Epic.</w:t>
      </w:r>
      <w:r w:rsidR="003A7B6A" w:rsidRPr="003A7B6A">
        <w:rPr>
          <w:rFonts w:eastAsia="Times New Roman" w:cstheme="minorHAnsi"/>
          <w:i/>
          <w:color w:val="1D2228"/>
          <w:sz w:val="24"/>
          <w:szCs w:val="24"/>
        </w:rPr>
        <w:t>”</w:t>
      </w:r>
      <w:r>
        <w:rPr>
          <w:rFonts w:eastAsia="Times New Roman" w:cstheme="minorHAnsi"/>
          <w:color w:val="1D2228"/>
          <w:sz w:val="24"/>
          <w:szCs w:val="24"/>
        </w:rPr>
        <w:t xml:space="preserve"> In: </w:t>
      </w:r>
      <w:r w:rsidR="00763436" w:rsidRPr="00763436">
        <w:rPr>
          <w:rFonts w:eastAsia="Times New Roman" w:cstheme="minorHAnsi"/>
          <w:color w:val="1D2228"/>
          <w:sz w:val="24"/>
          <w:szCs w:val="24"/>
        </w:rPr>
        <w:t>FOLEY, J.M., 2005. A companion to ancient epic. 1 edn. Malden, MA: Blackwell Pub.</w:t>
      </w:r>
    </w:p>
    <w:p w14:paraId="790F38E3"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GUTZWILLER, K.J., 2007. A guide to Hellenistic literature. Malden, MA: Blackwell Pub.</w:t>
      </w:r>
    </w:p>
    <w:p w14:paraId="58065ED7"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07713A0C"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HAARMANN, H., 2015. Introduction: Myth as a human condition. 1 edn. Harrassowitz, O, pp. 1.</w:t>
      </w:r>
    </w:p>
    <w:p w14:paraId="1DCC8CF8"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4B48B8D2" w14:textId="1C8AC2FA"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HOLMBERG, I.E., 1998.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Ϻῆτις and Gender in Apollonius Rhodius' Argonautica.</w:t>
      </w:r>
      <w:r w:rsidR="003A7B6A" w:rsidRPr="003A7B6A">
        <w:rPr>
          <w:rFonts w:eastAsia="Times New Roman" w:cstheme="minorHAnsi"/>
          <w:i/>
          <w:color w:val="1D2228"/>
          <w:sz w:val="24"/>
          <w:szCs w:val="24"/>
        </w:rPr>
        <w:t>”</w:t>
      </w:r>
      <w:r w:rsidRPr="00763436">
        <w:rPr>
          <w:rFonts w:eastAsia="Times New Roman" w:cstheme="minorHAnsi"/>
          <w:color w:val="1D2228"/>
          <w:sz w:val="24"/>
          <w:szCs w:val="24"/>
        </w:rPr>
        <w:t xml:space="preserve"> Transactions of the American Philological Association (1974-), 128, pp. 135-159.</w:t>
      </w:r>
    </w:p>
    <w:p w14:paraId="3FE72901"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221CE79A" w14:textId="6F790D81"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HUNTER, R.L., 1987.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Medea's Flight: The Fourth Book of the Argonautica.</w:t>
      </w:r>
      <w:r w:rsidR="003A7B6A" w:rsidRPr="003A7B6A">
        <w:rPr>
          <w:rFonts w:eastAsia="Times New Roman" w:cstheme="minorHAnsi"/>
          <w:i/>
          <w:color w:val="1D2228"/>
          <w:sz w:val="24"/>
          <w:szCs w:val="24"/>
        </w:rPr>
        <w:t>”</w:t>
      </w:r>
      <w:r w:rsidRPr="00763436">
        <w:rPr>
          <w:rFonts w:eastAsia="Times New Roman" w:cstheme="minorHAnsi"/>
          <w:color w:val="1D2228"/>
          <w:sz w:val="24"/>
          <w:szCs w:val="24"/>
        </w:rPr>
        <w:t xml:space="preserve"> Classical quarterly; The Class.Q, 37(1), pp. 129-139.</w:t>
      </w:r>
    </w:p>
    <w:p w14:paraId="49EDC96C"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42552334" w14:textId="32707109"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HUTCHINSON, G.O., 1988. </w:t>
      </w:r>
      <w:r w:rsidRPr="003A7B6A">
        <w:rPr>
          <w:rFonts w:eastAsia="Times New Roman" w:cstheme="minorHAnsi"/>
          <w:i/>
          <w:color w:val="1D2228"/>
          <w:sz w:val="24"/>
          <w:szCs w:val="24"/>
        </w:rPr>
        <w:t>Helle</w:t>
      </w:r>
      <w:r w:rsidR="003A7B6A" w:rsidRPr="003A7B6A">
        <w:rPr>
          <w:rFonts w:eastAsia="Times New Roman" w:cstheme="minorHAnsi"/>
          <w:i/>
          <w:color w:val="1D2228"/>
          <w:sz w:val="24"/>
          <w:szCs w:val="24"/>
        </w:rPr>
        <w:t>nistic poetry</w:t>
      </w:r>
      <w:r w:rsidR="003A7B6A">
        <w:rPr>
          <w:rFonts w:eastAsia="Times New Roman" w:cstheme="minorHAnsi"/>
          <w:color w:val="1D2228"/>
          <w:sz w:val="24"/>
          <w:szCs w:val="24"/>
        </w:rPr>
        <w:t>. Oxford England;</w:t>
      </w:r>
      <w:r w:rsidRPr="00763436">
        <w:rPr>
          <w:rFonts w:eastAsia="Times New Roman" w:cstheme="minorHAnsi"/>
          <w:color w:val="1D2228"/>
          <w:sz w:val="24"/>
          <w:szCs w:val="24"/>
        </w:rPr>
        <w:t xml:space="preserve"> Clarendon Press.</w:t>
      </w:r>
    </w:p>
    <w:p w14:paraId="57345C1A"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0EBE45F6" w14:textId="1EAD38FE"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JOHNSTON, S.I. and CLAUSS, J.J., 1997. </w:t>
      </w:r>
      <w:r w:rsidRPr="003A7B6A">
        <w:rPr>
          <w:rFonts w:eastAsia="Times New Roman" w:cstheme="minorHAnsi"/>
          <w:i/>
          <w:color w:val="1D2228"/>
          <w:sz w:val="24"/>
          <w:szCs w:val="24"/>
        </w:rPr>
        <w:t>Medea</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 xml:space="preserve"> Essays on Medea in Myth, Literature, Philosophy, and Art.</w:t>
      </w:r>
      <w:r w:rsidRPr="00763436">
        <w:rPr>
          <w:rFonts w:eastAsia="Times New Roman" w:cstheme="minorHAnsi"/>
          <w:color w:val="1D2228"/>
          <w:sz w:val="24"/>
          <w:szCs w:val="24"/>
        </w:rPr>
        <w:t xml:space="preserve"> Princeton, N.J: Princeton University Press.</w:t>
      </w:r>
    </w:p>
    <w:p w14:paraId="348EB327" w14:textId="76703020" w:rsidR="00763436" w:rsidRPr="00763436" w:rsidRDefault="003A7B6A" w:rsidP="003A7B6A">
      <w:pPr>
        <w:shd w:val="clear" w:color="auto" w:fill="FFFFFF"/>
        <w:tabs>
          <w:tab w:val="left" w:pos="3555"/>
        </w:tabs>
        <w:spacing w:after="0" w:line="240" w:lineRule="auto"/>
        <w:rPr>
          <w:rFonts w:eastAsia="Times New Roman" w:cstheme="minorHAnsi"/>
          <w:color w:val="1D2228"/>
          <w:sz w:val="24"/>
          <w:szCs w:val="24"/>
        </w:rPr>
      </w:pPr>
      <w:r>
        <w:rPr>
          <w:rFonts w:eastAsia="Times New Roman" w:cstheme="minorHAnsi"/>
          <w:color w:val="1D2228"/>
          <w:sz w:val="24"/>
          <w:szCs w:val="24"/>
        </w:rPr>
        <w:tab/>
      </w:r>
    </w:p>
    <w:p w14:paraId="617BAF44" w14:textId="115F96C0"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lastRenderedPageBreak/>
        <w:t xml:space="preserve">KNIGHT, V., 1991.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Apollonius, Argonautica 4.167-70 and Euripides' Medea.</w:t>
      </w:r>
      <w:r w:rsidR="003A7B6A" w:rsidRPr="003A7B6A">
        <w:rPr>
          <w:rFonts w:eastAsia="Times New Roman" w:cstheme="minorHAnsi"/>
          <w:i/>
          <w:color w:val="1D2228"/>
          <w:sz w:val="24"/>
          <w:szCs w:val="24"/>
        </w:rPr>
        <w:t>”</w:t>
      </w:r>
      <w:r w:rsidRPr="00763436">
        <w:rPr>
          <w:rFonts w:eastAsia="Times New Roman" w:cstheme="minorHAnsi"/>
          <w:color w:val="1D2228"/>
          <w:sz w:val="24"/>
          <w:szCs w:val="24"/>
        </w:rPr>
        <w:t xml:space="preserve"> The Classical Quarterly, 41(1), pp. 248-250.</w:t>
      </w:r>
    </w:p>
    <w:p w14:paraId="60FFA436"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2EF13BFB" w14:textId="2DD3D991" w:rsidR="0072466B" w:rsidRDefault="0072466B" w:rsidP="00763436">
      <w:pPr>
        <w:shd w:val="clear" w:color="auto" w:fill="FFFFFF"/>
        <w:spacing w:after="0" w:line="240" w:lineRule="auto"/>
        <w:rPr>
          <w:rFonts w:eastAsia="Times New Roman" w:cstheme="minorHAnsi"/>
          <w:color w:val="1D2228"/>
          <w:sz w:val="24"/>
          <w:szCs w:val="24"/>
        </w:rPr>
      </w:pPr>
      <w:r>
        <w:rPr>
          <w:rFonts w:eastAsia="Times New Roman" w:cstheme="minorHAnsi"/>
          <w:color w:val="1D2228"/>
          <w:sz w:val="24"/>
          <w:szCs w:val="24"/>
        </w:rPr>
        <w:t xml:space="preserve">LOONEY, Z. [2019]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Marriage Contracts and the role of women in Hellenistic Egypt.</w:t>
      </w:r>
      <w:r w:rsidR="003A7B6A" w:rsidRPr="003A7B6A">
        <w:rPr>
          <w:rFonts w:eastAsia="Times New Roman" w:cstheme="minorHAnsi"/>
          <w:i/>
          <w:color w:val="1D2228"/>
          <w:sz w:val="24"/>
          <w:szCs w:val="24"/>
        </w:rPr>
        <w:t>”</w:t>
      </w:r>
      <w:r>
        <w:rPr>
          <w:rFonts w:eastAsia="Times New Roman" w:cstheme="minorHAnsi"/>
          <w:color w:val="1D2228"/>
          <w:sz w:val="24"/>
          <w:szCs w:val="24"/>
        </w:rPr>
        <w:t xml:space="preserve"> Conference paper: Millsaps College Dept of Greek and Roman Studies accessed at </w:t>
      </w:r>
      <w:hyperlink r:id="rId8" w:history="1">
        <w:r w:rsidRPr="009867F1">
          <w:rPr>
            <w:rStyle w:val="Hyperlink"/>
            <w:rFonts w:eastAsia="Times New Roman" w:cstheme="minorHAnsi"/>
            <w:sz w:val="24"/>
            <w:szCs w:val="24"/>
          </w:rPr>
          <w:t>https://www.researchgate.net/publication/331344345</w:t>
        </w:r>
      </w:hyperlink>
      <w:r>
        <w:rPr>
          <w:rFonts w:eastAsia="Times New Roman" w:cstheme="minorHAnsi"/>
          <w:color w:val="1D2228"/>
          <w:sz w:val="24"/>
          <w:szCs w:val="24"/>
        </w:rPr>
        <w:t xml:space="preserve"> 21 October 2023 </w:t>
      </w:r>
    </w:p>
    <w:p w14:paraId="7088026E" w14:textId="77777777" w:rsidR="0072466B" w:rsidRDefault="0072466B" w:rsidP="00763436">
      <w:pPr>
        <w:shd w:val="clear" w:color="auto" w:fill="FFFFFF"/>
        <w:spacing w:after="0" w:line="240" w:lineRule="auto"/>
        <w:rPr>
          <w:rFonts w:eastAsia="Times New Roman" w:cstheme="minorHAnsi"/>
          <w:color w:val="1D2228"/>
          <w:sz w:val="24"/>
          <w:szCs w:val="24"/>
        </w:rPr>
      </w:pPr>
    </w:p>
    <w:p w14:paraId="4A4B83A8" w14:textId="1D2CEDCF"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O’HIGGINS, D.M., 1997. </w:t>
      </w:r>
      <w:r w:rsidR="003A7B6A" w:rsidRPr="003A7B6A">
        <w:rPr>
          <w:rFonts w:eastAsia="Times New Roman" w:cstheme="minorHAnsi"/>
          <w:i/>
          <w:color w:val="1D2228"/>
          <w:sz w:val="24"/>
          <w:szCs w:val="24"/>
        </w:rPr>
        <w:t>“Medea as muse; Pindar’s Pythian 4.”</w:t>
      </w:r>
      <w:r w:rsidR="003A7B6A">
        <w:rPr>
          <w:rFonts w:eastAsia="Times New Roman" w:cstheme="minorHAnsi"/>
          <w:color w:val="1D2228"/>
          <w:sz w:val="24"/>
          <w:szCs w:val="24"/>
        </w:rPr>
        <w:t xml:space="preserve"> </w:t>
      </w:r>
      <w:r w:rsidRPr="00763436">
        <w:rPr>
          <w:rFonts w:eastAsia="Times New Roman" w:cstheme="minorHAnsi"/>
          <w:color w:val="1D2228"/>
          <w:sz w:val="24"/>
          <w:szCs w:val="24"/>
        </w:rPr>
        <w:t>In: J.J. CLAUSS and S.I. JOHNSTON, eds, Medea. Princeton University Press, pp. 103-126.</w:t>
      </w:r>
    </w:p>
    <w:p w14:paraId="4E06AE47"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7158C95C" w14:textId="60389BF7" w:rsidR="00763436" w:rsidRPr="00763436" w:rsidRDefault="00763436" w:rsidP="00763436">
      <w:pPr>
        <w:shd w:val="clear" w:color="auto" w:fill="FFFFFF"/>
        <w:spacing w:after="0" w:line="240" w:lineRule="auto"/>
        <w:rPr>
          <w:rFonts w:eastAsia="Times New Roman" w:cstheme="minorHAnsi"/>
          <w:color w:val="1D2228"/>
          <w:sz w:val="24"/>
          <w:szCs w:val="24"/>
        </w:rPr>
      </w:pPr>
      <w:r>
        <w:rPr>
          <w:rFonts w:eastAsia="Times New Roman" w:cstheme="minorHAnsi"/>
          <w:color w:val="1D2228"/>
          <w:sz w:val="24"/>
          <w:szCs w:val="24"/>
        </w:rPr>
        <w:t xml:space="preserve">FUSILLO, M. </w:t>
      </w:r>
      <w:r w:rsidR="003A7B6A" w:rsidRPr="003A7B6A">
        <w:rPr>
          <w:rFonts w:eastAsia="Times New Roman" w:cstheme="minorHAnsi"/>
          <w:i/>
          <w:color w:val="1D2228"/>
          <w:sz w:val="24"/>
          <w:szCs w:val="24"/>
        </w:rPr>
        <w:t>“</w:t>
      </w:r>
      <w:r w:rsidRPr="003A7B6A">
        <w:rPr>
          <w:rFonts w:eastAsia="Times New Roman" w:cstheme="minorHAnsi"/>
          <w:i/>
          <w:color w:val="1D2228"/>
          <w:sz w:val="24"/>
          <w:szCs w:val="24"/>
        </w:rPr>
        <w:t>Apollonius Rhodius as ‘Inventor’ of the interior monologue.</w:t>
      </w:r>
      <w:r w:rsidR="003A7B6A" w:rsidRPr="003A7B6A">
        <w:rPr>
          <w:rFonts w:eastAsia="Times New Roman" w:cstheme="minorHAnsi"/>
          <w:i/>
          <w:color w:val="1D2228"/>
          <w:sz w:val="24"/>
          <w:szCs w:val="24"/>
        </w:rPr>
        <w:t>”</w:t>
      </w:r>
      <w:r>
        <w:rPr>
          <w:rFonts w:eastAsia="Times New Roman" w:cstheme="minorHAnsi"/>
          <w:color w:val="1D2228"/>
          <w:sz w:val="24"/>
          <w:szCs w:val="24"/>
        </w:rPr>
        <w:t xml:space="preserve"> In: </w:t>
      </w:r>
      <w:r w:rsidRPr="00763436">
        <w:rPr>
          <w:rFonts w:eastAsia="Times New Roman" w:cstheme="minorHAnsi"/>
          <w:color w:val="1D2228"/>
          <w:sz w:val="24"/>
          <w:szCs w:val="24"/>
        </w:rPr>
        <w:t>PAPANGHELIS, T.D. and RENGAKOS, A., 2008. Brill's companion</w:t>
      </w:r>
      <w:r w:rsidR="003A7B6A">
        <w:rPr>
          <w:rFonts w:eastAsia="Times New Roman" w:cstheme="minorHAnsi"/>
          <w:color w:val="1D2228"/>
          <w:sz w:val="24"/>
          <w:szCs w:val="24"/>
        </w:rPr>
        <w:t xml:space="preserve"> to Apollonius Rhodius. Leiden;</w:t>
      </w:r>
      <w:r w:rsidRPr="00763436">
        <w:rPr>
          <w:rFonts w:eastAsia="Times New Roman" w:cstheme="minorHAnsi"/>
          <w:color w:val="1D2228"/>
          <w:sz w:val="24"/>
          <w:szCs w:val="24"/>
        </w:rPr>
        <w:t xml:space="preserve"> Brill.</w:t>
      </w:r>
    </w:p>
    <w:p w14:paraId="7631BA04"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6CBA255C"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POMEROY, S.B., 1990. </w:t>
      </w:r>
      <w:r w:rsidRPr="003A7B6A">
        <w:rPr>
          <w:rFonts w:eastAsia="Times New Roman" w:cstheme="minorHAnsi"/>
          <w:i/>
          <w:color w:val="1D2228"/>
          <w:sz w:val="24"/>
          <w:szCs w:val="24"/>
        </w:rPr>
        <w:t>Women in Hellenistic Egypt : from Alexander to Cleopatra</w:t>
      </w:r>
      <w:r w:rsidRPr="00763436">
        <w:rPr>
          <w:rFonts w:eastAsia="Times New Roman" w:cstheme="minorHAnsi"/>
          <w:color w:val="1D2228"/>
          <w:sz w:val="24"/>
          <w:szCs w:val="24"/>
        </w:rPr>
        <w:t>. Detroit, Mich: Wayne State University Press.</w:t>
      </w:r>
    </w:p>
    <w:p w14:paraId="3C3828A4"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p>
    <w:p w14:paraId="517BFCE9" w14:textId="77777777" w:rsidR="00763436" w:rsidRPr="00763436" w:rsidRDefault="00763436" w:rsidP="00763436">
      <w:pPr>
        <w:shd w:val="clear" w:color="auto" w:fill="FFFFFF"/>
        <w:spacing w:after="0" w:line="240" w:lineRule="auto"/>
        <w:rPr>
          <w:rFonts w:eastAsia="Times New Roman" w:cstheme="minorHAnsi"/>
          <w:color w:val="1D2228"/>
          <w:sz w:val="24"/>
          <w:szCs w:val="24"/>
        </w:rPr>
      </w:pPr>
      <w:r w:rsidRPr="00763436">
        <w:rPr>
          <w:rFonts w:eastAsia="Times New Roman" w:cstheme="minorHAnsi"/>
          <w:color w:val="1D2228"/>
          <w:sz w:val="24"/>
          <w:szCs w:val="24"/>
        </w:rPr>
        <w:t xml:space="preserve">VERNANT, J. and ZEITLIN, F.I., 1991. </w:t>
      </w:r>
      <w:r w:rsidRPr="003A7B6A">
        <w:rPr>
          <w:rFonts w:eastAsia="Times New Roman" w:cstheme="minorHAnsi"/>
          <w:i/>
          <w:color w:val="1D2228"/>
          <w:sz w:val="24"/>
          <w:szCs w:val="24"/>
        </w:rPr>
        <w:t>Mortals and immortals : collected essays</w:t>
      </w:r>
      <w:r w:rsidRPr="00763436">
        <w:rPr>
          <w:rFonts w:eastAsia="Times New Roman" w:cstheme="minorHAnsi"/>
          <w:color w:val="1D2228"/>
          <w:sz w:val="24"/>
          <w:szCs w:val="24"/>
        </w:rPr>
        <w:t>. Princeton, N.J: Princeton University Press.</w:t>
      </w:r>
    </w:p>
    <w:p w14:paraId="666769C9" w14:textId="77777777" w:rsidR="00763436" w:rsidRPr="00763436" w:rsidRDefault="00763436">
      <w:pPr>
        <w:rPr>
          <w:rFonts w:cstheme="minorHAnsi"/>
          <w:sz w:val="24"/>
          <w:szCs w:val="24"/>
        </w:rPr>
      </w:pPr>
    </w:p>
    <w:sectPr w:rsidR="00763436" w:rsidRPr="00763436">
      <w:footerReference w:type="default" r:id="rId9"/>
      <w:pgSz w:w="12240" w:h="15840"/>
      <w:pgMar w:top="1440" w:right="1440" w:bottom="1440" w:left="144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453C47B1" w16cex:dateUtc="2023-11-08T14:39:00Z"/>
  <w16cex:commentExtensible w16cex:durableId="4ADA2B28" w16cex:dateUtc="2023-11-08T14:43:00Z"/>
  <w16cex:commentExtensible w16cex:durableId="57A4925A" w16cex:dateUtc="2023-11-08T15:04:00Z"/>
  <w16cex:commentExtensible w16cex:durableId="27299E00" w16cex:dateUtc="2023-11-08T14:42:00Z"/>
  <w16cex:commentExtensible w16cex:durableId="06A1A822" w16cex:dateUtc="2023-11-08T14:40:00Z"/>
  <w16cex:commentExtensible w16cex:durableId="15A540EB" w16cex:dateUtc="2023-11-08T14: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ECAB98E" w16cid:durableId="453C47B1"/>
  <w16cid:commentId w16cid:paraId="02BC02C9" w16cid:durableId="4ADA2B28"/>
  <w16cid:commentId w16cid:paraId="14846EFA" w16cid:durableId="57A4925A"/>
  <w16cid:commentId w16cid:paraId="261A2816" w16cid:durableId="27299E00"/>
  <w16cid:commentId w16cid:paraId="7E8888ED" w16cid:durableId="06A1A822"/>
  <w16cid:commentId w16cid:paraId="0034D3CC" w16cid:durableId="15A540E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4630C0" w14:textId="77777777" w:rsidR="00B36FA0" w:rsidRDefault="00B36FA0" w:rsidP="00A153C3">
      <w:pPr>
        <w:spacing w:after="0" w:line="240" w:lineRule="auto"/>
      </w:pPr>
      <w:r>
        <w:separator/>
      </w:r>
    </w:p>
  </w:endnote>
  <w:endnote w:type="continuationSeparator" w:id="0">
    <w:p w14:paraId="3D9792D6" w14:textId="77777777" w:rsidR="00B36FA0" w:rsidRDefault="00B36FA0" w:rsidP="00A15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9451808"/>
      <w:docPartObj>
        <w:docPartGallery w:val="Page Numbers (Bottom of Page)"/>
        <w:docPartUnique/>
      </w:docPartObj>
    </w:sdtPr>
    <w:sdtEndPr>
      <w:rPr>
        <w:noProof/>
      </w:rPr>
    </w:sdtEndPr>
    <w:sdtContent>
      <w:p w14:paraId="09A9930B" w14:textId="03342AC8" w:rsidR="00DD49DC" w:rsidRDefault="00DD49DC">
        <w:pPr>
          <w:pStyle w:val="Footer"/>
        </w:pPr>
        <w:r>
          <w:fldChar w:fldCharType="begin"/>
        </w:r>
        <w:r>
          <w:instrText xml:space="preserve"> PAGE   \* MERGEFORMAT </w:instrText>
        </w:r>
        <w:r>
          <w:fldChar w:fldCharType="separate"/>
        </w:r>
        <w:r w:rsidR="0053601E">
          <w:rPr>
            <w:noProof/>
          </w:rPr>
          <w:t>8</w:t>
        </w:r>
        <w:r>
          <w:rPr>
            <w:noProof/>
          </w:rPr>
          <w:fldChar w:fldCharType="end"/>
        </w:r>
      </w:p>
    </w:sdtContent>
  </w:sdt>
  <w:p w14:paraId="0E770357" w14:textId="77777777" w:rsidR="00DD49DC" w:rsidRDefault="00DD49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1B39D1" w14:textId="77777777" w:rsidR="00B36FA0" w:rsidRDefault="00B36FA0" w:rsidP="00A153C3">
      <w:pPr>
        <w:spacing w:after="0" w:line="240" w:lineRule="auto"/>
      </w:pPr>
      <w:r>
        <w:separator/>
      </w:r>
    </w:p>
  </w:footnote>
  <w:footnote w:type="continuationSeparator" w:id="0">
    <w:p w14:paraId="5BB1430D" w14:textId="77777777" w:rsidR="00B36FA0" w:rsidRDefault="00B36FA0" w:rsidP="00A153C3">
      <w:pPr>
        <w:spacing w:after="0" w:line="240" w:lineRule="auto"/>
      </w:pPr>
      <w:r>
        <w:continuationSeparator/>
      </w:r>
    </w:p>
  </w:footnote>
  <w:footnote w:id="1">
    <w:p w14:paraId="10A62F31" w14:textId="1AF6A17C" w:rsidR="00DD49DC" w:rsidRPr="00763436" w:rsidRDefault="00DD49DC">
      <w:pPr>
        <w:pStyle w:val="FootnoteText"/>
        <w:rPr>
          <w:rFonts w:cstheme="minorHAnsi"/>
          <w:sz w:val="22"/>
          <w:szCs w:val="22"/>
        </w:rPr>
      </w:pPr>
      <w:r w:rsidRPr="00763436">
        <w:rPr>
          <w:rStyle w:val="FootnoteReference"/>
          <w:rFonts w:cstheme="minorHAnsi"/>
          <w:sz w:val="22"/>
          <w:szCs w:val="22"/>
        </w:rPr>
        <w:footnoteRef/>
      </w:r>
      <w:r w:rsidRPr="00763436">
        <w:rPr>
          <w:rFonts w:cstheme="minorHAnsi"/>
          <w:sz w:val="22"/>
          <w:szCs w:val="22"/>
        </w:rPr>
        <w:t xml:space="preserve"> See for example Holmberg’s treatment of constructions of masculine versus feminine </w:t>
      </w:r>
      <w:r w:rsidRPr="00763436">
        <w:rPr>
          <w:rFonts w:cstheme="minorHAnsi"/>
          <w:bCs/>
          <w:color w:val="2A2A2A"/>
          <w:sz w:val="22"/>
          <w:szCs w:val="22"/>
          <w:shd w:val="clear" w:color="auto" w:fill="FFFFFF"/>
        </w:rPr>
        <w:t>μῆτις</w:t>
      </w:r>
      <w:r w:rsidRPr="00763436">
        <w:rPr>
          <w:rFonts w:cstheme="minorHAnsi"/>
          <w:sz w:val="22"/>
          <w:szCs w:val="22"/>
        </w:rPr>
        <w:t xml:space="preserve">, or cunning (Holmberg, 1998). </w:t>
      </w:r>
    </w:p>
  </w:footnote>
  <w:footnote w:id="2">
    <w:p w14:paraId="79D8D920" w14:textId="58A8F8F9" w:rsidR="00DD49DC" w:rsidRPr="00673D2F" w:rsidRDefault="00DD49DC">
      <w:pPr>
        <w:pStyle w:val="FootnoteText"/>
        <w:rPr>
          <w:rFonts w:ascii="Times New Roman" w:hAnsi="Times New Roman" w:cs="Times New Roman"/>
          <w:sz w:val="32"/>
          <w:szCs w:val="32"/>
        </w:rPr>
      </w:pPr>
      <w:r w:rsidRPr="00763436">
        <w:rPr>
          <w:rStyle w:val="FootnoteReference"/>
          <w:rFonts w:cstheme="minorHAnsi"/>
          <w:sz w:val="22"/>
          <w:szCs w:val="22"/>
        </w:rPr>
        <w:footnoteRef/>
      </w:r>
      <w:r w:rsidRPr="00763436">
        <w:rPr>
          <w:rFonts w:cstheme="minorHAnsi"/>
          <w:sz w:val="22"/>
          <w:szCs w:val="22"/>
        </w:rPr>
        <w:t xml:space="preserve"> Bracke’s discussion (Bracke, 2019) of how our understanding of</w:t>
      </w:r>
      <w:r>
        <w:rPr>
          <w:rFonts w:cstheme="minorHAnsi"/>
          <w:sz w:val="22"/>
          <w:szCs w:val="22"/>
        </w:rPr>
        <w:t xml:space="preserve"> the concept of</w:t>
      </w:r>
      <w:r w:rsidRPr="00763436">
        <w:rPr>
          <w:rFonts w:cstheme="minorHAnsi"/>
          <w:sz w:val="22"/>
          <w:szCs w:val="22"/>
        </w:rPr>
        <w:t xml:space="preserve"> </w:t>
      </w:r>
      <w:r w:rsidRPr="00763436">
        <w:rPr>
          <w:rFonts w:cstheme="minorHAnsi"/>
          <w:bCs/>
          <w:color w:val="2A2A2A"/>
          <w:sz w:val="22"/>
          <w:szCs w:val="22"/>
          <w:shd w:val="clear" w:color="auto" w:fill="FFFFFF"/>
        </w:rPr>
        <w:t>μῆτις continues to be shaped by the structuralist approach of Detienne and Vernant is also illustrative.</w:t>
      </w:r>
      <w:r w:rsidRPr="00673D2F">
        <w:rPr>
          <w:rFonts w:ascii="Times New Roman" w:hAnsi="Times New Roman" w:cs="Times New Roman"/>
          <w:bCs/>
          <w:color w:val="2A2A2A"/>
          <w:sz w:val="32"/>
          <w:szCs w:val="32"/>
          <w:shd w:val="clear" w:color="auto" w:fill="FFFFFF"/>
        </w:rPr>
        <w:t xml:space="preserve">  </w:t>
      </w:r>
    </w:p>
  </w:footnote>
  <w:footnote w:id="3">
    <w:p w14:paraId="0CDA2E86" w14:textId="7A97AE11" w:rsidR="00DD49DC" w:rsidRPr="00C72BDD" w:rsidRDefault="00DD49DC" w:rsidP="00C72BDD">
      <w:pPr>
        <w:pStyle w:val="Heading3"/>
        <w:shd w:val="clear" w:color="auto" w:fill="FFFFFF"/>
        <w:spacing w:before="0" w:beforeAutospacing="0" w:after="0" w:afterAutospacing="0"/>
        <w:rPr>
          <w:rFonts w:ascii="Calibri" w:hAnsi="Calibri" w:cs="Calibri"/>
          <w:b w:val="0"/>
          <w:color w:val="44707B"/>
          <w:sz w:val="22"/>
          <w:szCs w:val="22"/>
        </w:rPr>
      </w:pPr>
      <w:r w:rsidRPr="00C72BDD">
        <w:rPr>
          <w:rStyle w:val="FootnoteReference"/>
          <w:rFonts w:ascii="Calibri" w:hAnsi="Calibri" w:cs="Calibri"/>
          <w:b w:val="0"/>
          <w:sz w:val="22"/>
          <w:szCs w:val="22"/>
        </w:rPr>
        <w:footnoteRef/>
      </w:r>
      <w:r w:rsidRPr="00C72BDD">
        <w:rPr>
          <w:rFonts w:ascii="Calibri" w:hAnsi="Calibri" w:cs="Calibri"/>
          <w:b w:val="0"/>
          <w:sz w:val="22"/>
          <w:szCs w:val="22"/>
        </w:rPr>
        <w:t xml:space="preserve"> </w:t>
      </w:r>
      <w:r w:rsidRPr="00C72BDD">
        <w:rPr>
          <w:rFonts w:ascii="Calibri" w:hAnsi="Calibri" w:cs="Calibri"/>
          <w:b w:val="0"/>
          <w:color w:val="3A3A3A"/>
          <w:sz w:val="22"/>
          <w:szCs w:val="22"/>
        </w:rPr>
        <w:t>Dionysius (12) Schytobrachion, Oxford University Press</w:t>
      </w:r>
      <w:r w:rsidRPr="00C72BDD">
        <w:rPr>
          <w:rStyle w:val="media-delimiter"/>
          <w:rFonts w:ascii="Calibri" w:hAnsi="Calibri" w:cs="Calibri"/>
          <w:b w:val="0"/>
          <w:color w:val="3A3A3A"/>
          <w:sz w:val="22"/>
          <w:szCs w:val="22"/>
        </w:rPr>
        <w:t>; </w:t>
      </w:r>
      <w:r w:rsidRPr="00C72BDD">
        <w:rPr>
          <w:rFonts w:ascii="Calibri" w:hAnsi="Calibri" w:cs="Calibri"/>
          <w:b w:val="0"/>
          <w:color w:val="3A3A3A"/>
          <w:sz w:val="22"/>
          <w:szCs w:val="22"/>
        </w:rPr>
        <w:t>The Oxford Classical Dictionary, 2012</w:t>
      </w:r>
    </w:p>
    <w:p w14:paraId="21160CE5" w14:textId="2CE9DBAE" w:rsidR="00DD49DC" w:rsidRDefault="00DD49DC">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154FAC"/>
    <w:multiLevelType w:val="hybridMultilevel"/>
    <w:tmpl w:val="A372C9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EE5E68"/>
    <w:multiLevelType w:val="hybridMultilevel"/>
    <w:tmpl w:val="33F0EF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3162EA"/>
    <w:multiLevelType w:val="hybridMultilevel"/>
    <w:tmpl w:val="D31A19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657C"/>
    <w:rsid w:val="00000958"/>
    <w:rsid w:val="00082124"/>
    <w:rsid w:val="000A4922"/>
    <w:rsid w:val="000A745C"/>
    <w:rsid w:val="000B1A6F"/>
    <w:rsid w:val="001A47BE"/>
    <w:rsid w:val="001C657C"/>
    <w:rsid w:val="0021717F"/>
    <w:rsid w:val="002340DD"/>
    <w:rsid w:val="00241A74"/>
    <w:rsid w:val="002707B7"/>
    <w:rsid w:val="00295791"/>
    <w:rsid w:val="002B243B"/>
    <w:rsid w:val="002B7DF7"/>
    <w:rsid w:val="002C7EE6"/>
    <w:rsid w:val="002E7558"/>
    <w:rsid w:val="0031384A"/>
    <w:rsid w:val="00350CED"/>
    <w:rsid w:val="0035143E"/>
    <w:rsid w:val="003A7B6A"/>
    <w:rsid w:val="00453411"/>
    <w:rsid w:val="00493996"/>
    <w:rsid w:val="004C4AC1"/>
    <w:rsid w:val="00504D6C"/>
    <w:rsid w:val="0053601E"/>
    <w:rsid w:val="00541980"/>
    <w:rsid w:val="005D4CEA"/>
    <w:rsid w:val="005E2E36"/>
    <w:rsid w:val="00673D2F"/>
    <w:rsid w:val="00692B49"/>
    <w:rsid w:val="00693295"/>
    <w:rsid w:val="006B1600"/>
    <w:rsid w:val="006E32F7"/>
    <w:rsid w:val="007234D2"/>
    <w:rsid w:val="0072466B"/>
    <w:rsid w:val="00763436"/>
    <w:rsid w:val="007C5B5F"/>
    <w:rsid w:val="008224A8"/>
    <w:rsid w:val="008333B0"/>
    <w:rsid w:val="008629C0"/>
    <w:rsid w:val="008B68C9"/>
    <w:rsid w:val="008D2344"/>
    <w:rsid w:val="0092631C"/>
    <w:rsid w:val="00956284"/>
    <w:rsid w:val="00982B1F"/>
    <w:rsid w:val="00987B2E"/>
    <w:rsid w:val="009C152A"/>
    <w:rsid w:val="009D0A91"/>
    <w:rsid w:val="00A153C3"/>
    <w:rsid w:val="00A2424B"/>
    <w:rsid w:val="00A507A2"/>
    <w:rsid w:val="00A74C7A"/>
    <w:rsid w:val="00B36FA0"/>
    <w:rsid w:val="00B3737B"/>
    <w:rsid w:val="00B63380"/>
    <w:rsid w:val="00BB128E"/>
    <w:rsid w:val="00BE64A7"/>
    <w:rsid w:val="00C72BDD"/>
    <w:rsid w:val="00CE0A71"/>
    <w:rsid w:val="00CE69AB"/>
    <w:rsid w:val="00CF1991"/>
    <w:rsid w:val="00D075D4"/>
    <w:rsid w:val="00D23659"/>
    <w:rsid w:val="00D31198"/>
    <w:rsid w:val="00D466BB"/>
    <w:rsid w:val="00D73FEC"/>
    <w:rsid w:val="00D8016D"/>
    <w:rsid w:val="00DA1041"/>
    <w:rsid w:val="00DA1D01"/>
    <w:rsid w:val="00DD49DC"/>
    <w:rsid w:val="00DF135A"/>
    <w:rsid w:val="00E238C5"/>
    <w:rsid w:val="00E34658"/>
    <w:rsid w:val="00E414B6"/>
    <w:rsid w:val="00E72221"/>
    <w:rsid w:val="00E94D02"/>
    <w:rsid w:val="00EF4E84"/>
    <w:rsid w:val="00F53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B5281"/>
  <w15:chartTrackingRefBased/>
  <w15:docId w15:val="{0FA78AA7-4E10-462B-A489-D83816E9F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657C"/>
  </w:style>
  <w:style w:type="paragraph" w:styleId="Heading3">
    <w:name w:val="heading 3"/>
    <w:basedOn w:val="Normal"/>
    <w:link w:val="Heading3Char"/>
    <w:uiPriority w:val="9"/>
    <w:qFormat/>
    <w:rsid w:val="00C72BD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657C"/>
    <w:pPr>
      <w:ind w:left="720"/>
      <w:contextualSpacing/>
    </w:pPr>
  </w:style>
  <w:style w:type="character" w:styleId="CommentReference">
    <w:name w:val="annotation reference"/>
    <w:basedOn w:val="DefaultParagraphFont"/>
    <w:uiPriority w:val="99"/>
    <w:semiHidden/>
    <w:unhideWhenUsed/>
    <w:rsid w:val="00693295"/>
    <w:rPr>
      <w:sz w:val="16"/>
      <w:szCs w:val="16"/>
    </w:rPr>
  </w:style>
  <w:style w:type="paragraph" w:styleId="CommentText">
    <w:name w:val="annotation text"/>
    <w:basedOn w:val="Normal"/>
    <w:link w:val="CommentTextChar"/>
    <w:uiPriority w:val="99"/>
    <w:unhideWhenUsed/>
    <w:rsid w:val="00693295"/>
    <w:pPr>
      <w:spacing w:line="240" w:lineRule="auto"/>
    </w:pPr>
    <w:rPr>
      <w:sz w:val="20"/>
      <w:szCs w:val="20"/>
    </w:rPr>
  </w:style>
  <w:style w:type="character" w:customStyle="1" w:styleId="CommentTextChar">
    <w:name w:val="Comment Text Char"/>
    <w:basedOn w:val="DefaultParagraphFont"/>
    <w:link w:val="CommentText"/>
    <w:uiPriority w:val="99"/>
    <w:rsid w:val="00693295"/>
    <w:rPr>
      <w:sz w:val="20"/>
      <w:szCs w:val="20"/>
    </w:rPr>
  </w:style>
  <w:style w:type="paragraph" w:styleId="CommentSubject">
    <w:name w:val="annotation subject"/>
    <w:basedOn w:val="CommentText"/>
    <w:next w:val="CommentText"/>
    <w:link w:val="CommentSubjectChar"/>
    <w:uiPriority w:val="99"/>
    <w:semiHidden/>
    <w:unhideWhenUsed/>
    <w:rsid w:val="00693295"/>
    <w:rPr>
      <w:b/>
      <w:bCs/>
    </w:rPr>
  </w:style>
  <w:style w:type="character" w:customStyle="1" w:styleId="CommentSubjectChar">
    <w:name w:val="Comment Subject Char"/>
    <w:basedOn w:val="CommentTextChar"/>
    <w:link w:val="CommentSubject"/>
    <w:uiPriority w:val="99"/>
    <w:semiHidden/>
    <w:rsid w:val="00693295"/>
    <w:rPr>
      <w:b/>
      <w:bCs/>
      <w:sz w:val="20"/>
      <w:szCs w:val="20"/>
    </w:rPr>
  </w:style>
  <w:style w:type="paragraph" w:styleId="BalloonText">
    <w:name w:val="Balloon Text"/>
    <w:basedOn w:val="Normal"/>
    <w:link w:val="BalloonTextChar"/>
    <w:uiPriority w:val="99"/>
    <w:semiHidden/>
    <w:unhideWhenUsed/>
    <w:rsid w:val="006932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295"/>
    <w:rPr>
      <w:rFonts w:ascii="Segoe UI" w:hAnsi="Segoe UI" w:cs="Segoe UI"/>
      <w:sz w:val="18"/>
      <w:szCs w:val="18"/>
    </w:rPr>
  </w:style>
  <w:style w:type="paragraph" w:styleId="FootnoteText">
    <w:name w:val="footnote text"/>
    <w:basedOn w:val="Normal"/>
    <w:link w:val="FootnoteTextChar"/>
    <w:uiPriority w:val="99"/>
    <w:semiHidden/>
    <w:unhideWhenUsed/>
    <w:rsid w:val="00A153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53C3"/>
    <w:rPr>
      <w:sz w:val="20"/>
      <w:szCs w:val="20"/>
    </w:rPr>
  </w:style>
  <w:style w:type="character" w:styleId="FootnoteReference">
    <w:name w:val="footnote reference"/>
    <w:basedOn w:val="DefaultParagraphFont"/>
    <w:uiPriority w:val="99"/>
    <w:semiHidden/>
    <w:unhideWhenUsed/>
    <w:rsid w:val="00A153C3"/>
    <w:rPr>
      <w:vertAlign w:val="superscript"/>
    </w:rPr>
  </w:style>
  <w:style w:type="paragraph" w:styleId="Header">
    <w:name w:val="header"/>
    <w:basedOn w:val="Normal"/>
    <w:link w:val="HeaderChar"/>
    <w:uiPriority w:val="99"/>
    <w:unhideWhenUsed/>
    <w:rsid w:val="00241A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1A74"/>
  </w:style>
  <w:style w:type="paragraph" w:styleId="Footer">
    <w:name w:val="footer"/>
    <w:basedOn w:val="Normal"/>
    <w:link w:val="FooterChar"/>
    <w:uiPriority w:val="99"/>
    <w:unhideWhenUsed/>
    <w:rsid w:val="00241A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1A74"/>
  </w:style>
  <w:style w:type="character" w:styleId="Hyperlink">
    <w:name w:val="Hyperlink"/>
    <w:basedOn w:val="DefaultParagraphFont"/>
    <w:uiPriority w:val="99"/>
    <w:unhideWhenUsed/>
    <w:rsid w:val="0072466B"/>
    <w:rPr>
      <w:color w:val="0563C1" w:themeColor="hyperlink"/>
      <w:u w:val="single"/>
    </w:rPr>
  </w:style>
  <w:style w:type="character" w:customStyle="1" w:styleId="Heading3Char">
    <w:name w:val="Heading 3 Char"/>
    <w:basedOn w:val="DefaultParagraphFont"/>
    <w:link w:val="Heading3"/>
    <w:uiPriority w:val="9"/>
    <w:rsid w:val="00C72BDD"/>
    <w:rPr>
      <w:rFonts w:ascii="Times New Roman" w:eastAsia="Times New Roman" w:hAnsi="Times New Roman" w:cs="Times New Roman"/>
      <w:b/>
      <w:bCs/>
      <w:sz w:val="27"/>
      <w:szCs w:val="27"/>
    </w:rPr>
  </w:style>
  <w:style w:type="character" w:customStyle="1" w:styleId="media-delimiter">
    <w:name w:val="media-delimiter"/>
    <w:basedOn w:val="DefaultParagraphFont"/>
    <w:rsid w:val="00C72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470292">
      <w:bodyDiv w:val="1"/>
      <w:marLeft w:val="0"/>
      <w:marRight w:val="0"/>
      <w:marTop w:val="0"/>
      <w:marBottom w:val="0"/>
      <w:divBdr>
        <w:top w:val="none" w:sz="0" w:space="0" w:color="auto"/>
        <w:left w:val="none" w:sz="0" w:space="0" w:color="auto"/>
        <w:bottom w:val="none" w:sz="0" w:space="0" w:color="auto"/>
        <w:right w:val="none" w:sz="0" w:space="0" w:color="auto"/>
      </w:divBdr>
    </w:div>
    <w:div w:id="316807372">
      <w:bodyDiv w:val="1"/>
      <w:marLeft w:val="0"/>
      <w:marRight w:val="0"/>
      <w:marTop w:val="0"/>
      <w:marBottom w:val="0"/>
      <w:divBdr>
        <w:top w:val="none" w:sz="0" w:space="0" w:color="auto"/>
        <w:left w:val="none" w:sz="0" w:space="0" w:color="auto"/>
        <w:bottom w:val="none" w:sz="0" w:space="0" w:color="auto"/>
        <w:right w:val="none" w:sz="0" w:space="0" w:color="auto"/>
      </w:divBdr>
      <w:divsChild>
        <w:div w:id="1942179132">
          <w:marLeft w:val="0"/>
          <w:marRight w:val="0"/>
          <w:marTop w:val="0"/>
          <w:marBottom w:val="0"/>
          <w:divBdr>
            <w:top w:val="none" w:sz="0" w:space="0" w:color="auto"/>
            <w:left w:val="none" w:sz="0" w:space="0" w:color="auto"/>
            <w:bottom w:val="none" w:sz="0" w:space="0" w:color="auto"/>
            <w:right w:val="none" w:sz="0" w:space="0" w:color="auto"/>
          </w:divBdr>
        </w:div>
      </w:divsChild>
    </w:div>
    <w:div w:id="456726356">
      <w:bodyDiv w:val="1"/>
      <w:marLeft w:val="0"/>
      <w:marRight w:val="0"/>
      <w:marTop w:val="0"/>
      <w:marBottom w:val="0"/>
      <w:divBdr>
        <w:top w:val="none" w:sz="0" w:space="0" w:color="auto"/>
        <w:left w:val="none" w:sz="0" w:space="0" w:color="auto"/>
        <w:bottom w:val="none" w:sz="0" w:space="0" w:color="auto"/>
        <w:right w:val="none" w:sz="0" w:space="0" w:color="auto"/>
      </w:divBdr>
      <w:divsChild>
        <w:div w:id="1891333639">
          <w:marLeft w:val="0"/>
          <w:marRight w:val="0"/>
          <w:marTop w:val="0"/>
          <w:marBottom w:val="0"/>
          <w:divBdr>
            <w:top w:val="none" w:sz="0" w:space="0" w:color="auto"/>
            <w:left w:val="none" w:sz="0" w:space="0" w:color="auto"/>
            <w:bottom w:val="none" w:sz="0" w:space="0" w:color="auto"/>
            <w:right w:val="none" w:sz="0" w:space="0" w:color="auto"/>
          </w:divBdr>
          <w:divsChild>
            <w:div w:id="32363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429701">
      <w:bodyDiv w:val="1"/>
      <w:marLeft w:val="0"/>
      <w:marRight w:val="0"/>
      <w:marTop w:val="0"/>
      <w:marBottom w:val="0"/>
      <w:divBdr>
        <w:top w:val="none" w:sz="0" w:space="0" w:color="auto"/>
        <w:left w:val="none" w:sz="0" w:space="0" w:color="auto"/>
        <w:bottom w:val="none" w:sz="0" w:space="0" w:color="auto"/>
        <w:right w:val="none" w:sz="0" w:space="0" w:color="auto"/>
      </w:divBdr>
    </w:div>
    <w:div w:id="1936328755">
      <w:bodyDiv w:val="1"/>
      <w:marLeft w:val="0"/>
      <w:marRight w:val="0"/>
      <w:marTop w:val="0"/>
      <w:marBottom w:val="0"/>
      <w:divBdr>
        <w:top w:val="none" w:sz="0" w:space="0" w:color="auto"/>
        <w:left w:val="none" w:sz="0" w:space="0" w:color="auto"/>
        <w:bottom w:val="none" w:sz="0" w:space="0" w:color="auto"/>
        <w:right w:val="none" w:sz="0" w:space="0" w:color="auto"/>
      </w:divBdr>
      <w:divsChild>
        <w:div w:id="38799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1344345" TargetMode="Externa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405CC-ED3E-4FC7-949A-9B03E3863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9</Pages>
  <Words>3612</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lnelson</dc:creator>
  <cp:keywords/>
  <dc:description/>
  <cp:lastModifiedBy>lnelson</cp:lastModifiedBy>
  <cp:revision>5</cp:revision>
  <dcterms:created xsi:type="dcterms:W3CDTF">2023-12-10T12:31:00Z</dcterms:created>
  <dcterms:modified xsi:type="dcterms:W3CDTF">2023-12-10T14:29:00Z</dcterms:modified>
</cp:coreProperties>
</file>