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852"/>
        <w:tblW w:w="10632" w:type="dxa"/>
        <w:tblLook w:val="04A0" w:firstRow="1" w:lastRow="0" w:firstColumn="1" w:lastColumn="0" w:noHBand="0" w:noVBand="1"/>
      </w:tblPr>
      <w:tblGrid>
        <w:gridCol w:w="10632"/>
      </w:tblGrid>
      <w:tr w:rsidR="0028303F" w:rsidRPr="0028303F" w14:paraId="00A0F7E0" w14:textId="77777777" w:rsidTr="0028303F">
        <w:tc>
          <w:tcPr>
            <w:tcW w:w="10632" w:type="dxa"/>
          </w:tcPr>
          <w:p w14:paraId="6D195A10" w14:textId="77777777" w:rsidR="0028303F" w:rsidRPr="0028303F" w:rsidRDefault="0028303F" w:rsidP="0028303F">
            <w:pPr>
              <w:spacing w:line="360" w:lineRule="auto"/>
              <w:jc w:val="center"/>
              <w:rPr>
                <w:rFonts w:ascii="Arial" w:hAnsi="Arial" w:cs="Arial"/>
                <w:b/>
                <w:bCs/>
                <w:i/>
                <w:iCs/>
                <w:sz w:val="44"/>
                <w:szCs w:val="44"/>
                <w:u w:val="single"/>
              </w:rPr>
            </w:pPr>
            <w:r w:rsidRPr="0028303F">
              <w:rPr>
                <w:rFonts w:ascii="Arial" w:hAnsi="Arial" w:cs="Arial"/>
                <w:b/>
                <w:bCs/>
                <w:i/>
                <w:iCs/>
                <w:sz w:val="44"/>
                <w:szCs w:val="44"/>
                <w:u w:val="single"/>
              </w:rPr>
              <w:t>LCLM 5002</w:t>
            </w:r>
          </w:p>
        </w:tc>
      </w:tr>
      <w:tr w:rsidR="0028303F" w:rsidRPr="0028303F" w14:paraId="760DA8A9" w14:textId="77777777" w:rsidTr="0028303F">
        <w:tc>
          <w:tcPr>
            <w:tcW w:w="10632" w:type="dxa"/>
          </w:tcPr>
          <w:p w14:paraId="3A51FAC2" w14:textId="77777777" w:rsidR="0028303F" w:rsidRPr="0028303F" w:rsidRDefault="0028303F" w:rsidP="0028303F">
            <w:pPr>
              <w:spacing w:line="360" w:lineRule="auto"/>
              <w:jc w:val="center"/>
              <w:rPr>
                <w:rFonts w:ascii="Arial" w:hAnsi="Arial" w:cs="Arial"/>
                <w:b/>
                <w:bCs/>
                <w:i/>
                <w:iCs/>
                <w:sz w:val="44"/>
                <w:szCs w:val="44"/>
                <w:u w:val="single"/>
              </w:rPr>
            </w:pPr>
            <w:r w:rsidRPr="0028303F">
              <w:rPr>
                <w:rFonts w:ascii="Arial" w:hAnsi="Arial" w:cs="Arial"/>
                <w:b/>
                <w:bCs/>
                <w:i/>
                <w:iCs/>
                <w:sz w:val="44"/>
                <w:szCs w:val="44"/>
                <w:u w:val="single"/>
              </w:rPr>
              <w:t>Developing and Managing Individuals and Teams</w:t>
            </w:r>
          </w:p>
        </w:tc>
      </w:tr>
      <w:tr w:rsidR="0028303F" w:rsidRPr="0028303F" w14:paraId="43CA096F" w14:textId="77777777" w:rsidTr="0028303F">
        <w:tc>
          <w:tcPr>
            <w:tcW w:w="10632" w:type="dxa"/>
          </w:tcPr>
          <w:p w14:paraId="050C4BF1" w14:textId="77777777" w:rsidR="0028303F" w:rsidRPr="0028303F" w:rsidRDefault="0028303F" w:rsidP="0028303F">
            <w:pPr>
              <w:spacing w:line="360" w:lineRule="auto"/>
              <w:jc w:val="center"/>
              <w:rPr>
                <w:rFonts w:ascii="Arial" w:hAnsi="Arial" w:cs="Arial"/>
                <w:b/>
                <w:bCs/>
                <w:i/>
                <w:iCs/>
                <w:sz w:val="44"/>
                <w:szCs w:val="44"/>
                <w:u w:val="single"/>
              </w:rPr>
            </w:pPr>
            <w:r w:rsidRPr="0028303F">
              <w:rPr>
                <w:rFonts w:ascii="Arial" w:hAnsi="Arial" w:cs="Arial"/>
                <w:b/>
                <w:bCs/>
                <w:i/>
                <w:iCs/>
                <w:sz w:val="44"/>
                <w:szCs w:val="44"/>
                <w:u w:val="single"/>
              </w:rPr>
              <w:t>BA (Hons) Leadership and Management Skills for the Workplace</w:t>
            </w:r>
          </w:p>
        </w:tc>
      </w:tr>
      <w:tr w:rsidR="0028303F" w:rsidRPr="0028303F" w14:paraId="6D54E6FD" w14:textId="77777777" w:rsidTr="0028303F">
        <w:tc>
          <w:tcPr>
            <w:tcW w:w="10632" w:type="dxa"/>
            <w:shd w:val="clear" w:color="auto" w:fill="EE0000"/>
          </w:tcPr>
          <w:p w14:paraId="38D8B999" w14:textId="77777777" w:rsidR="0028303F" w:rsidRPr="0028303F" w:rsidRDefault="0028303F" w:rsidP="0028303F">
            <w:pPr>
              <w:spacing w:line="360" w:lineRule="auto"/>
              <w:jc w:val="center"/>
              <w:rPr>
                <w:rFonts w:ascii="Arial" w:hAnsi="Arial" w:cs="Arial"/>
                <w:b/>
                <w:bCs/>
                <w:i/>
                <w:iCs/>
                <w:sz w:val="44"/>
                <w:szCs w:val="44"/>
                <w:u w:val="single"/>
              </w:rPr>
            </w:pPr>
            <w:r w:rsidRPr="0028303F">
              <w:rPr>
                <w:rFonts w:ascii="Arial" w:hAnsi="Arial" w:cs="Arial"/>
                <w:b/>
                <w:bCs/>
                <w:i/>
                <w:iCs/>
                <w:sz w:val="44"/>
                <w:szCs w:val="44"/>
                <w:u w:val="single"/>
              </w:rPr>
              <w:t>TASK 2- NECTAR HR</w:t>
            </w:r>
          </w:p>
        </w:tc>
      </w:tr>
    </w:tbl>
    <w:p w14:paraId="5862ED72" w14:textId="5D359EC9" w:rsidR="0028303F" w:rsidRDefault="0028303F" w:rsidP="0028303F">
      <w:pPr>
        <w:spacing w:line="360" w:lineRule="auto"/>
        <w:jc w:val="center"/>
        <w:rPr>
          <w:rFonts w:ascii="Arial" w:hAnsi="Arial" w:cs="Arial"/>
          <w:b/>
          <w:bCs/>
          <w:i/>
          <w:iCs/>
          <w:sz w:val="44"/>
          <w:szCs w:val="44"/>
          <w:u w:val="single"/>
        </w:rPr>
      </w:pPr>
    </w:p>
    <w:p w14:paraId="49FB6BA0" w14:textId="77777777" w:rsidR="0028303F" w:rsidRDefault="0028303F" w:rsidP="0028303F">
      <w:pPr>
        <w:spacing w:line="360" w:lineRule="auto"/>
        <w:jc w:val="center"/>
        <w:rPr>
          <w:rFonts w:ascii="Arial" w:hAnsi="Arial" w:cs="Arial"/>
          <w:b/>
          <w:bCs/>
          <w:i/>
          <w:iCs/>
          <w:sz w:val="44"/>
          <w:szCs w:val="44"/>
          <w:u w:val="single"/>
        </w:rPr>
      </w:pPr>
    </w:p>
    <w:p w14:paraId="797E1190" w14:textId="77777777" w:rsidR="0028303F" w:rsidRDefault="0028303F" w:rsidP="0028303F">
      <w:pPr>
        <w:spacing w:line="360" w:lineRule="auto"/>
        <w:jc w:val="center"/>
        <w:rPr>
          <w:rFonts w:ascii="Arial" w:hAnsi="Arial" w:cs="Arial"/>
          <w:b/>
          <w:bCs/>
          <w:i/>
          <w:iCs/>
          <w:sz w:val="44"/>
          <w:szCs w:val="44"/>
          <w:u w:val="single"/>
        </w:rPr>
      </w:pPr>
    </w:p>
    <w:p w14:paraId="3B48381F" w14:textId="77777777" w:rsidR="0028303F" w:rsidRDefault="0028303F" w:rsidP="0028303F">
      <w:pPr>
        <w:spacing w:line="360" w:lineRule="auto"/>
        <w:jc w:val="center"/>
        <w:rPr>
          <w:rFonts w:ascii="Arial" w:hAnsi="Arial" w:cs="Arial"/>
          <w:b/>
          <w:bCs/>
          <w:i/>
          <w:iCs/>
          <w:sz w:val="44"/>
          <w:szCs w:val="44"/>
          <w:u w:val="single"/>
        </w:rPr>
      </w:pPr>
    </w:p>
    <w:p w14:paraId="3AC4DF57" w14:textId="77777777" w:rsidR="0028303F" w:rsidRDefault="0028303F" w:rsidP="0028303F">
      <w:pPr>
        <w:spacing w:line="360" w:lineRule="auto"/>
        <w:jc w:val="center"/>
        <w:rPr>
          <w:rFonts w:ascii="Arial" w:hAnsi="Arial" w:cs="Arial"/>
          <w:b/>
          <w:bCs/>
          <w:i/>
          <w:iCs/>
          <w:sz w:val="44"/>
          <w:szCs w:val="44"/>
          <w:u w:val="single"/>
        </w:rPr>
      </w:pPr>
    </w:p>
    <w:p w14:paraId="2679771A" w14:textId="77777777" w:rsidR="0028303F" w:rsidRDefault="0028303F" w:rsidP="0028303F">
      <w:pPr>
        <w:spacing w:line="360" w:lineRule="auto"/>
        <w:jc w:val="center"/>
        <w:rPr>
          <w:rFonts w:ascii="Arial" w:hAnsi="Arial" w:cs="Arial"/>
          <w:b/>
          <w:bCs/>
          <w:i/>
          <w:iCs/>
          <w:sz w:val="44"/>
          <w:szCs w:val="44"/>
          <w:u w:val="single"/>
        </w:rPr>
      </w:pPr>
    </w:p>
    <w:p w14:paraId="13626681" w14:textId="77777777" w:rsidR="0028303F" w:rsidRDefault="0028303F" w:rsidP="0028303F">
      <w:pPr>
        <w:spacing w:line="360" w:lineRule="auto"/>
        <w:jc w:val="center"/>
        <w:rPr>
          <w:rFonts w:ascii="Arial" w:hAnsi="Arial" w:cs="Arial"/>
          <w:b/>
          <w:bCs/>
          <w:i/>
          <w:iCs/>
          <w:sz w:val="44"/>
          <w:szCs w:val="44"/>
          <w:u w:val="single"/>
        </w:rPr>
      </w:pPr>
    </w:p>
    <w:p w14:paraId="2D324827" w14:textId="77777777" w:rsidR="0028303F" w:rsidRDefault="0028303F" w:rsidP="0028303F">
      <w:pPr>
        <w:spacing w:line="360" w:lineRule="auto"/>
        <w:jc w:val="center"/>
        <w:rPr>
          <w:rFonts w:ascii="Arial" w:hAnsi="Arial" w:cs="Arial"/>
          <w:b/>
          <w:bCs/>
          <w:i/>
          <w:iCs/>
          <w:sz w:val="44"/>
          <w:szCs w:val="44"/>
          <w:u w:val="single"/>
        </w:rPr>
      </w:pPr>
    </w:p>
    <w:tbl>
      <w:tblPr>
        <w:tblStyle w:val="TableGrid"/>
        <w:tblW w:w="0" w:type="auto"/>
        <w:tblLook w:val="04A0" w:firstRow="1" w:lastRow="0" w:firstColumn="1" w:lastColumn="0" w:noHBand="0" w:noVBand="1"/>
      </w:tblPr>
      <w:tblGrid>
        <w:gridCol w:w="9016"/>
      </w:tblGrid>
      <w:tr w:rsidR="0028303F" w:rsidRPr="0028303F" w14:paraId="2ACAE7BC" w14:textId="77777777">
        <w:tc>
          <w:tcPr>
            <w:tcW w:w="9016" w:type="dxa"/>
          </w:tcPr>
          <w:p w14:paraId="37289438" w14:textId="006E263A" w:rsidR="0028303F" w:rsidRPr="0028303F" w:rsidRDefault="0028303F" w:rsidP="0028303F">
            <w:pPr>
              <w:spacing w:line="360" w:lineRule="auto"/>
              <w:rPr>
                <w:rFonts w:ascii="Arial" w:hAnsi="Arial" w:cs="Arial"/>
                <w:b/>
                <w:bCs/>
                <w:i/>
                <w:iCs/>
                <w:sz w:val="44"/>
                <w:szCs w:val="44"/>
                <w:u w:val="single"/>
              </w:rPr>
            </w:pPr>
            <w:r w:rsidRPr="0028303F">
              <w:rPr>
                <w:rFonts w:ascii="Arial" w:hAnsi="Arial" w:cs="Arial"/>
                <w:b/>
                <w:bCs/>
                <w:i/>
                <w:iCs/>
                <w:sz w:val="44"/>
                <w:szCs w:val="44"/>
                <w:u w:val="single"/>
              </w:rPr>
              <w:t xml:space="preserve">Student name: </w:t>
            </w:r>
            <w:r w:rsidR="00E81C18">
              <w:rPr>
                <w:rFonts w:ascii="Arial" w:hAnsi="Arial" w:cs="Arial"/>
                <w:b/>
                <w:bCs/>
                <w:i/>
                <w:iCs/>
                <w:sz w:val="44"/>
                <w:szCs w:val="44"/>
                <w:u w:val="single"/>
              </w:rPr>
              <w:t xml:space="preserve">Alisa </w:t>
            </w:r>
            <w:proofErr w:type="spellStart"/>
            <w:r w:rsidR="00E81C18">
              <w:rPr>
                <w:rFonts w:ascii="Arial" w:hAnsi="Arial" w:cs="Arial"/>
                <w:b/>
                <w:bCs/>
                <w:i/>
                <w:iCs/>
                <w:sz w:val="44"/>
                <w:szCs w:val="44"/>
                <w:u w:val="single"/>
              </w:rPr>
              <w:t>Marchidan</w:t>
            </w:r>
            <w:proofErr w:type="spellEnd"/>
          </w:p>
        </w:tc>
      </w:tr>
      <w:tr w:rsidR="0028303F" w:rsidRPr="0028303F" w14:paraId="4CCEF35F" w14:textId="77777777">
        <w:tc>
          <w:tcPr>
            <w:tcW w:w="9016" w:type="dxa"/>
          </w:tcPr>
          <w:p w14:paraId="4528E466" w14:textId="4AB96C2F" w:rsidR="0028303F" w:rsidRPr="0028303F" w:rsidRDefault="0028303F" w:rsidP="0028303F">
            <w:pPr>
              <w:spacing w:line="360" w:lineRule="auto"/>
              <w:rPr>
                <w:rFonts w:ascii="Arial" w:hAnsi="Arial" w:cs="Arial"/>
                <w:b/>
                <w:bCs/>
                <w:i/>
                <w:iCs/>
                <w:sz w:val="44"/>
                <w:szCs w:val="44"/>
                <w:u w:val="single"/>
              </w:rPr>
            </w:pPr>
            <w:r w:rsidRPr="0028303F">
              <w:rPr>
                <w:rFonts w:ascii="Arial" w:hAnsi="Arial" w:cs="Arial"/>
                <w:b/>
                <w:bCs/>
                <w:i/>
                <w:iCs/>
                <w:sz w:val="44"/>
                <w:szCs w:val="44"/>
                <w:u w:val="single"/>
              </w:rPr>
              <w:t>Student number:</w:t>
            </w:r>
            <w:r w:rsidR="00153F2A">
              <w:t xml:space="preserve"> </w:t>
            </w:r>
            <w:r w:rsidR="00153F2A" w:rsidRPr="00153F2A">
              <w:rPr>
                <w:rFonts w:ascii="Arial" w:hAnsi="Arial" w:cs="Arial"/>
                <w:b/>
                <w:bCs/>
                <w:i/>
                <w:iCs/>
                <w:sz w:val="44"/>
                <w:szCs w:val="44"/>
                <w:u w:val="single"/>
              </w:rPr>
              <w:t>2314769</w:t>
            </w:r>
          </w:p>
        </w:tc>
      </w:tr>
      <w:tr w:rsidR="0028303F" w:rsidRPr="0028303F" w14:paraId="5F8906D0" w14:textId="77777777">
        <w:tc>
          <w:tcPr>
            <w:tcW w:w="9016" w:type="dxa"/>
          </w:tcPr>
          <w:p w14:paraId="3A5B66F1" w14:textId="52543A7A" w:rsidR="0028303F" w:rsidRPr="0028303F" w:rsidRDefault="0028303F" w:rsidP="0028303F">
            <w:pPr>
              <w:spacing w:line="360" w:lineRule="auto"/>
              <w:rPr>
                <w:rFonts w:ascii="Arial" w:hAnsi="Arial" w:cs="Arial"/>
                <w:b/>
                <w:bCs/>
                <w:i/>
                <w:iCs/>
                <w:sz w:val="44"/>
                <w:szCs w:val="44"/>
                <w:u w:val="single"/>
              </w:rPr>
            </w:pPr>
            <w:r w:rsidRPr="0028303F">
              <w:rPr>
                <w:rFonts w:ascii="Arial" w:hAnsi="Arial" w:cs="Arial"/>
                <w:b/>
                <w:bCs/>
                <w:i/>
                <w:iCs/>
                <w:sz w:val="44"/>
                <w:szCs w:val="44"/>
                <w:u w:val="single"/>
              </w:rPr>
              <w:t>Lecturer</w:t>
            </w:r>
            <w:r w:rsidR="00E1366C">
              <w:rPr>
                <w:rFonts w:ascii="Arial" w:hAnsi="Arial" w:cs="Arial"/>
                <w:b/>
                <w:bCs/>
                <w:i/>
                <w:iCs/>
                <w:sz w:val="44"/>
                <w:szCs w:val="44"/>
                <w:u w:val="single"/>
              </w:rPr>
              <w:t xml:space="preserve">: </w:t>
            </w:r>
            <w:r w:rsidR="00E1366C" w:rsidRPr="00E1366C">
              <w:rPr>
                <w:rFonts w:ascii="Arial" w:hAnsi="Arial" w:cs="Arial"/>
                <w:b/>
                <w:bCs/>
                <w:i/>
                <w:iCs/>
                <w:sz w:val="44"/>
                <w:szCs w:val="44"/>
                <w:u w:val="single"/>
              </w:rPr>
              <w:t>Mudassar Hasan</w:t>
            </w:r>
          </w:p>
        </w:tc>
      </w:tr>
    </w:tbl>
    <w:p w14:paraId="649CB007" w14:textId="14B6780F" w:rsidR="0028303F" w:rsidRDefault="0028303F" w:rsidP="0028303F">
      <w:pPr>
        <w:spacing w:line="360" w:lineRule="auto"/>
        <w:rPr>
          <w:rFonts w:ascii="Arial" w:hAnsi="Arial" w:cs="Arial"/>
          <w:b/>
          <w:bCs/>
          <w:i/>
          <w:iCs/>
          <w:sz w:val="44"/>
          <w:szCs w:val="44"/>
          <w:u w:val="single"/>
        </w:rPr>
      </w:pPr>
    </w:p>
    <w:p w14:paraId="1C82C11D" w14:textId="0D418C7F" w:rsidR="0028303F" w:rsidRDefault="0028303F" w:rsidP="0028303F">
      <w:pPr>
        <w:spacing w:line="360" w:lineRule="auto"/>
        <w:jc w:val="center"/>
        <w:rPr>
          <w:rFonts w:ascii="Arial" w:hAnsi="Arial" w:cs="Arial"/>
          <w:b/>
          <w:bCs/>
          <w:i/>
          <w:iCs/>
          <w:sz w:val="44"/>
          <w:szCs w:val="44"/>
          <w:u w:val="single"/>
        </w:rPr>
      </w:pPr>
      <w:r>
        <w:rPr>
          <w:rFonts w:ascii="Arial" w:hAnsi="Arial" w:cs="Arial"/>
          <w:b/>
          <w:bCs/>
          <w:i/>
          <w:iCs/>
          <w:sz w:val="44"/>
          <w:szCs w:val="44"/>
          <w:u w:val="single"/>
        </w:rPr>
        <w:lastRenderedPageBreak/>
        <w:t>Table of contents</w:t>
      </w:r>
    </w:p>
    <w:p w14:paraId="0E82FA4E" w14:textId="77777777" w:rsidR="0028303F" w:rsidRDefault="0028303F" w:rsidP="0028303F">
      <w:pPr>
        <w:spacing w:line="360" w:lineRule="auto"/>
        <w:jc w:val="center"/>
        <w:rPr>
          <w:rFonts w:ascii="Arial" w:hAnsi="Arial" w:cs="Arial"/>
          <w:b/>
          <w:bCs/>
          <w:i/>
          <w:iCs/>
          <w:sz w:val="44"/>
          <w:szCs w:val="44"/>
          <w:u w:val="single"/>
        </w:rPr>
      </w:pPr>
    </w:p>
    <w:p w14:paraId="30F1096A" w14:textId="77777777" w:rsidR="0028303F" w:rsidRDefault="0028303F" w:rsidP="0028303F">
      <w:pPr>
        <w:spacing w:line="360" w:lineRule="auto"/>
        <w:jc w:val="center"/>
        <w:rPr>
          <w:rFonts w:ascii="Arial" w:hAnsi="Arial" w:cs="Arial"/>
          <w:b/>
          <w:bCs/>
          <w:i/>
          <w:iCs/>
          <w:sz w:val="44"/>
          <w:szCs w:val="44"/>
          <w:u w:val="single"/>
        </w:rPr>
      </w:pPr>
    </w:p>
    <w:p w14:paraId="1D212672" w14:textId="77777777" w:rsidR="0028303F" w:rsidRPr="00FE666A" w:rsidRDefault="0028303F" w:rsidP="0028303F">
      <w:pPr>
        <w:spacing w:line="360" w:lineRule="auto"/>
        <w:rPr>
          <w:rFonts w:ascii="Arial" w:hAnsi="Arial" w:cs="Arial"/>
          <w:b/>
          <w:bCs/>
          <w:i/>
          <w:iCs/>
          <w:sz w:val="24"/>
          <w:szCs w:val="24"/>
        </w:rPr>
      </w:pPr>
      <w:r w:rsidRPr="00FE666A">
        <w:rPr>
          <w:rFonts w:ascii="Arial" w:hAnsi="Arial" w:cs="Arial"/>
          <w:b/>
          <w:bCs/>
          <w:i/>
          <w:iCs/>
          <w:sz w:val="24"/>
          <w:szCs w:val="24"/>
        </w:rPr>
        <w:t>1. Introduction ............................................................... 3</w:t>
      </w:r>
    </w:p>
    <w:p w14:paraId="1BCCA055" w14:textId="01947AA4" w:rsidR="0028303F" w:rsidRPr="00FE666A" w:rsidRDefault="0028303F" w:rsidP="0028303F">
      <w:pPr>
        <w:spacing w:line="360" w:lineRule="auto"/>
        <w:rPr>
          <w:rFonts w:ascii="Arial" w:hAnsi="Arial" w:cs="Arial"/>
          <w:b/>
          <w:bCs/>
          <w:i/>
          <w:iCs/>
          <w:sz w:val="24"/>
          <w:szCs w:val="24"/>
        </w:rPr>
      </w:pPr>
      <w:r w:rsidRPr="00FE666A">
        <w:rPr>
          <w:rFonts w:ascii="Arial" w:hAnsi="Arial" w:cs="Arial"/>
          <w:b/>
          <w:bCs/>
          <w:i/>
          <w:iCs/>
          <w:sz w:val="24"/>
          <w:szCs w:val="24"/>
        </w:rPr>
        <w:t xml:space="preserve">2. Explanation of the Specific Factors ....................................... </w:t>
      </w:r>
      <w:r w:rsidR="000530D6">
        <w:rPr>
          <w:rFonts w:ascii="Arial" w:hAnsi="Arial" w:cs="Arial"/>
          <w:b/>
          <w:bCs/>
          <w:i/>
          <w:iCs/>
          <w:sz w:val="24"/>
          <w:szCs w:val="24"/>
        </w:rPr>
        <w:t>3</w:t>
      </w:r>
    </w:p>
    <w:p w14:paraId="14CBB44C" w14:textId="62C67460" w:rsidR="00FE666A" w:rsidRPr="00FE666A" w:rsidRDefault="00FE666A" w:rsidP="00FE666A">
      <w:pPr>
        <w:pStyle w:val="ListParagraph"/>
        <w:numPr>
          <w:ilvl w:val="0"/>
          <w:numId w:val="1"/>
        </w:numPr>
        <w:spacing w:line="360" w:lineRule="auto"/>
        <w:rPr>
          <w:rFonts w:ascii="Arial" w:hAnsi="Arial" w:cs="Arial"/>
          <w:b/>
          <w:bCs/>
          <w:i/>
          <w:iCs/>
          <w:sz w:val="24"/>
          <w:szCs w:val="24"/>
        </w:rPr>
      </w:pPr>
      <w:r w:rsidRPr="00FE666A">
        <w:rPr>
          <w:rFonts w:ascii="Arial" w:hAnsi="Arial" w:cs="Arial"/>
          <w:b/>
          <w:bCs/>
          <w:i/>
          <w:iCs/>
          <w:sz w:val="24"/>
          <w:szCs w:val="24"/>
        </w:rPr>
        <w:t xml:space="preserve">Business transformation </w:t>
      </w:r>
      <w:r>
        <w:rPr>
          <w:rFonts w:ascii="Arial" w:hAnsi="Arial" w:cs="Arial"/>
          <w:b/>
          <w:bCs/>
          <w:i/>
          <w:iCs/>
          <w:sz w:val="24"/>
          <w:szCs w:val="24"/>
          <w:u w:val="dotted"/>
        </w:rPr>
        <w:t xml:space="preserve">                                      </w:t>
      </w:r>
      <w:r w:rsidR="000530D6">
        <w:rPr>
          <w:rFonts w:ascii="Arial" w:hAnsi="Arial" w:cs="Arial"/>
          <w:b/>
          <w:bCs/>
          <w:i/>
          <w:iCs/>
          <w:sz w:val="24"/>
          <w:szCs w:val="24"/>
        </w:rPr>
        <w:t>3</w:t>
      </w:r>
    </w:p>
    <w:p w14:paraId="56B297CC" w14:textId="213586EF" w:rsidR="00FE666A" w:rsidRPr="00FE666A" w:rsidRDefault="00FE666A" w:rsidP="00FE666A">
      <w:pPr>
        <w:pStyle w:val="ListParagraph"/>
        <w:numPr>
          <w:ilvl w:val="0"/>
          <w:numId w:val="1"/>
        </w:numPr>
        <w:spacing w:line="360" w:lineRule="auto"/>
        <w:rPr>
          <w:rFonts w:ascii="Arial" w:hAnsi="Arial" w:cs="Arial"/>
          <w:b/>
          <w:bCs/>
          <w:i/>
          <w:iCs/>
          <w:sz w:val="24"/>
          <w:szCs w:val="24"/>
        </w:rPr>
      </w:pPr>
      <w:r w:rsidRPr="00FE666A">
        <w:rPr>
          <w:rFonts w:ascii="Arial" w:hAnsi="Arial" w:cs="Arial"/>
          <w:b/>
          <w:bCs/>
          <w:i/>
          <w:iCs/>
          <w:sz w:val="24"/>
          <w:szCs w:val="24"/>
        </w:rPr>
        <w:t xml:space="preserve">Digital technology trends </w:t>
      </w:r>
      <w:r>
        <w:rPr>
          <w:rFonts w:ascii="Arial" w:hAnsi="Arial" w:cs="Arial"/>
          <w:b/>
          <w:bCs/>
          <w:i/>
          <w:iCs/>
          <w:sz w:val="24"/>
          <w:szCs w:val="24"/>
          <w:u w:val="dotted"/>
        </w:rPr>
        <w:t xml:space="preserve">                                          </w:t>
      </w:r>
      <w:r w:rsidR="000530D6">
        <w:rPr>
          <w:rFonts w:ascii="Arial" w:hAnsi="Arial" w:cs="Arial"/>
          <w:b/>
          <w:bCs/>
          <w:i/>
          <w:iCs/>
          <w:sz w:val="24"/>
          <w:szCs w:val="24"/>
        </w:rPr>
        <w:t>4</w:t>
      </w:r>
    </w:p>
    <w:p w14:paraId="27B5ACFA" w14:textId="40F6BDA0" w:rsidR="00FE666A" w:rsidRDefault="00FE666A" w:rsidP="00FE666A">
      <w:pPr>
        <w:pStyle w:val="ListParagraph"/>
        <w:numPr>
          <w:ilvl w:val="0"/>
          <w:numId w:val="1"/>
        </w:numPr>
        <w:spacing w:line="360" w:lineRule="auto"/>
        <w:rPr>
          <w:rFonts w:ascii="Arial" w:hAnsi="Arial" w:cs="Arial"/>
          <w:b/>
          <w:bCs/>
          <w:i/>
          <w:iCs/>
          <w:sz w:val="24"/>
          <w:szCs w:val="24"/>
        </w:rPr>
      </w:pPr>
      <w:r w:rsidRPr="00FE666A">
        <w:rPr>
          <w:rFonts w:ascii="Arial" w:hAnsi="Arial" w:cs="Arial"/>
          <w:b/>
          <w:bCs/>
          <w:i/>
          <w:iCs/>
          <w:sz w:val="24"/>
          <w:szCs w:val="24"/>
        </w:rPr>
        <w:t>Flexible working arrangements</w:t>
      </w:r>
      <w:r>
        <w:rPr>
          <w:rFonts w:ascii="Arial" w:hAnsi="Arial" w:cs="Arial"/>
          <w:b/>
          <w:bCs/>
          <w:i/>
          <w:iCs/>
          <w:sz w:val="24"/>
          <w:szCs w:val="24"/>
        </w:rPr>
        <w:t xml:space="preserve"> </w:t>
      </w:r>
      <w:r>
        <w:rPr>
          <w:rFonts w:ascii="Arial" w:hAnsi="Arial" w:cs="Arial"/>
          <w:b/>
          <w:bCs/>
          <w:i/>
          <w:iCs/>
          <w:sz w:val="24"/>
          <w:szCs w:val="24"/>
          <w:u w:val="dotted"/>
        </w:rPr>
        <w:t xml:space="preserve">                                 </w:t>
      </w:r>
      <w:r w:rsidR="000530D6">
        <w:rPr>
          <w:rFonts w:ascii="Arial" w:hAnsi="Arial" w:cs="Arial"/>
          <w:b/>
          <w:bCs/>
          <w:i/>
          <w:iCs/>
          <w:sz w:val="24"/>
          <w:szCs w:val="24"/>
        </w:rPr>
        <w:t>4</w:t>
      </w:r>
    </w:p>
    <w:p w14:paraId="147ECE26" w14:textId="715610FE" w:rsidR="000530D6" w:rsidRPr="00FE666A" w:rsidRDefault="000530D6" w:rsidP="00FE666A">
      <w:pPr>
        <w:pStyle w:val="ListParagraph"/>
        <w:numPr>
          <w:ilvl w:val="0"/>
          <w:numId w:val="1"/>
        </w:numPr>
        <w:spacing w:line="360" w:lineRule="auto"/>
        <w:rPr>
          <w:rFonts w:ascii="Arial" w:hAnsi="Arial" w:cs="Arial"/>
          <w:b/>
          <w:bCs/>
          <w:i/>
          <w:iCs/>
          <w:sz w:val="24"/>
          <w:szCs w:val="24"/>
        </w:rPr>
      </w:pPr>
      <w:r w:rsidRPr="000530D6">
        <w:rPr>
          <w:rFonts w:ascii="Arial" w:hAnsi="Arial" w:cs="Arial"/>
          <w:b/>
          <w:bCs/>
          <w:i/>
          <w:iCs/>
          <w:sz w:val="24"/>
          <w:szCs w:val="24"/>
        </w:rPr>
        <w:t>Inter-relationship of the Three Factors</w:t>
      </w:r>
      <w:r>
        <w:rPr>
          <w:rFonts w:ascii="Arial" w:hAnsi="Arial" w:cs="Arial"/>
          <w:b/>
          <w:bCs/>
          <w:i/>
          <w:iCs/>
          <w:u w:val="single"/>
        </w:rPr>
        <w:t xml:space="preserve"> </w:t>
      </w:r>
      <w:r w:rsidRPr="000530D6">
        <w:rPr>
          <w:rFonts w:ascii="Arial" w:hAnsi="Arial" w:cs="Arial"/>
          <w:b/>
          <w:bCs/>
          <w:i/>
          <w:iCs/>
          <w:u w:val="dotted"/>
        </w:rPr>
        <w:t xml:space="preserve">                                       4</w:t>
      </w:r>
    </w:p>
    <w:p w14:paraId="142FAA35" w14:textId="5846EEFE" w:rsidR="0028303F" w:rsidRDefault="0028303F" w:rsidP="0028303F">
      <w:pPr>
        <w:spacing w:line="360" w:lineRule="auto"/>
        <w:rPr>
          <w:rFonts w:ascii="Arial" w:hAnsi="Arial" w:cs="Arial"/>
          <w:b/>
          <w:bCs/>
          <w:i/>
          <w:iCs/>
          <w:sz w:val="24"/>
          <w:szCs w:val="24"/>
        </w:rPr>
      </w:pPr>
      <w:r w:rsidRPr="00FE666A">
        <w:rPr>
          <w:rFonts w:ascii="Arial" w:hAnsi="Arial" w:cs="Arial"/>
          <w:b/>
          <w:bCs/>
          <w:i/>
          <w:iCs/>
          <w:sz w:val="24"/>
          <w:szCs w:val="24"/>
        </w:rPr>
        <w:t xml:space="preserve">3. Evaluation of Contemporary HR Practices .................................... </w:t>
      </w:r>
      <w:r w:rsidR="00405CD9">
        <w:rPr>
          <w:rFonts w:ascii="Arial" w:hAnsi="Arial" w:cs="Arial"/>
          <w:b/>
          <w:bCs/>
          <w:i/>
          <w:iCs/>
          <w:sz w:val="24"/>
          <w:szCs w:val="24"/>
        </w:rPr>
        <w:t>5</w:t>
      </w:r>
    </w:p>
    <w:p w14:paraId="0EB90AD9" w14:textId="3BA11214" w:rsidR="00405CD9" w:rsidRPr="00991526" w:rsidRDefault="00405CD9" w:rsidP="00405CD9">
      <w:pPr>
        <w:pStyle w:val="ListParagraph"/>
        <w:numPr>
          <w:ilvl w:val="0"/>
          <w:numId w:val="2"/>
        </w:numPr>
        <w:spacing w:line="360" w:lineRule="auto"/>
        <w:rPr>
          <w:rFonts w:ascii="Arial" w:hAnsi="Arial" w:cs="Arial"/>
          <w:b/>
          <w:bCs/>
          <w:i/>
          <w:iCs/>
          <w:sz w:val="24"/>
          <w:szCs w:val="24"/>
        </w:rPr>
      </w:pPr>
      <w:r w:rsidRPr="00991526">
        <w:rPr>
          <w:rFonts w:ascii="Arial" w:hAnsi="Arial" w:cs="Arial"/>
          <w:b/>
          <w:bCs/>
          <w:i/>
          <w:iCs/>
          <w:sz w:val="24"/>
          <w:szCs w:val="24"/>
        </w:rPr>
        <w:t xml:space="preserve">Addressing Business Transformation via HR Practices </w:t>
      </w:r>
      <w:r w:rsidRPr="00991526">
        <w:rPr>
          <w:rFonts w:ascii="Arial" w:hAnsi="Arial" w:cs="Arial"/>
          <w:b/>
          <w:bCs/>
          <w:i/>
          <w:iCs/>
          <w:sz w:val="24"/>
          <w:szCs w:val="24"/>
          <w:u w:val="dotted"/>
        </w:rPr>
        <w:t xml:space="preserve">                </w:t>
      </w:r>
      <w:r w:rsidRPr="00991526">
        <w:rPr>
          <w:rFonts w:ascii="Arial" w:hAnsi="Arial" w:cs="Arial"/>
          <w:b/>
          <w:bCs/>
          <w:i/>
          <w:iCs/>
          <w:sz w:val="24"/>
          <w:szCs w:val="24"/>
        </w:rPr>
        <w:t>5</w:t>
      </w:r>
    </w:p>
    <w:p w14:paraId="7E067908" w14:textId="15568429" w:rsidR="00405CD9" w:rsidRDefault="00405CD9" w:rsidP="00405CD9">
      <w:pPr>
        <w:pStyle w:val="ListParagraph"/>
        <w:numPr>
          <w:ilvl w:val="0"/>
          <w:numId w:val="2"/>
        </w:numPr>
        <w:spacing w:line="360" w:lineRule="auto"/>
        <w:rPr>
          <w:rFonts w:ascii="Arial" w:hAnsi="Arial" w:cs="Arial"/>
          <w:b/>
          <w:bCs/>
          <w:i/>
          <w:iCs/>
          <w:sz w:val="24"/>
          <w:szCs w:val="24"/>
        </w:rPr>
      </w:pPr>
      <w:r w:rsidRPr="00405CD9">
        <w:rPr>
          <w:rFonts w:ascii="Arial" w:hAnsi="Arial" w:cs="Arial"/>
          <w:b/>
          <w:bCs/>
          <w:i/>
          <w:iCs/>
          <w:sz w:val="24"/>
          <w:szCs w:val="24"/>
        </w:rPr>
        <w:t>Addressing Digital Technology Trends via HR Practices</w:t>
      </w:r>
      <w:r w:rsidR="00991526">
        <w:rPr>
          <w:rFonts w:ascii="Arial" w:hAnsi="Arial" w:cs="Arial"/>
          <w:b/>
          <w:bCs/>
          <w:i/>
          <w:iCs/>
          <w:sz w:val="24"/>
          <w:szCs w:val="24"/>
        </w:rPr>
        <w:t xml:space="preserve"> </w:t>
      </w:r>
      <w:r w:rsidR="00991526">
        <w:rPr>
          <w:rFonts w:ascii="Arial" w:hAnsi="Arial" w:cs="Arial"/>
          <w:b/>
          <w:bCs/>
          <w:i/>
          <w:iCs/>
          <w:sz w:val="24"/>
          <w:szCs w:val="24"/>
          <w:u w:val="dotted"/>
        </w:rPr>
        <w:t xml:space="preserve">      </w:t>
      </w:r>
      <w:r w:rsidR="00991526">
        <w:rPr>
          <w:rFonts w:ascii="Arial" w:hAnsi="Arial" w:cs="Arial"/>
          <w:b/>
          <w:bCs/>
          <w:i/>
          <w:iCs/>
          <w:sz w:val="24"/>
          <w:szCs w:val="24"/>
        </w:rPr>
        <w:t>5</w:t>
      </w:r>
    </w:p>
    <w:p w14:paraId="10245E5E" w14:textId="1F2AAE36" w:rsidR="00991526" w:rsidRPr="00405CD9" w:rsidRDefault="00991526" w:rsidP="00405CD9">
      <w:pPr>
        <w:pStyle w:val="ListParagraph"/>
        <w:numPr>
          <w:ilvl w:val="0"/>
          <w:numId w:val="2"/>
        </w:numPr>
        <w:spacing w:line="360" w:lineRule="auto"/>
        <w:rPr>
          <w:rFonts w:ascii="Arial" w:hAnsi="Arial" w:cs="Arial"/>
          <w:b/>
          <w:bCs/>
          <w:i/>
          <w:iCs/>
          <w:sz w:val="24"/>
          <w:szCs w:val="24"/>
        </w:rPr>
      </w:pPr>
      <w:r w:rsidRPr="00991526">
        <w:rPr>
          <w:rFonts w:ascii="Arial" w:hAnsi="Arial" w:cs="Arial"/>
          <w:b/>
          <w:bCs/>
          <w:i/>
          <w:iCs/>
          <w:sz w:val="24"/>
          <w:szCs w:val="24"/>
        </w:rPr>
        <w:t>Addressing Flexible Working Arrangements via HR Practices</w:t>
      </w:r>
      <w:r>
        <w:rPr>
          <w:rFonts w:ascii="Arial" w:hAnsi="Arial" w:cs="Arial"/>
          <w:b/>
          <w:bCs/>
          <w:i/>
          <w:iCs/>
          <w:sz w:val="24"/>
          <w:szCs w:val="24"/>
          <w:u w:val="dotted"/>
        </w:rPr>
        <w:t xml:space="preserve">       </w:t>
      </w:r>
      <w:r>
        <w:rPr>
          <w:rFonts w:ascii="Arial" w:hAnsi="Arial" w:cs="Arial"/>
          <w:b/>
          <w:bCs/>
          <w:i/>
          <w:iCs/>
          <w:sz w:val="24"/>
          <w:szCs w:val="24"/>
        </w:rPr>
        <w:t xml:space="preserve"> 6</w:t>
      </w:r>
    </w:p>
    <w:p w14:paraId="03A1781E" w14:textId="4CA426B0" w:rsidR="0028303F" w:rsidRDefault="0028303F" w:rsidP="0028303F">
      <w:pPr>
        <w:spacing w:line="360" w:lineRule="auto"/>
        <w:rPr>
          <w:rFonts w:ascii="Arial" w:hAnsi="Arial" w:cs="Arial"/>
          <w:b/>
          <w:bCs/>
          <w:i/>
          <w:iCs/>
          <w:sz w:val="24"/>
          <w:szCs w:val="24"/>
        </w:rPr>
      </w:pPr>
      <w:r w:rsidRPr="00FE666A">
        <w:rPr>
          <w:rFonts w:ascii="Arial" w:hAnsi="Arial" w:cs="Arial"/>
          <w:b/>
          <w:bCs/>
          <w:i/>
          <w:iCs/>
          <w:sz w:val="24"/>
          <w:szCs w:val="24"/>
        </w:rPr>
        <w:t xml:space="preserve">4. Critical Evaluation of Departmental Managers’ Role ......................... </w:t>
      </w:r>
      <w:r w:rsidR="00991526">
        <w:rPr>
          <w:rFonts w:ascii="Arial" w:hAnsi="Arial" w:cs="Arial"/>
          <w:b/>
          <w:bCs/>
          <w:i/>
          <w:iCs/>
          <w:sz w:val="24"/>
          <w:szCs w:val="24"/>
        </w:rPr>
        <w:t>6</w:t>
      </w:r>
    </w:p>
    <w:p w14:paraId="3CF300EC" w14:textId="26E8665E" w:rsidR="00991526" w:rsidRPr="00991526" w:rsidRDefault="00991526" w:rsidP="00991526">
      <w:pPr>
        <w:pStyle w:val="ListParagraph"/>
        <w:numPr>
          <w:ilvl w:val="0"/>
          <w:numId w:val="3"/>
        </w:numPr>
        <w:spacing w:line="360" w:lineRule="auto"/>
        <w:rPr>
          <w:rFonts w:ascii="Arial" w:hAnsi="Arial" w:cs="Arial"/>
          <w:b/>
          <w:bCs/>
          <w:i/>
          <w:iCs/>
          <w:sz w:val="28"/>
          <w:szCs w:val="28"/>
        </w:rPr>
      </w:pPr>
      <w:r w:rsidRPr="00991526">
        <w:rPr>
          <w:rFonts w:ascii="Arial" w:hAnsi="Arial" w:cs="Arial"/>
          <w:b/>
          <w:bCs/>
          <w:i/>
          <w:iCs/>
          <w:sz w:val="24"/>
          <w:szCs w:val="24"/>
        </w:rPr>
        <w:t xml:space="preserve">Ownership and Accountability </w:t>
      </w:r>
      <w:r w:rsidRPr="00991526">
        <w:rPr>
          <w:rFonts w:ascii="Arial" w:hAnsi="Arial" w:cs="Arial"/>
          <w:b/>
          <w:bCs/>
          <w:i/>
          <w:iCs/>
          <w:sz w:val="24"/>
          <w:szCs w:val="24"/>
          <w:u w:val="dotted"/>
        </w:rPr>
        <w:t xml:space="preserve">                      </w:t>
      </w:r>
      <w:r w:rsidRPr="00991526">
        <w:rPr>
          <w:rFonts w:ascii="Arial" w:hAnsi="Arial" w:cs="Arial"/>
          <w:b/>
          <w:bCs/>
          <w:i/>
          <w:iCs/>
          <w:sz w:val="24"/>
          <w:szCs w:val="24"/>
        </w:rPr>
        <w:t>6</w:t>
      </w:r>
    </w:p>
    <w:p w14:paraId="781E6783" w14:textId="08CA747E" w:rsidR="00991526" w:rsidRPr="00991526" w:rsidRDefault="00991526" w:rsidP="00991526">
      <w:pPr>
        <w:pStyle w:val="ListParagraph"/>
        <w:numPr>
          <w:ilvl w:val="0"/>
          <w:numId w:val="3"/>
        </w:numPr>
        <w:spacing w:line="360" w:lineRule="auto"/>
        <w:rPr>
          <w:rFonts w:ascii="Arial" w:hAnsi="Arial" w:cs="Arial"/>
          <w:b/>
          <w:bCs/>
          <w:i/>
          <w:iCs/>
          <w:sz w:val="32"/>
          <w:szCs w:val="32"/>
        </w:rPr>
      </w:pPr>
      <w:r w:rsidRPr="00991526">
        <w:rPr>
          <w:rFonts w:ascii="Arial" w:hAnsi="Arial" w:cs="Arial"/>
          <w:b/>
          <w:bCs/>
          <w:i/>
          <w:iCs/>
          <w:sz w:val="24"/>
          <w:szCs w:val="24"/>
        </w:rPr>
        <w:t>Embedding into Daily Routines</w:t>
      </w:r>
      <w:r w:rsidRPr="00991526">
        <w:rPr>
          <w:rFonts w:ascii="Arial" w:hAnsi="Arial" w:cs="Arial"/>
          <w:b/>
          <w:bCs/>
          <w:i/>
          <w:iCs/>
          <w:sz w:val="24"/>
          <w:szCs w:val="24"/>
          <w:u w:val="dotted"/>
        </w:rPr>
        <w:t xml:space="preserve">                                    </w:t>
      </w:r>
      <w:r w:rsidRPr="00991526">
        <w:rPr>
          <w:rFonts w:ascii="Arial" w:hAnsi="Arial" w:cs="Arial"/>
          <w:b/>
          <w:bCs/>
          <w:i/>
          <w:iCs/>
          <w:sz w:val="24"/>
          <w:szCs w:val="24"/>
        </w:rPr>
        <w:t xml:space="preserve"> 7</w:t>
      </w:r>
    </w:p>
    <w:p w14:paraId="40DC3A32" w14:textId="29557BF9" w:rsidR="00991526" w:rsidRPr="00991526" w:rsidRDefault="00991526" w:rsidP="00991526">
      <w:pPr>
        <w:pStyle w:val="ListParagraph"/>
        <w:numPr>
          <w:ilvl w:val="0"/>
          <w:numId w:val="3"/>
        </w:numPr>
        <w:spacing w:line="360" w:lineRule="auto"/>
        <w:rPr>
          <w:rFonts w:ascii="Arial" w:hAnsi="Arial" w:cs="Arial"/>
          <w:b/>
          <w:bCs/>
          <w:i/>
          <w:iCs/>
          <w:sz w:val="36"/>
          <w:szCs w:val="36"/>
        </w:rPr>
      </w:pPr>
      <w:r w:rsidRPr="00991526">
        <w:rPr>
          <w:rFonts w:ascii="Arial" w:hAnsi="Arial" w:cs="Arial"/>
          <w:b/>
          <w:bCs/>
          <w:i/>
          <w:iCs/>
          <w:sz w:val="24"/>
          <w:szCs w:val="24"/>
        </w:rPr>
        <w:t>Leverage Data and Feedback</w:t>
      </w:r>
      <w:r w:rsidRPr="00991526">
        <w:rPr>
          <w:rFonts w:ascii="Arial" w:hAnsi="Arial" w:cs="Arial"/>
          <w:b/>
          <w:bCs/>
          <w:i/>
          <w:iCs/>
          <w:sz w:val="24"/>
          <w:szCs w:val="24"/>
          <w:u w:val="dotted"/>
        </w:rPr>
        <w:t xml:space="preserve">                                                      </w:t>
      </w:r>
      <w:r w:rsidRPr="00991526">
        <w:rPr>
          <w:rFonts w:ascii="Arial" w:hAnsi="Arial" w:cs="Arial"/>
          <w:b/>
          <w:bCs/>
          <w:i/>
          <w:iCs/>
          <w:sz w:val="24"/>
          <w:szCs w:val="24"/>
        </w:rPr>
        <w:t xml:space="preserve"> 7</w:t>
      </w:r>
    </w:p>
    <w:p w14:paraId="3AA7C61F" w14:textId="628C7395" w:rsidR="00991526" w:rsidRPr="00991526" w:rsidRDefault="00991526" w:rsidP="00991526">
      <w:pPr>
        <w:pStyle w:val="ListParagraph"/>
        <w:numPr>
          <w:ilvl w:val="0"/>
          <w:numId w:val="3"/>
        </w:numPr>
        <w:spacing w:line="360" w:lineRule="auto"/>
        <w:rPr>
          <w:rFonts w:ascii="Arial" w:hAnsi="Arial" w:cs="Arial"/>
          <w:b/>
          <w:bCs/>
          <w:i/>
          <w:iCs/>
          <w:sz w:val="36"/>
          <w:szCs w:val="36"/>
        </w:rPr>
      </w:pPr>
      <w:r w:rsidRPr="00991526">
        <w:rPr>
          <w:rFonts w:ascii="Arial" w:hAnsi="Arial" w:cs="Arial"/>
          <w:b/>
          <w:bCs/>
          <w:i/>
          <w:iCs/>
        </w:rPr>
        <w:t>Urgency and Change Management</w:t>
      </w:r>
      <w:r>
        <w:rPr>
          <w:rFonts w:ascii="Arial" w:hAnsi="Arial" w:cs="Arial"/>
          <w:b/>
          <w:bCs/>
          <w:i/>
          <w:iCs/>
          <w:u w:val="dotted"/>
        </w:rPr>
        <w:t xml:space="preserve">                                                     </w:t>
      </w:r>
      <w:r w:rsidRPr="00991526">
        <w:rPr>
          <w:rFonts w:ascii="Arial" w:hAnsi="Arial" w:cs="Arial"/>
          <w:b/>
          <w:bCs/>
          <w:i/>
          <w:iCs/>
        </w:rPr>
        <w:t xml:space="preserve"> 7</w:t>
      </w:r>
    </w:p>
    <w:p w14:paraId="6489C79A" w14:textId="1F908C84" w:rsidR="0028303F" w:rsidRDefault="0028303F" w:rsidP="0028303F">
      <w:pPr>
        <w:spacing w:line="360" w:lineRule="auto"/>
        <w:rPr>
          <w:rFonts w:ascii="Arial" w:hAnsi="Arial" w:cs="Arial"/>
          <w:b/>
          <w:bCs/>
          <w:i/>
          <w:iCs/>
          <w:sz w:val="24"/>
          <w:szCs w:val="24"/>
        </w:rPr>
      </w:pPr>
      <w:r w:rsidRPr="00FE666A">
        <w:rPr>
          <w:rFonts w:ascii="Arial" w:hAnsi="Arial" w:cs="Arial"/>
          <w:b/>
          <w:bCs/>
          <w:i/>
          <w:iCs/>
          <w:sz w:val="24"/>
          <w:szCs w:val="24"/>
        </w:rPr>
        <w:t xml:space="preserve">5. Conclusion ............................................. </w:t>
      </w:r>
      <w:r w:rsidR="00991526">
        <w:rPr>
          <w:rFonts w:ascii="Arial" w:hAnsi="Arial" w:cs="Arial"/>
          <w:b/>
          <w:bCs/>
          <w:i/>
          <w:iCs/>
          <w:sz w:val="24"/>
          <w:szCs w:val="24"/>
        </w:rPr>
        <w:t>8</w:t>
      </w:r>
    </w:p>
    <w:p w14:paraId="3D30DB2F" w14:textId="50B21F40" w:rsidR="00991526" w:rsidRPr="00FE666A" w:rsidRDefault="00991526" w:rsidP="0028303F">
      <w:pPr>
        <w:spacing w:line="360" w:lineRule="auto"/>
        <w:rPr>
          <w:rFonts w:ascii="Arial" w:hAnsi="Arial" w:cs="Arial"/>
          <w:b/>
          <w:bCs/>
          <w:i/>
          <w:iCs/>
          <w:sz w:val="24"/>
          <w:szCs w:val="24"/>
        </w:rPr>
      </w:pPr>
      <w:r>
        <w:rPr>
          <w:rFonts w:ascii="Arial" w:hAnsi="Arial" w:cs="Arial"/>
          <w:b/>
          <w:bCs/>
          <w:i/>
          <w:iCs/>
          <w:sz w:val="24"/>
          <w:szCs w:val="24"/>
        </w:rPr>
        <w:t>6.</w:t>
      </w:r>
      <w:r w:rsidRPr="00991526">
        <w:rPr>
          <w:rFonts w:ascii="Arial" w:hAnsi="Arial" w:cs="Arial"/>
          <w:b/>
          <w:bCs/>
          <w:i/>
          <w:iCs/>
          <w:sz w:val="24"/>
          <w:szCs w:val="24"/>
        </w:rPr>
        <w:t xml:space="preserve"> </w:t>
      </w:r>
      <w:r w:rsidRPr="00FE666A">
        <w:rPr>
          <w:rFonts w:ascii="Arial" w:hAnsi="Arial" w:cs="Arial"/>
          <w:b/>
          <w:bCs/>
          <w:i/>
          <w:iCs/>
          <w:sz w:val="24"/>
          <w:szCs w:val="24"/>
        </w:rPr>
        <w:t xml:space="preserve">Recommendations </w:t>
      </w:r>
      <w:r>
        <w:rPr>
          <w:rFonts w:ascii="Arial" w:hAnsi="Arial" w:cs="Arial"/>
          <w:b/>
          <w:bCs/>
          <w:i/>
          <w:iCs/>
          <w:sz w:val="24"/>
          <w:szCs w:val="24"/>
          <w:u w:val="dotted"/>
        </w:rPr>
        <w:t xml:space="preserve">                                                     </w:t>
      </w:r>
      <w:r w:rsidR="00B4489A">
        <w:rPr>
          <w:rFonts w:ascii="Arial" w:hAnsi="Arial" w:cs="Arial"/>
          <w:b/>
          <w:bCs/>
          <w:i/>
          <w:iCs/>
          <w:sz w:val="24"/>
          <w:szCs w:val="24"/>
        </w:rPr>
        <w:t>8</w:t>
      </w:r>
    </w:p>
    <w:p w14:paraId="3565BC54" w14:textId="4580FF1B" w:rsidR="0028303F" w:rsidRPr="00FE666A" w:rsidRDefault="00991526" w:rsidP="0028303F">
      <w:pPr>
        <w:spacing w:line="360" w:lineRule="auto"/>
        <w:rPr>
          <w:rFonts w:ascii="Arial" w:hAnsi="Arial" w:cs="Arial"/>
          <w:b/>
          <w:bCs/>
          <w:i/>
          <w:iCs/>
          <w:sz w:val="24"/>
          <w:szCs w:val="24"/>
        </w:rPr>
      </w:pPr>
      <w:r>
        <w:rPr>
          <w:rFonts w:ascii="Arial" w:hAnsi="Arial" w:cs="Arial"/>
          <w:b/>
          <w:bCs/>
          <w:i/>
          <w:iCs/>
          <w:sz w:val="24"/>
          <w:szCs w:val="24"/>
        </w:rPr>
        <w:t>7</w:t>
      </w:r>
      <w:r w:rsidR="0028303F" w:rsidRPr="00FE666A">
        <w:rPr>
          <w:rFonts w:ascii="Arial" w:hAnsi="Arial" w:cs="Arial"/>
          <w:b/>
          <w:bCs/>
          <w:i/>
          <w:iCs/>
          <w:sz w:val="24"/>
          <w:szCs w:val="24"/>
        </w:rPr>
        <w:t>. References .................................................................. 1</w:t>
      </w:r>
      <w:r w:rsidR="00B4489A">
        <w:rPr>
          <w:rFonts w:ascii="Arial" w:hAnsi="Arial" w:cs="Arial"/>
          <w:b/>
          <w:bCs/>
          <w:i/>
          <w:iCs/>
          <w:sz w:val="24"/>
          <w:szCs w:val="24"/>
        </w:rPr>
        <w:t>0</w:t>
      </w:r>
    </w:p>
    <w:p w14:paraId="0836FB39" w14:textId="77777777" w:rsidR="00FE666A" w:rsidRDefault="00FE666A" w:rsidP="0028303F">
      <w:pPr>
        <w:spacing w:line="360" w:lineRule="auto"/>
        <w:rPr>
          <w:rFonts w:ascii="Arial" w:hAnsi="Arial" w:cs="Arial"/>
          <w:b/>
          <w:bCs/>
          <w:i/>
          <w:iCs/>
          <w:sz w:val="44"/>
          <w:szCs w:val="44"/>
          <w:u w:val="single"/>
        </w:rPr>
      </w:pPr>
    </w:p>
    <w:p w14:paraId="36F21E08" w14:textId="77777777" w:rsidR="00E81C18" w:rsidRDefault="00E81C18" w:rsidP="0028303F">
      <w:pPr>
        <w:spacing w:line="360" w:lineRule="auto"/>
        <w:rPr>
          <w:rFonts w:ascii="Arial" w:hAnsi="Arial" w:cs="Arial"/>
          <w:b/>
          <w:bCs/>
          <w:i/>
          <w:iCs/>
          <w:sz w:val="44"/>
          <w:szCs w:val="44"/>
          <w:u w:val="single"/>
        </w:rPr>
      </w:pPr>
    </w:p>
    <w:p w14:paraId="69624B45" w14:textId="2690FE06" w:rsidR="00FE666A" w:rsidRDefault="00FE666A" w:rsidP="0028303F">
      <w:pPr>
        <w:spacing w:line="360" w:lineRule="auto"/>
        <w:rPr>
          <w:rFonts w:ascii="Arial" w:hAnsi="Arial" w:cs="Arial"/>
          <w:b/>
          <w:bCs/>
          <w:i/>
          <w:iCs/>
          <w:u w:val="single"/>
        </w:rPr>
      </w:pPr>
      <w:r w:rsidRPr="00FE666A">
        <w:rPr>
          <w:rFonts w:ascii="Arial" w:hAnsi="Arial" w:cs="Arial"/>
          <w:b/>
          <w:bCs/>
          <w:i/>
          <w:iCs/>
          <w:u w:val="single"/>
        </w:rPr>
        <w:lastRenderedPageBreak/>
        <w:t>Introduction</w:t>
      </w:r>
    </w:p>
    <w:p w14:paraId="7A5F2F85" w14:textId="1CD418CD" w:rsidR="00FE666A" w:rsidRDefault="00FE666A" w:rsidP="00FE666A">
      <w:pPr>
        <w:spacing w:line="360" w:lineRule="auto"/>
        <w:rPr>
          <w:rFonts w:ascii="Arial" w:hAnsi="Arial" w:cs="Arial"/>
        </w:rPr>
      </w:pPr>
      <w:r w:rsidRPr="00FE666A">
        <w:rPr>
          <w:rFonts w:ascii="Arial" w:hAnsi="Arial" w:cs="Arial"/>
        </w:rPr>
        <w:t xml:space="preserve">Organisations are under increasing pressure to change their operating models, embrace digital technology, and provide more flexible work schedules in the fast-paced business </w:t>
      </w:r>
      <w:r w:rsidR="00365555" w:rsidRPr="00FE666A">
        <w:rPr>
          <w:rFonts w:ascii="Arial" w:hAnsi="Arial" w:cs="Arial"/>
        </w:rPr>
        <w:t xml:space="preserve">world </w:t>
      </w:r>
      <w:r w:rsidR="00821A8C" w:rsidRPr="00FE666A">
        <w:rPr>
          <w:rFonts w:ascii="Arial" w:hAnsi="Arial" w:cs="Arial"/>
        </w:rPr>
        <w:t>to</w:t>
      </w:r>
      <w:r w:rsidRPr="00FE666A">
        <w:rPr>
          <w:rFonts w:ascii="Arial" w:hAnsi="Arial" w:cs="Arial"/>
        </w:rPr>
        <w:t xml:space="preserve"> support agile business models, draw and keep talent, and preserve competitive advantage. As the NECTAR HR </w:t>
      </w:r>
      <w:proofErr w:type="spellStart"/>
      <w:r w:rsidRPr="00FE666A">
        <w:rPr>
          <w:rFonts w:ascii="Arial" w:hAnsi="Arial" w:cs="Arial"/>
        </w:rPr>
        <w:t>HR</w:t>
      </w:r>
      <w:proofErr w:type="spellEnd"/>
      <w:r w:rsidRPr="00FE666A">
        <w:rPr>
          <w:rFonts w:ascii="Arial" w:hAnsi="Arial" w:cs="Arial"/>
        </w:rPr>
        <w:t xml:space="preserve"> department, we are seeing a startling increase in grievances, which seem to be a sign of more significant changes </w:t>
      </w:r>
      <w:r w:rsidR="00365555" w:rsidRPr="00FE666A">
        <w:rPr>
          <w:rFonts w:ascii="Arial" w:hAnsi="Arial" w:cs="Arial"/>
        </w:rPr>
        <w:t>in work</w:t>
      </w:r>
      <w:r w:rsidRPr="00FE666A">
        <w:rPr>
          <w:rFonts w:ascii="Arial" w:hAnsi="Arial" w:cs="Arial"/>
        </w:rPr>
        <w:t>, employee expectations, and organisational structure. To prevent disengagement, lower the number of grievances, and help the business thrive, business transformation, digital technology trends, and flexible working arrangements are not merely optional initiatives; rather, they are strategic imperatives that must be incorporated into the organization's people processes</w:t>
      </w:r>
      <w:r w:rsidR="00956BAD">
        <w:rPr>
          <w:rFonts w:ascii="Arial" w:hAnsi="Arial" w:cs="Arial"/>
        </w:rPr>
        <w:t xml:space="preserve"> </w:t>
      </w:r>
      <w:r w:rsidR="00956BAD" w:rsidRPr="00956BAD">
        <w:rPr>
          <w:rFonts w:ascii="Arial" w:hAnsi="Arial" w:cs="Arial"/>
        </w:rPr>
        <w:t>(Utah, 2016</w:t>
      </w:r>
      <w:r w:rsidR="00956BAD">
        <w:rPr>
          <w:rFonts w:ascii="Arial" w:hAnsi="Arial" w:cs="Arial"/>
        </w:rPr>
        <w:t>).</w:t>
      </w:r>
    </w:p>
    <w:p w14:paraId="6055ECE2" w14:textId="20E1B8EE" w:rsidR="00365555" w:rsidRDefault="00365555" w:rsidP="00FE666A">
      <w:pPr>
        <w:spacing w:line="360" w:lineRule="auto"/>
        <w:rPr>
          <w:rFonts w:ascii="Arial" w:hAnsi="Arial" w:cs="Arial"/>
        </w:rPr>
      </w:pPr>
      <w:r w:rsidRPr="00365555">
        <w:rPr>
          <w:rFonts w:ascii="Arial" w:hAnsi="Arial" w:cs="Arial"/>
        </w:rPr>
        <w:t>As an HR professional with expertise in leadership and management, it is vital to position HR not as a back-office administrative support but as a strategic partner in the transformation journey of NECTAR HR. The goal is to shift from reactive grievance handling to proactively designing and embedding systems, culture and practices that reduce friction, foster agility and support business success. The following sections provide a detailed overview of each factor, the HR levers available, and how we operationalise them through line-management and departmental leadership</w:t>
      </w:r>
      <w:r w:rsidR="00956BAD">
        <w:rPr>
          <w:rFonts w:ascii="Arial" w:hAnsi="Arial" w:cs="Arial"/>
        </w:rPr>
        <w:t xml:space="preserve"> </w:t>
      </w:r>
      <w:r w:rsidR="00956BAD" w:rsidRPr="00956BAD">
        <w:rPr>
          <w:rFonts w:ascii="Arial" w:hAnsi="Arial" w:cs="Arial"/>
        </w:rPr>
        <w:t>(Utah, 2016)</w:t>
      </w:r>
      <w:r w:rsidR="00956BAD">
        <w:rPr>
          <w:rFonts w:ascii="Arial" w:hAnsi="Arial" w:cs="Arial"/>
        </w:rPr>
        <w:t>.</w:t>
      </w:r>
    </w:p>
    <w:p w14:paraId="64767BE8" w14:textId="3564DEFD" w:rsidR="00821A8C" w:rsidRDefault="00821A8C" w:rsidP="00FE666A">
      <w:pPr>
        <w:spacing w:line="360" w:lineRule="auto"/>
        <w:rPr>
          <w:rFonts w:ascii="Arial" w:hAnsi="Arial" w:cs="Arial"/>
          <w:b/>
          <w:bCs/>
          <w:i/>
          <w:iCs/>
          <w:u w:val="single"/>
        </w:rPr>
      </w:pPr>
      <w:r w:rsidRPr="00821A8C">
        <w:rPr>
          <w:rFonts w:ascii="Arial" w:hAnsi="Arial" w:cs="Arial"/>
          <w:b/>
          <w:bCs/>
          <w:i/>
          <w:iCs/>
          <w:u w:val="single"/>
        </w:rPr>
        <w:t>Explanation of Specific Factors Related to Business Transformation, Digital Technology Trends and Flexible Working Arrangements</w:t>
      </w:r>
    </w:p>
    <w:p w14:paraId="2A799B22" w14:textId="557064EE" w:rsidR="00E77B48" w:rsidRPr="00E77B48" w:rsidRDefault="00E77B48" w:rsidP="00E77B48">
      <w:pPr>
        <w:spacing w:line="360" w:lineRule="auto"/>
        <w:rPr>
          <w:rFonts w:ascii="Arial" w:hAnsi="Arial" w:cs="Arial"/>
        </w:rPr>
      </w:pPr>
      <w:r w:rsidRPr="00E77B48">
        <w:rPr>
          <w:rFonts w:ascii="Arial" w:hAnsi="Arial" w:cs="Arial"/>
          <w:b/>
          <w:bCs/>
          <w:i/>
          <w:iCs/>
          <w:u w:val="single"/>
        </w:rPr>
        <w:t>Business Transformation</w:t>
      </w:r>
      <w:r w:rsidRPr="00E77B48">
        <w:rPr>
          <w:rFonts w:ascii="Arial" w:hAnsi="Arial" w:cs="Arial"/>
          <w:b/>
          <w:bCs/>
          <w:i/>
          <w:iCs/>
          <w:u w:val="single"/>
        </w:rPr>
        <w:br/>
      </w:r>
      <w:r w:rsidRPr="00E77B48">
        <w:rPr>
          <w:rFonts w:ascii="Arial" w:hAnsi="Arial" w:cs="Arial"/>
        </w:rPr>
        <w:t>Business transformation refers to a fundamental change in how an organisation operates, often involving shifts in strategy, structure, culture, processes, capabilities and technologies (Gartner, 2024). For NECTAR HR, this may mean moving away from a purely traditional, office-based Human Resource service delivery model to one that supports digital, remote and hybrid work, as well as new business models (for instance, agile project teams, inter-departmental cross-functional initiatives, and external partnerships). The transformation factor includes not just technology adoption but also workforce upskilling, culture change, process re-engineering and aligning HR strategy with business strategy.</w:t>
      </w:r>
    </w:p>
    <w:p w14:paraId="16412F23" w14:textId="77777777" w:rsidR="00E77B48" w:rsidRDefault="00E77B48" w:rsidP="00E77B48">
      <w:pPr>
        <w:spacing w:line="360" w:lineRule="auto"/>
        <w:rPr>
          <w:rFonts w:ascii="Arial" w:hAnsi="Arial" w:cs="Arial"/>
        </w:rPr>
      </w:pPr>
      <w:r w:rsidRPr="00E77B48">
        <w:rPr>
          <w:rFonts w:ascii="Arial" w:hAnsi="Arial" w:cs="Arial"/>
        </w:rPr>
        <w:t xml:space="preserve">Within our organisation, business transformation is being driven by external market pressures (such as competition, talent shortages, regulatory change) and internal drivers (such as desire for efficiency, employee expectations, cost containment). The HR function must therefore shift from purely administrative tasks to adding strategic value, leveraging data, enabling learning, and co-creating with leaders. As one source puts it, HR must </w:t>
      </w:r>
      <w:r w:rsidRPr="00E77B48">
        <w:rPr>
          <w:rFonts w:ascii="Arial" w:hAnsi="Arial" w:cs="Arial"/>
        </w:rPr>
        <w:lastRenderedPageBreak/>
        <w:t>“rewire” the organisation to continuously deploy technology at scale and align to strategic priorities.</w:t>
      </w:r>
    </w:p>
    <w:p w14:paraId="392C9AE1" w14:textId="72D70602" w:rsidR="00E77B48" w:rsidRPr="00077CA5" w:rsidRDefault="00E77B48" w:rsidP="00E77B48">
      <w:pPr>
        <w:spacing w:line="360" w:lineRule="auto"/>
        <w:rPr>
          <w:rFonts w:ascii="Arial" w:hAnsi="Arial" w:cs="Arial"/>
        </w:rPr>
      </w:pPr>
      <w:r w:rsidRPr="00E77B48">
        <w:rPr>
          <w:rFonts w:ascii="Arial" w:hAnsi="Arial" w:cs="Arial"/>
          <w:b/>
          <w:bCs/>
          <w:i/>
          <w:iCs/>
          <w:u w:val="single"/>
        </w:rPr>
        <w:t>Digital Technology Trends</w:t>
      </w:r>
      <w:r w:rsidRPr="00E77B48">
        <w:rPr>
          <w:rFonts w:ascii="Arial" w:hAnsi="Arial" w:cs="Arial"/>
        </w:rPr>
        <w:br/>
        <w:t>Digital technology trends in HR encompass the integration of technologies such as cloud-based HR systems, automation, artificial intelligence (AI), analytics, self-service platforms, digital communication, and remote collaboration tools. According to research, HR digital transformation is the process of adopting digital technologies to redesign and optimise HR functions, enabling greater efficiency, improved employee experience and data-driven decision making.</w:t>
      </w:r>
      <w:r>
        <w:rPr>
          <w:rFonts w:ascii="Arial" w:hAnsi="Arial" w:cs="Arial"/>
        </w:rPr>
        <w:t xml:space="preserve"> </w:t>
      </w:r>
      <w:r w:rsidRPr="00E77B48">
        <w:rPr>
          <w:rFonts w:ascii="Arial" w:hAnsi="Arial" w:cs="Arial"/>
        </w:rPr>
        <w:t>For example, digitalisation can streamline onboarding, performance management, talent acquisition and employee engagement.</w:t>
      </w:r>
      <w:r>
        <w:rPr>
          <w:rFonts w:ascii="Arial" w:hAnsi="Arial" w:cs="Arial"/>
        </w:rPr>
        <w:t xml:space="preserve"> </w:t>
      </w:r>
      <w:r w:rsidRPr="00E77B48">
        <w:rPr>
          <w:rFonts w:ascii="Arial" w:hAnsi="Arial" w:cs="Arial"/>
        </w:rPr>
        <w:t>At NECTAR HR, this trend manifests as the need to move HR systems from manual, paper-based or legacy platforms into more connected, employee-centric, mobile-enabled systems; enable virtual collaboration across remote/hybrid teams; and embed analytics to pre-empt issues such as turnover, performance dips and engagement declines</w:t>
      </w:r>
      <w:r w:rsidR="00077CA5">
        <w:rPr>
          <w:rFonts w:ascii="Arial" w:hAnsi="Arial" w:cs="Arial"/>
        </w:rPr>
        <w:t xml:space="preserve"> </w:t>
      </w:r>
      <w:r w:rsidR="00077CA5" w:rsidRPr="00077CA5">
        <w:rPr>
          <w:rFonts w:ascii="Arial" w:hAnsi="Arial" w:cs="Arial"/>
        </w:rPr>
        <w:t>(Gunderson, Holmes and Loisel, 2020)</w:t>
      </w:r>
      <w:r w:rsidR="00077CA5">
        <w:rPr>
          <w:rFonts w:ascii="Arial" w:hAnsi="Arial" w:cs="Arial"/>
        </w:rPr>
        <w:t>.</w:t>
      </w:r>
    </w:p>
    <w:p w14:paraId="5C16063B" w14:textId="62BCC3F5" w:rsidR="00E77B48" w:rsidRDefault="00E77B48" w:rsidP="00E77B48">
      <w:pPr>
        <w:spacing w:line="360" w:lineRule="auto"/>
        <w:rPr>
          <w:rFonts w:ascii="Arial" w:hAnsi="Arial" w:cs="Arial"/>
        </w:rPr>
      </w:pPr>
      <w:r w:rsidRPr="00E77B48">
        <w:rPr>
          <w:rFonts w:ascii="Arial" w:hAnsi="Arial" w:cs="Arial"/>
          <w:b/>
          <w:bCs/>
          <w:i/>
          <w:iCs/>
          <w:u w:val="single"/>
        </w:rPr>
        <w:t>Flexible Working Arrangements</w:t>
      </w:r>
      <w:r w:rsidRPr="00E77B48">
        <w:rPr>
          <w:rFonts w:ascii="Arial" w:hAnsi="Arial" w:cs="Arial"/>
        </w:rPr>
        <w:br/>
        <w:t>Flexible working arrangements (FWAs) are work designs which allow variation in when, where and how work is done. These include job sharing, reduced workweeks, flexible scheduling, remote and hybrid working,</w:t>
      </w:r>
      <w:r>
        <w:rPr>
          <w:rFonts w:ascii="Arial" w:hAnsi="Arial" w:cs="Arial"/>
        </w:rPr>
        <w:t xml:space="preserve"> etc</w:t>
      </w:r>
      <w:r w:rsidRPr="00E77B48">
        <w:rPr>
          <w:rFonts w:ascii="Arial" w:hAnsi="Arial" w:cs="Arial"/>
        </w:rPr>
        <w:t>.</w:t>
      </w:r>
      <w:r>
        <w:rPr>
          <w:rFonts w:ascii="Arial" w:hAnsi="Arial" w:cs="Arial"/>
        </w:rPr>
        <w:t xml:space="preserve"> </w:t>
      </w:r>
      <w:r w:rsidRPr="00E77B48">
        <w:rPr>
          <w:rFonts w:ascii="Arial" w:hAnsi="Arial" w:cs="Arial"/>
        </w:rPr>
        <w:t>The rise of FWAs is driven by employee expectations for better work–life balance, technological enablement of remote work, and organisational desire for new talent markets and cost efficiencies. According to the Chartered Institute of Personnel and Development (CIPD) research, flexible and hybrid working practices are now a core part of how UK organisations are operating in 2025. For NECTAR HR, the pressure from grievances likely signals that our existing arrangements working hours, location policies, remote/hybrid protocols</w:t>
      </w:r>
      <w:r w:rsidR="000530D6">
        <w:rPr>
          <w:rFonts w:ascii="Arial" w:hAnsi="Arial" w:cs="Arial"/>
        </w:rPr>
        <w:t xml:space="preserve"> </w:t>
      </w:r>
      <w:r w:rsidRPr="00E77B48">
        <w:rPr>
          <w:rFonts w:ascii="Arial" w:hAnsi="Arial" w:cs="Arial"/>
        </w:rPr>
        <w:t xml:space="preserve">are mis-aligned with employee expectations or managerial practices. For example, staff may feel disadvantaged by rigid policies, lack of clarity about hybrid rules, or inequality of treatment across departments. </w:t>
      </w:r>
    </w:p>
    <w:p w14:paraId="5E1A3FDC" w14:textId="77777777" w:rsidR="000530D6" w:rsidRPr="000530D6" w:rsidRDefault="000530D6" w:rsidP="000530D6">
      <w:pPr>
        <w:spacing w:line="360" w:lineRule="auto"/>
        <w:rPr>
          <w:rFonts w:ascii="Arial" w:hAnsi="Arial" w:cs="Arial"/>
        </w:rPr>
      </w:pPr>
      <w:r w:rsidRPr="000530D6">
        <w:rPr>
          <w:rFonts w:ascii="Arial" w:hAnsi="Arial" w:cs="Arial"/>
          <w:b/>
          <w:bCs/>
          <w:i/>
          <w:iCs/>
          <w:u w:val="single"/>
        </w:rPr>
        <w:t>Inter-relationship of the Three Factors</w:t>
      </w:r>
      <w:r w:rsidRPr="000530D6">
        <w:rPr>
          <w:rFonts w:ascii="Arial" w:hAnsi="Arial" w:cs="Arial"/>
        </w:rPr>
        <w:br/>
        <w:t>These three factors are highly inter-linked. Business transformation often invokes digital technology adoption and new working arrangements as enablers. For example, a transformational shift to agile, cross-functional teams may require remote/hybrid working and cloud-enabled collaboration. Digital technology trends accelerate the ability to deliver flexible work and monitor performance in non-traditional environments. Flexible working arrangements then become part of the transformed operating model, enabling the business to access talent globally, respond quickly to market changes, and manage costs.</w:t>
      </w:r>
    </w:p>
    <w:p w14:paraId="3010BD14" w14:textId="0EAB3E90" w:rsidR="000530D6" w:rsidRPr="000530D6" w:rsidRDefault="003358C9" w:rsidP="000530D6">
      <w:pPr>
        <w:spacing w:line="360" w:lineRule="auto"/>
        <w:rPr>
          <w:rFonts w:ascii="Arial" w:hAnsi="Arial" w:cs="Arial"/>
        </w:rPr>
      </w:pPr>
      <w:r>
        <w:rPr>
          <w:rFonts w:ascii="Arial" w:hAnsi="Arial" w:cs="Arial"/>
        </w:rPr>
        <w:lastRenderedPageBreak/>
        <w:t>For</w:t>
      </w:r>
      <w:r w:rsidR="000530D6" w:rsidRPr="000530D6">
        <w:rPr>
          <w:rFonts w:ascii="Arial" w:hAnsi="Arial" w:cs="Arial"/>
        </w:rPr>
        <w:t xml:space="preserve"> NECTAR HR the factors at play are: (1) transformation of our business and operating model to meet future demands; (2) adoption of digital technologies to enable HR and organisational processes; (3) establishment of flexible working arrangements to support new ways of working, talent retention, engagement and productivity. Together, they create both opportunity and risk: if we succeed, we elevate HR’s strategic role and reduce grievances; if not, we risk disengagement, inequities, and operational inefficiencies</w:t>
      </w:r>
      <w:r w:rsidR="009953A5">
        <w:rPr>
          <w:rFonts w:ascii="Arial" w:hAnsi="Arial" w:cs="Arial"/>
        </w:rPr>
        <w:t xml:space="preserve"> </w:t>
      </w:r>
      <w:r w:rsidR="009953A5" w:rsidRPr="009953A5">
        <w:rPr>
          <w:rFonts w:ascii="Arial" w:hAnsi="Arial" w:cs="Arial"/>
        </w:rPr>
        <w:t>(Burdic, 1961)</w:t>
      </w:r>
      <w:r w:rsidR="009953A5">
        <w:rPr>
          <w:rFonts w:ascii="Arial" w:hAnsi="Arial" w:cs="Arial"/>
        </w:rPr>
        <w:t>.</w:t>
      </w:r>
    </w:p>
    <w:p w14:paraId="390DA05F" w14:textId="40B59D45" w:rsidR="000530D6" w:rsidRDefault="00405CD9" w:rsidP="00E77B48">
      <w:pPr>
        <w:spacing w:line="360" w:lineRule="auto"/>
        <w:rPr>
          <w:rFonts w:ascii="Arial" w:hAnsi="Arial" w:cs="Arial"/>
          <w:b/>
          <w:bCs/>
          <w:i/>
          <w:iCs/>
          <w:u w:val="single"/>
        </w:rPr>
      </w:pPr>
      <w:r w:rsidRPr="00405CD9">
        <w:rPr>
          <w:rFonts w:ascii="Arial" w:hAnsi="Arial" w:cs="Arial"/>
          <w:b/>
          <w:bCs/>
          <w:i/>
          <w:iCs/>
          <w:u w:val="single"/>
        </w:rPr>
        <w:t>Evaluation of Different Contemporary HR Practices to Address Each Factor</w:t>
      </w:r>
    </w:p>
    <w:p w14:paraId="50E88210" w14:textId="77777777" w:rsidR="00405CD9" w:rsidRPr="00405CD9" w:rsidRDefault="00405CD9" w:rsidP="00405CD9">
      <w:pPr>
        <w:spacing w:line="360" w:lineRule="auto"/>
        <w:rPr>
          <w:rFonts w:ascii="Arial" w:hAnsi="Arial" w:cs="Arial"/>
          <w:b/>
          <w:bCs/>
          <w:i/>
          <w:iCs/>
          <w:u w:val="single"/>
        </w:rPr>
      </w:pPr>
      <w:r w:rsidRPr="00405CD9">
        <w:rPr>
          <w:rFonts w:ascii="Arial" w:hAnsi="Arial" w:cs="Arial"/>
          <w:b/>
          <w:bCs/>
          <w:i/>
          <w:iCs/>
          <w:u w:val="single"/>
        </w:rPr>
        <w:t>Addressing Business Transformation via HR Practices</w:t>
      </w:r>
    </w:p>
    <w:p w14:paraId="6C1D555A" w14:textId="576AB43D" w:rsidR="00405CD9" w:rsidRDefault="00405CD9" w:rsidP="00405CD9">
      <w:pPr>
        <w:spacing w:line="360" w:lineRule="auto"/>
        <w:rPr>
          <w:rFonts w:ascii="Arial" w:hAnsi="Arial" w:cs="Arial"/>
        </w:rPr>
      </w:pPr>
      <w:r w:rsidRPr="00405CD9">
        <w:rPr>
          <w:rFonts w:ascii="Arial" w:hAnsi="Arial" w:cs="Arial"/>
        </w:rPr>
        <w:t>To support business transformation, HR must adopt strategic practices such as competency-based development, talent marketplaces, leadership development, agile workforce planning and change-management capability. For instance, a competency-based HR development approach focuses on developing technical skills, interpersonal skills and adaptability aligned with strategic goals (</w:t>
      </w:r>
      <w:proofErr w:type="spellStart"/>
      <w:r w:rsidRPr="00405CD9">
        <w:rPr>
          <w:rFonts w:ascii="Arial" w:hAnsi="Arial" w:cs="Arial"/>
        </w:rPr>
        <w:t>Septiadi</w:t>
      </w:r>
      <w:proofErr w:type="spellEnd"/>
      <w:r w:rsidRPr="00405CD9">
        <w:rPr>
          <w:rFonts w:ascii="Arial" w:hAnsi="Arial" w:cs="Arial"/>
        </w:rPr>
        <w:t xml:space="preserve"> &amp; Ramdani, 2024)</w:t>
      </w:r>
      <w:r>
        <w:rPr>
          <w:rFonts w:ascii="Arial" w:hAnsi="Arial" w:cs="Arial"/>
        </w:rPr>
        <w:t xml:space="preserve">. </w:t>
      </w:r>
      <w:r w:rsidRPr="00405CD9">
        <w:rPr>
          <w:rFonts w:ascii="Arial" w:hAnsi="Arial" w:cs="Arial"/>
        </w:rPr>
        <w:t>HR can implement talent-pipelines and internal mobility programmes so employees can shift into new roles as transformation progresses. Further, HR business-partners must engage with leaders to ensure that HR strategy is aligned to business strategy and that workforce plans reflect transformation needs (Gartner, 2024)</w:t>
      </w:r>
      <w:r>
        <w:rPr>
          <w:rFonts w:ascii="Arial" w:hAnsi="Arial" w:cs="Arial"/>
        </w:rPr>
        <w:t xml:space="preserve">. </w:t>
      </w:r>
    </w:p>
    <w:p w14:paraId="6EBF2542" w14:textId="6ABA8B8F" w:rsidR="00405CD9" w:rsidRDefault="00405CD9" w:rsidP="00405CD9">
      <w:pPr>
        <w:spacing w:line="360" w:lineRule="auto"/>
        <w:rPr>
          <w:rFonts w:ascii="Arial" w:hAnsi="Arial" w:cs="Arial"/>
        </w:rPr>
      </w:pPr>
      <w:r w:rsidRPr="00405CD9">
        <w:rPr>
          <w:rFonts w:ascii="Arial" w:hAnsi="Arial" w:cs="Arial"/>
        </w:rPr>
        <w:t>Change-management frameworks are critical: when transformation introduces new structures or processes, HR must lead communication, training and support to minimise resistance and build capability (</w:t>
      </w:r>
      <w:proofErr w:type="spellStart"/>
      <w:r w:rsidRPr="00405CD9">
        <w:rPr>
          <w:rFonts w:ascii="Arial" w:hAnsi="Arial" w:cs="Arial"/>
        </w:rPr>
        <w:t>Prosci</w:t>
      </w:r>
      <w:proofErr w:type="spellEnd"/>
      <w:r w:rsidRPr="00405CD9">
        <w:rPr>
          <w:rFonts w:ascii="Arial" w:hAnsi="Arial" w:cs="Arial"/>
        </w:rPr>
        <w:t>, 2024)</w:t>
      </w:r>
      <w:r>
        <w:rPr>
          <w:rFonts w:ascii="Arial" w:hAnsi="Arial" w:cs="Arial"/>
        </w:rPr>
        <w:t xml:space="preserve">. </w:t>
      </w:r>
      <w:r w:rsidRPr="00405CD9">
        <w:rPr>
          <w:rFonts w:ascii="Arial" w:hAnsi="Arial" w:cs="Arial"/>
        </w:rPr>
        <w:t>In addition, performance management systems should adapt to new metrics relevant to transformed ways of working (e.g., cross-functional collaboration, innovation, agility). HR also needs to track transformation-related metrics (e.g., time-to-competency, internal mobility rate, adoption of new processes) to evaluate success.</w:t>
      </w:r>
    </w:p>
    <w:p w14:paraId="3962E9FB" w14:textId="787BC1B6" w:rsidR="00F50148" w:rsidRPr="00F50148" w:rsidRDefault="00405CD9" w:rsidP="00F50148">
      <w:pPr>
        <w:spacing w:line="360" w:lineRule="auto"/>
        <w:rPr>
          <w:rFonts w:ascii="Arial" w:hAnsi="Arial" w:cs="Arial"/>
        </w:rPr>
      </w:pPr>
      <w:r w:rsidRPr="00405CD9">
        <w:rPr>
          <w:rFonts w:ascii="Arial" w:hAnsi="Arial" w:cs="Arial"/>
          <w:b/>
          <w:bCs/>
          <w:i/>
          <w:iCs/>
          <w:u w:val="single"/>
        </w:rPr>
        <w:t>Addressing Digital Technology Trends via HR Practices</w:t>
      </w:r>
      <w:r w:rsidRPr="00405CD9">
        <w:rPr>
          <w:rFonts w:ascii="Arial" w:hAnsi="Arial" w:cs="Arial"/>
        </w:rPr>
        <w:br/>
        <w:t xml:space="preserve">HR practices specifically to harness digital technology trends include the selection and implementation of integrated Human Capital Management (HCM) systems, embedding analytics and AI in HR decision-making, establishing self-service platforms, and ensuring digital literacy across the workforce. For example, HR should assess current HR practices and technology stack, set clear objectives for digital transformation </w:t>
      </w:r>
      <w:r w:rsidR="00F50148" w:rsidRPr="00F50148">
        <w:rPr>
          <w:rFonts w:ascii="Arial" w:hAnsi="Arial" w:cs="Arial"/>
        </w:rPr>
        <w:t>(Dr Wade Larson, 2021)</w:t>
      </w:r>
      <w:r w:rsidR="00F50148">
        <w:rPr>
          <w:rFonts w:ascii="Arial" w:hAnsi="Arial" w:cs="Arial"/>
        </w:rPr>
        <w:t>.</w:t>
      </w:r>
    </w:p>
    <w:p w14:paraId="62D267E7" w14:textId="3FA7665B" w:rsidR="00405CD9" w:rsidRDefault="00405CD9" w:rsidP="00405CD9">
      <w:pPr>
        <w:spacing w:line="360" w:lineRule="auto"/>
        <w:rPr>
          <w:rFonts w:ascii="Arial" w:hAnsi="Arial" w:cs="Arial"/>
        </w:rPr>
      </w:pPr>
      <w:r w:rsidRPr="00405CD9">
        <w:rPr>
          <w:rFonts w:ascii="Arial" w:hAnsi="Arial" w:cs="Arial"/>
        </w:rPr>
        <w:t xml:space="preserve">Then, HR needs to redesign processes (e.g., onboarding, recruitment, talent reviews) to leverage automation and data </w:t>
      </w:r>
      <w:r w:rsidR="00B97A8A" w:rsidRPr="00B97A8A">
        <w:rPr>
          <w:rFonts w:ascii="Arial" w:hAnsi="Arial" w:cs="Arial"/>
        </w:rPr>
        <w:t>(Hasan, 2024)</w:t>
      </w:r>
      <w:r w:rsidR="00B97A8A">
        <w:rPr>
          <w:rFonts w:ascii="Arial" w:hAnsi="Arial" w:cs="Arial"/>
        </w:rPr>
        <w:t>.</w:t>
      </w:r>
      <w:r w:rsidR="00FE49CA">
        <w:rPr>
          <w:rFonts w:ascii="Arial" w:hAnsi="Arial" w:cs="Arial"/>
        </w:rPr>
        <w:t xml:space="preserve"> </w:t>
      </w:r>
      <w:r w:rsidRPr="00405CD9">
        <w:rPr>
          <w:rFonts w:ascii="Arial" w:hAnsi="Arial" w:cs="Arial"/>
        </w:rPr>
        <w:t>Contemporary practice also includes using workforce analytics to predict turnover or identify skills gaps, enabling proactive interventions rather than reactive responses</w:t>
      </w:r>
      <w:r>
        <w:rPr>
          <w:rFonts w:ascii="Arial" w:hAnsi="Arial" w:cs="Arial"/>
        </w:rPr>
        <w:t xml:space="preserve">. </w:t>
      </w:r>
      <w:r w:rsidRPr="00405CD9">
        <w:rPr>
          <w:rFonts w:ascii="Arial" w:hAnsi="Arial" w:cs="Arial"/>
        </w:rPr>
        <w:t xml:space="preserve">HR can implement digital platforms that allow employees </w:t>
      </w:r>
      <w:r w:rsidRPr="00405CD9">
        <w:rPr>
          <w:rFonts w:ascii="Arial" w:hAnsi="Arial" w:cs="Arial"/>
        </w:rPr>
        <w:lastRenderedPageBreak/>
        <w:t>and managers to access data, learning modules, feedback and collaboration tools anywhere, supporting remote/hybrid working. Another emerging practice is leveraging AI-driven internal talent marketplaces that match employees to opportunities, enhancing agility (via skills intelligence)</w:t>
      </w:r>
      <w:r w:rsidR="000F5B29">
        <w:rPr>
          <w:rFonts w:ascii="Arial" w:hAnsi="Arial" w:cs="Arial"/>
        </w:rPr>
        <w:t>.</w:t>
      </w:r>
    </w:p>
    <w:p w14:paraId="65D2D736" w14:textId="38AD7ADD" w:rsidR="00405CD9" w:rsidRDefault="00405CD9" w:rsidP="00405CD9">
      <w:pPr>
        <w:spacing w:line="360" w:lineRule="auto"/>
        <w:rPr>
          <w:rFonts w:ascii="Arial" w:hAnsi="Arial" w:cs="Arial"/>
        </w:rPr>
      </w:pPr>
      <w:r w:rsidRPr="00405CD9">
        <w:rPr>
          <w:rFonts w:ascii="Arial" w:hAnsi="Arial" w:cs="Arial"/>
          <w:b/>
          <w:bCs/>
          <w:i/>
          <w:iCs/>
          <w:u w:val="single"/>
        </w:rPr>
        <w:t>Addressing Flexible Working Arrangements via HR Practices</w:t>
      </w:r>
      <w:r w:rsidRPr="00405CD9">
        <w:rPr>
          <w:rFonts w:ascii="Arial" w:hAnsi="Arial" w:cs="Arial"/>
        </w:rPr>
        <w:br/>
        <w:t>In the realm of flexible work arrangements, HR must deploy practices such as developing clear policies and frameworks for remote/hybrid/flex time, training managers in remote team leadership, providing the required technology and infrastructure, monitoring outcomes (rather than hours), and promoting trust and equity across the workforce. The Society for Human Resource Management (SHRM) toolkit on managing flexible work arrangements emphasises the need to treat flexibility as a strategic staffing solution and to embed consistent practices (SHRM, 2024)</w:t>
      </w:r>
      <w:r>
        <w:rPr>
          <w:rFonts w:ascii="Arial" w:hAnsi="Arial" w:cs="Arial"/>
        </w:rPr>
        <w:t xml:space="preserve">. </w:t>
      </w:r>
      <w:r w:rsidRPr="00405CD9">
        <w:rPr>
          <w:rFonts w:ascii="Arial" w:hAnsi="Arial" w:cs="Arial"/>
        </w:rPr>
        <w:t>Best-practice also includes generating employee input (surveys, focus groups) on flexibility needs, ensuring inclusion and fairness and shifting to a results-based rather than time-based mindset</w:t>
      </w:r>
      <w:r w:rsidR="00421022">
        <w:rPr>
          <w:rFonts w:ascii="Arial" w:hAnsi="Arial" w:cs="Arial"/>
        </w:rPr>
        <w:t xml:space="preserve">. </w:t>
      </w:r>
      <w:r w:rsidRPr="00405CD9">
        <w:rPr>
          <w:rFonts w:ascii="Arial" w:hAnsi="Arial" w:cs="Arial"/>
        </w:rPr>
        <w:t>HR can build hybrid standards (e.g., number of office days, core hours) and ensure line-manager accountability for inclusive practices. Additionally, HR can utilise digital tools (collaboration platforms, cloud HR systems, scheduling tools) to support flexible working arrangements</w:t>
      </w:r>
      <w:r>
        <w:rPr>
          <w:rFonts w:ascii="Arial" w:hAnsi="Arial" w:cs="Arial"/>
        </w:rPr>
        <w:t>.</w:t>
      </w:r>
    </w:p>
    <w:p w14:paraId="4951DF38" w14:textId="5CC59E79" w:rsidR="00405CD9" w:rsidRDefault="00405CD9" w:rsidP="00405CD9">
      <w:pPr>
        <w:spacing w:line="360" w:lineRule="auto"/>
        <w:rPr>
          <w:rFonts w:ascii="Arial" w:hAnsi="Arial" w:cs="Arial"/>
        </w:rPr>
      </w:pPr>
      <w:r w:rsidRPr="00405CD9">
        <w:rPr>
          <w:rFonts w:ascii="Arial" w:hAnsi="Arial" w:cs="Arial"/>
          <w:b/>
          <w:bCs/>
          <w:i/>
          <w:iCs/>
          <w:u w:val="single"/>
        </w:rPr>
        <w:t>Summary of Fit and Risk</w:t>
      </w:r>
      <w:r w:rsidRPr="00405CD9">
        <w:rPr>
          <w:rFonts w:ascii="Arial" w:hAnsi="Arial" w:cs="Arial"/>
        </w:rPr>
        <w:br/>
        <w:t>Each of these HR practices helps align our response to the three factors: transformation, technology, flexibility. However, it is important to recognise risks: e.g., digital tools without culture change can fail; flexible working without manager training can produce inequities; transformation without HR alignment creates talent gaps. HR must therefore ensure governance, measurement, stakeholder buy-in and integration across these practices.</w:t>
      </w:r>
    </w:p>
    <w:p w14:paraId="79F007AE" w14:textId="21D3FAAE" w:rsidR="00405CD9" w:rsidRDefault="00405CD9" w:rsidP="00405CD9">
      <w:pPr>
        <w:spacing w:line="360" w:lineRule="auto"/>
        <w:rPr>
          <w:rFonts w:ascii="Arial" w:hAnsi="Arial" w:cs="Arial"/>
          <w:b/>
          <w:bCs/>
          <w:i/>
          <w:iCs/>
          <w:u w:val="single"/>
        </w:rPr>
      </w:pPr>
      <w:r w:rsidRPr="00405CD9">
        <w:rPr>
          <w:rFonts w:ascii="Arial" w:hAnsi="Arial" w:cs="Arial"/>
          <w:b/>
          <w:bCs/>
          <w:i/>
          <w:iCs/>
          <w:u w:val="single"/>
        </w:rPr>
        <w:t>Critical Evaluation of How Departmental Managers Can Ensure Urgent Implementation of These Practices</w:t>
      </w:r>
    </w:p>
    <w:p w14:paraId="13923828" w14:textId="717CDA7B" w:rsidR="00405CD9" w:rsidRDefault="00405CD9" w:rsidP="00405CD9">
      <w:pPr>
        <w:spacing w:line="360" w:lineRule="auto"/>
        <w:rPr>
          <w:rFonts w:ascii="Arial" w:hAnsi="Arial" w:cs="Arial"/>
        </w:rPr>
      </w:pPr>
      <w:r w:rsidRPr="00405CD9">
        <w:rPr>
          <w:rFonts w:ascii="Arial" w:hAnsi="Arial" w:cs="Arial"/>
        </w:rPr>
        <w:t>While HR sets strategy and designs practices, departmental managers play a pivotal role in implementation and embedding those practices into day-to-day operations. For NECTAR HR to succeed in urgently implementing these contemporary practices, managers must adopt several behaviours and mechanisms</w:t>
      </w:r>
      <w:r w:rsidR="00E135BA">
        <w:rPr>
          <w:rFonts w:ascii="Arial" w:hAnsi="Arial" w:cs="Arial"/>
        </w:rPr>
        <w:t xml:space="preserve"> </w:t>
      </w:r>
      <w:r w:rsidR="00E135BA" w:rsidRPr="00E135BA">
        <w:rPr>
          <w:rFonts w:ascii="Arial" w:hAnsi="Arial" w:cs="Arial"/>
        </w:rPr>
        <w:t>(Burnett, 2011)</w:t>
      </w:r>
      <w:r w:rsidR="001A605C">
        <w:rPr>
          <w:rFonts w:ascii="Arial" w:hAnsi="Arial" w:cs="Arial"/>
        </w:rPr>
        <w:t>.</w:t>
      </w:r>
    </w:p>
    <w:p w14:paraId="75BAE5E5" w14:textId="2746012A" w:rsidR="00405CD9" w:rsidRDefault="00405CD9" w:rsidP="00405CD9">
      <w:pPr>
        <w:spacing w:line="360" w:lineRule="auto"/>
        <w:rPr>
          <w:rFonts w:ascii="Arial" w:hAnsi="Arial" w:cs="Arial"/>
        </w:rPr>
      </w:pPr>
      <w:r w:rsidRPr="00405CD9">
        <w:rPr>
          <w:rFonts w:ascii="Arial" w:hAnsi="Arial" w:cs="Arial"/>
          <w:b/>
          <w:bCs/>
          <w:i/>
          <w:iCs/>
          <w:u w:val="single"/>
        </w:rPr>
        <w:t>Ownership and Accountability</w:t>
      </w:r>
      <w:r w:rsidRPr="00405CD9">
        <w:rPr>
          <w:rFonts w:ascii="Arial" w:hAnsi="Arial" w:cs="Arial"/>
        </w:rPr>
        <w:br/>
        <w:t xml:space="preserve">Managers must take ownership of the transformation agenda. Each department must have a manager who acts as a change champion for HR practices – for example ensuring that digitalisation of recruitment within their team happens on schedule, that flexible working arrangements in their team are managed consistently, and that transformation-related KPIs (e.g., internal mobility, skill redeployment) are monitored. HR should establish clear </w:t>
      </w:r>
      <w:r w:rsidRPr="00405CD9">
        <w:rPr>
          <w:rFonts w:ascii="Arial" w:hAnsi="Arial" w:cs="Arial"/>
        </w:rPr>
        <w:lastRenderedPageBreak/>
        <w:t>accountability frameworks: e.g., managers’ performance objectives should include transformation metrics, digital adoption rates and flexible working compliance</w:t>
      </w:r>
      <w:r w:rsidR="00925005">
        <w:rPr>
          <w:rFonts w:ascii="Arial" w:hAnsi="Arial" w:cs="Arial"/>
        </w:rPr>
        <w:t xml:space="preserve"> </w:t>
      </w:r>
      <w:r w:rsidR="00925005" w:rsidRPr="00925005">
        <w:rPr>
          <w:rFonts w:ascii="Arial" w:hAnsi="Arial" w:cs="Arial"/>
        </w:rPr>
        <w:t>(Koning and Ferguson, 2019)</w:t>
      </w:r>
      <w:r w:rsidR="00925005">
        <w:rPr>
          <w:rFonts w:ascii="Arial" w:hAnsi="Arial" w:cs="Arial"/>
        </w:rPr>
        <w:t>.</w:t>
      </w:r>
    </w:p>
    <w:p w14:paraId="7CF643F0" w14:textId="350F7187" w:rsidR="00991526" w:rsidRDefault="00991526" w:rsidP="00405CD9">
      <w:pPr>
        <w:spacing w:line="360" w:lineRule="auto"/>
        <w:rPr>
          <w:rFonts w:ascii="Arial" w:hAnsi="Arial" w:cs="Arial"/>
        </w:rPr>
      </w:pPr>
      <w:r w:rsidRPr="00991526">
        <w:rPr>
          <w:rFonts w:ascii="Arial" w:hAnsi="Arial" w:cs="Arial"/>
          <w:b/>
          <w:bCs/>
          <w:i/>
          <w:iCs/>
          <w:u w:val="single"/>
        </w:rPr>
        <w:t>Embedding into Daily Routines</w:t>
      </w:r>
      <w:r w:rsidRPr="00991526">
        <w:rPr>
          <w:rFonts w:ascii="Arial" w:hAnsi="Arial" w:cs="Arial"/>
        </w:rPr>
        <w:br/>
        <w:t>Managers must integrate the HR practices into daily workflows</w:t>
      </w:r>
      <w:r>
        <w:rPr>
          <w:rFonts w:ascii="Arial" w:hAnsi="Arial" w:cs="Arial"/>
        </w:rPr>
        <w:t xml:space="preserve"> </w:t>
      </w:r>
      <w:r w:rsidR="00421022" w:rsidRPr="00991526">
        <w:rPr>
          <w:rFonts w:ascii="Arial" w:hAnsi="Arial" w:cs="Arial"/>
        </w:rPr>
        <w:t>do not treat</w:t>
      </w:r>
      <w:r w:rsidRPr="00991526">
        <w:rPr>
          <w:rFonts w:ascii="Arial" w:hAnsi="Arial" w:cs="Arial"/>
        </w:rPr>
        <w:t xml:space="preserve"> them as ‘extra’ tasks. For example, managers should hold regular check-ins with remote/hybrid staff, use the self-service HR platforms to approve flex requests, review analytics dashboards to detect early warning signs of disengagement, and include flexible working in team planning. They should also incorporate transformation conversations into one-to-ones: discussing new roles, skills needs and digital tools.</w:t>
      </w:r>
    </w:p>
    <w:p w14:paraId="41760991" w14:textId="27BCED5A" w:rsidR="00991526" w:rsidRPr="00925005" w:rsidRDefault="00991526" w:rsidP="00991526">
      <w:pPr>
        <w:spacing w:line="360" w:lineRule="auto"/>
        <w:rPr>
          <w:rFonts w:ascii="Arial" w:hAnsi="Arial" w:cs="Arial"/>
        </w:rPr>
      </w:pPr>
      <w:r w:rsidRPr="00991526">
        <w:rPr>
          <w:rFonts w:ascii="Arial" w:hAnsi="Arial" w:cs="Arial"/>
          <w:b/>
          <w:bCs/>
          <w:i/>
          <w:iCs/>
          <w:u w:val="single"/>
        </w:rPr>
        <w:t>Leverage Data and Feedback</w:t>
      </w:r>
      <w:r w:rsidRPr="00991526">
        <w:rPr>
          <w:rFonts w:ascii="Arial" w:hAnsi="Arial" w:cs="Arial"/>
        </w:rPr>
        <w:br/>
        <w:t>With digital tools providing analytics, managers must review real-time dashboards to make data-driven decisions. For example, if analytics show increased grievances in a team working remotely, the manager should explore root causes (e.g., lack of connection, unclear expectations) and act quickly. HR should provide managers with training on how to interpret and act on data. Moreover, managers should solicit feedback from their team (surveys, informal check-ins, focus groups) about flexible working experiences and digital tools to iterate quickly</w:t>
      </w:r>
      <w:r w:rsidR="00925005">
        <w:rPr>
          <w:rFonts w:ascii="Arial" w:hAnsi="Arial" w:cs="Arial"/>
        </w:rPr>
        <w:t xml:space="preserve"> </w:t>
      </w:r>
      <w:r w:rsidR="00925005" w:rsidRPr="00925005">
        <w:rPr>
          <w:rFonts w:ascii="Arial" w:hAnsi="Arial" w:cs="Arial"/>
        </w:rPr>
        <w:t>(Koning and Ferguson, 2019)</w:t>
      </w:r>
      <w:r w:rsidR="00925005">
        <w:rPr>
          <w:rFonts w:ascii="Arial" w:hAnsi="Arial" w:cs="Arial"/>
        </w:rPr>
        <w:t>.</w:t>
      </w:r>
    </w:p>
    <w:p w14:paraId="3F3A0EFE" w14:textId="77777777" w:rsidR="00991526" w:rsidRPr="00991526" w:rsidRDefault="00991526" w:rsidP="00991526">
      <w:pPr>
        <w:spacing w:line="360" w:lineRule="auto"/>
        <w:rPr>
          <w:rFonts w:ascii="Arial" w:hAnsi="Arial" w:cs="Arial"/>
        </w:rPr>
      </w:pPr>
      <w:r w:rsidRPr="00991526">
        <w:rPr>
          <w:rFonts w:ascii="Arial" w:hAnsi="Arial" w:cs="Arial"/>
          <w:b/>
          <w:bCs/>
          <w:i/>
          <w:iCs/>
          <w:u w:val="single"/>
        </w:rPr>
        <w:t>Urgency and Change Management</w:t>
      </w:r>
      <w:r w:rsidRPr="00991526">
        <w:rPr>
          <w:rFonts w:ascii="Arial" w:hAnsi="Arial" w:cs="Arial"/>
        </w:rPr>
        <w:br/>
        <w:t>Given the number and nature of grievances, departmental managers must treat this initiative as a business-critical priority, not a ‘nice-to-have’. HR should set a clear implementation roadmap with milestones and deadlines. Managers should attend regular status reviews, report on adoption metrics, escalate blockers quickly and receive HR support to overcome them. The combination of urgency, visible leadership sponsorship, and accountability will drive faster adoption.</w:t>
      </w:r>
    </w:p>
    <w:p w14:paraId="49287A7F" w14:textId="77777777" w:rsidR="00991526" w:rsidRDefault="00991526" w:rsidP="00991526">
      <w:pPr>
        <w:spacing w:line="360" w:lineRule="auto"/>
        <w:rPr>
          <w:rFonts w:ascii="Arial" w:hAnsi="Arial" w:cs="Arial"/>
        </w:rPr>
      </w:pPr>
    </w:p>
    <w:p w14:paraId="3CDE5E28" w14:textId="77777777" w:rsidR="006D6C8C" w:rsidRDefault="006D6C8C" w:rsidP="00991526">
      <w:pPr>
        <w:spacing w:line="360" w:lineRule="auto"/>
        <w:rPr>
          <w:rFonts w:ascii="Arial" w:hAnsi="Arial" w:cs="Arial"/>
        </w:rPr>
      </w:pPr>
    </w:p>
    <w:p w14:paraId="564BE54F" w14:textId="77777777" w:rsidR="006D6C8C" w:rsidRDefault="006D6C8C" w:rsidP="00991526">
      <w:pPr>
        <w:spacing w:line="360" w:lineRule="auto"/>
        <w:rPr>
          <w:rFonts w:ascii="Arial" w:hAnsi="Arial" w:cs="Arial"/>
        </w:rPr>
      </w:pPr>
    </w:p>
    <w:p w14:paraId="458772C6" w14:textId="77777777" w:rsidR="006D6C8C" w:rsidRDefault="006D6C8C" w:rsidP="00991526">
      <w:pPr>
        <w:spacing w:line="360" w:lineRule="auto"/>
        <w:rPr>
          <w:rFonts w:ascii="Arial" w:hAnsi="Arial" w:cs="Arial"/>
        </w:rPr>
      </w:pPr>
    </w:p>
    <w:p w14:paraId="23E9F37D" w14:textId="77777777" w:rsidR="006D6C8C" w:rsidRDefault="006D6C8C" w:rsidP="00991526">
      <w:pPr>
        <w:spacing w:line="360" w:lineRule="auto"/>
        <w:rPr>
          <w:rFonts w:ascii="Arial" w:hAnsi="Arial" w:cs="Arial"/>
        </w:rPr>
      </w:pPr>
    </w:p>
    <w:p w14:paraId="2A8676D5" w14:textId="77777777" w:rsidR="00B4489A" w:rsidRDefault="00B4489A" w:rsidP="00991526">
      <w:pPr>
        <w:spacing w:line="360" w:lineRule="auto"/>
        <w:rPr>
          <w:rFonts w:ascii="Arial" w:hAnsi="Arial" w:cs="Arial"/>
        </w:rPr>
      </w:pPr>
    </w:p>
    <w:p w14:paraId="3E873602" w14:textId="452A8A86" w:rsidR="00991526" w:rsidRPr="00991526" w:rsidRDefault="00991526" w:rsidP="00991526">
      <w:pPr>
        <w:spacing w:line="360" w:lineRule="auto"/>
        <w:rPr>
          <w:rFonts w:ascii="Arial" w:hAnsi="Arial" w:cs="Arial"/>
        </w:rPr>
      </w:pPr>
      <w:r w:rsidRPr="00991526">
        <w:rPr>
          <w:rFonts w:ascii="Arial" w:hAnsi="Arial" w:cs="Arial"/>
          <w:b/>
          <w:bCs/>
          <w:i/>
          <w:iCs/>
          <w:u w:val="single"/>
        </w:rPr>
        <w:lastRenderedPageBreak/>
        <w:t>Conclusion</w:t>
      </w:r>
      <w:r w:rsidRPr="00991526">
        <w:rPr>
          <w:rFonts w:ascii="Arial" w:hAnsi="Arial" w:cs="Arial"/>
        </w:rPr>
        <w:br/>
        <w:t xml:space="preserve">In summary, the pressures facing NECTAR HR as evidenced by the volume of grievances in the first month of my tenure </w:t>
      </w:r>
      <w:r>
        <w:rPr>
          <w:rFonts w:ascii="Arial" w:hAnsi="Arial" w:cs="Arial"/>
        </w:rPr>
        <w:t>r</w:t>
      </w:r>
      <w:r w:rsidRPr="00991526">
        <w:rPr>
          <w:rFonts w:ascii="Arial" w:hAnsi="Arial" w:cs="Arial"/>
        </w:rPr>
        <w:t>eflect deeper structural and cultural shifts. Business transformation, digital technology trends and flexible working arrangements are not discrete HR issues but are inter-linked strategic levers that shape how we recruit, engage, develop and retain our workforce. The HR function must act across these levers by deploying contemporary practices such as competency-based development, digital HR platforms and well-designed flexibility policies. However, the effectiveness of those practices ultimately depends on operationalising them in the business through departmental managers who own, embed and monitor adoption.</w:t>
      </w:r>
    </w:p>
    <w:p w14:paraId="642FB042" w14:textId="4E0CAAC8" w:rsidR="00991526" w:rsidRPr="00991526" w:rsidRDefault="00991526" w:rsidP="00991526">
      <w:pPr>
        <w:spacing w:line="360" w:lineRule="auto"/>
        <w:rPr>
          <w:rFonts w:ascii="Arial" w:hAnsi="Arial" w:cs="Arial"/>
        </w:rPr>
      </w:pPr>
      <w:r w:rsidRPr="00991526">
        <w:rPr>
          <w:rFonts w:ascii="Arial" w:hAnsi="Arial" w:cs="Arial"/>
        </w:rPr>
        <w:t>Failure to do so risks a drift into disjointed initiatives, employee frustration, inequities, and ongoing grievances. Conversely, deliberate and coordinated implementation</w:t>
      </w:r>
      <w:r>
        <w:rPr>
          <w:rFonts w:ascii="Arial" w:hAnsi="Arial" w:cs="Arial"/>
        </w:rPr>
        <w:t xml:space="preserve"> </w:t>
      </w:r>
      <w:r w:rsidRPr="00991526">
        <w:rPr>
          <w:rFonts w:ascii="Arial" w:hAnsi="Arial" w:cs="Arial"/>
        </w:rPr>
        <w:t>driven by HR strategy and manager-led execution</w:t>
      </w:r>
      <w:r>
        <w:rPr>
          <w:rFonts w:ascii="Arial" w:hAnsi="Arial" w:cs="Arial"/>
        </w:rPr>
        <w:t xml:space="preserve"> </w:t>
      </w:r>
      <w:r w:rsidRPr="00991526">
        <w:rPr>
          <w:rFonts w:ascii="Arial" w:hAnsi="Arial" w:cs="Arial"/>
        </w:rPr>
        <w:t>can reposition HR as a strategic business partner, enable agile ways of working, and create a more engaged and productive workforce.</w:t>
      </w:r>
    </w:p>
    <w:p w14:paraId="1489C366" w14:textId="77777777" w:rsidR="00991526" w:rsidRPr="00991526" w:rsidRDefault="00991526" w:rsidP="00991526">
      <w:pPr>
        <w:spacing w:line="360" w:lineRule="auto"/>
        <w:rPr>
          <w:rFonts w:ascii="Arial" w:hAnsi="Arial" w:cs="Arial"/>
        </w:rPr>
      </w:pPr>
      <w:r w:rsidRPr="00991526">
        <w:rPr>
          <w:rFonts w:ascii="Arial" w:hAnsi="Arial" w:cs="Arial"/>
          <w:b/>
          <w:bCs/>
          <w:i/>
          <w:iCs/>
          <w:u w:val="single"/>
        </w:rPr>
        <w:t>Recommendations</w:t>
      </w:r>
      <w:r w:rsidRPr="00991526">
        <w:rPr>
          <w:rFonts w:ascii="Arial" w:hAnsi="Arial" w:cs="Arial"/>
        </w:rPr>
        <w:br/>
        <w:t>Based on the findings, the following recommendations are proposed for urgent action at NECTAR HR:</w:t>
      </w:r>
    </w:p>
    <w:p w14:paraId="0419D75B"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t>Establish a Transformation Leadership Group</w:t>
      </w:r>
      <w:r w:rsidRPr="00991526">
        <w:rPr>
          <w:rFonts w:ascii="Arial" w:hAnsi="Arial" w:cs="Arial"/>
        </w:rPr>
        <w:t>: Set up a cross-functional steering group (HR, IT, departmental managers) to oversee business transformation, digital roadmap and flexible working strategy with clear milestones and accountability.</w:t>
      </w:r>
    </w:p>
    <w:p w14:paraId="6E67737B"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t>Assess Current State and Build Roadmap</w:t>
      </w:r>
      <w:r w:rsidRPr="00991526">
        <w:rPr>
          <w:rFonts w:ascii="Arial" w:hAnsi="Arial" w:cs="Arial"/>
        </w:rPr>
        <w:t>: Conduct an organisation-wide audit of current HR processes, technology stack, flexible working practices and grievances; based on that build a roadmap (6-12 months) for digital HR, flexibility policy rollout and workforce transformation.</w:t>
      </w:r>
    </w:p>
    <w:p w14:paraId="11C62315"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t>Deploy Digital HR Platform &amp; Analytics</w:t>
      </w:r>
      <w:r w:rsidRPr="00991526">
        <w:rPr>
          <w:rFonts w:ascii="Arial" w:hAnsi="Arial" w:cs="Arial"/>
        </w:rPr>
        <w:t>: Select and implement an integrated HR tech solution (cloud-based, mobile enabled, analytics-driven) to support self-service, remote/hybrid collaboration, and data-driven decision-making. Set adoption targets for managers and employees.</w:t>
      </w:r>
    </w:p>
    <w:p w14:paraId="793C9798"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t>Design Inclusive Flexible Working Framework</w:t>
      </w:r>
      <w:r w:rsidRPr="00991526">
        <w:rPr>
          <w:rFonts w:ascii="Arial" w:hAnsi="Arial" w:cs="Arial"/>
        </w:rPr>
        <w:t>: Co-create with employees and managers a flexible working policy (including hybrid/remote, flex-hours, job-sharing) that ensures fairness, core-hours/back-to-office rationale, training for managers, and infrastructure support.</w:t>
      </w:r>
    </w:p>
    <w:p w14:paraId="2490A08D"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lastRenderedPageBreak/>
        <w:t>Manager Capability Building</w:t>
      </w:r>
      <w:r w:rsidRPr="00991526">
        <w:rPr>
          <w:rFonts w:ascii="Arial" w:hAnsi="Arial" w:cs="Arial"/>
        </w:rPr>
        <w:t>: Launch targeted manager training on digital HR tools, flexible working leadership, remote team engagement, inclusion and data interpretation. Include transformation metrics in manager performance objectives.</w:t>
      </w:r>
    </w:p>
    <w:p w14:paraId="5B6BFE4A" w14:textId="77777777" w:rsidR="00991526" w:rsidRPr="00991526" w:rsidRDefault="00991526" w:rsidP="00991526">
      <w:pPr>
        <w:numPr>
          <w:ilvl w:val="0"/>
          <w:numId w:val="4"/>
        </w:numPr>
        <w:spacing w:line="360" w:lineRule="auto"/>
        <w:rPr>
          <w:rFonts w:ascii="Arial" w:hAnsi="Arial" w:cs="Arial"/>
        </w:rPr>
      </w:pPr>
      <w:r w:rsidRPr="00991526">
        <w:rPr>
          <w:rFonts w:ascii="Arial" w:hAnsi="Arial" w:cs="Arial"/>
          <w:b/>
          <w:bCs/>
        </w:rPr>
        <w:t>Communication and Change-Management Plan</w:t>
      </w:r>
      <w:r w:rsidRPr="00991526">
        <w:rPr>
          <w:rFonts w:ascii="Arial" w:hAnsi="Arial" w:cs="Arial"/>
        </w:rPr>
        <w:t>: Implement a communication campaign explaining the “why”, “what”, and “how” of the changes; managers should cascade the message, hold team discussions and address concerns.</w:t>
      </w:r>
    </w:p>
    <w:p w14:paraId="3025F50D" w14:textId="77777777" w:rsidR="00991526" w:rsidRDefault="00991526" w:rsidP="00991526">
      <w:pPr>
        <w:spacing w:line="360" w:lineRule="auto"/>
        <w:rPr>
          <w:rFonts w:ascii="Arial" w:hAnsi="Arial" w:cs="Arial"/>
        </w:rPr>
      </w:pPr>
      <w:r w:rsidRPr="00991526">
        <w:rPr>
          <w:rFonts w:ascii="Arial" w:hAnsi="Arial" w:cs="Arial"/>
        </w:rPr>
        <w:t>By executing on these recommendations, NECTAR HR will create an integrated, future-ready HR function, reduce grievances, enhance employee experience and support the broader business transformation agenda. The next step should be for the General Manager and HR leadership to agree on the roadmap and resource plan.</w:t>
      </w:r>
    </w:p>
    <w:p w14:paraId="4A0956E9" w14:textId="77777777" w:rsidR="00991526" w:rsidRDefault="00991526" w:rsidP="00991526">
      <w:pPr>
        <w:spacing w:line="360" w:lineRule="auto"/>
        <w:rPr>
          <w:rFonts w:ascii="Arial" w:hAnsi="Arial" w:cs="Arial"/>
        </w:rPr>
      </w:pPr>
    </w:p>
    <w:p w14:paraId="646B910E" w14:textId="77777777" w:rsidR="00991526" w:rsidRDefault="00991526" w:rsidP="00991526">
      <w:pPr>
        <w:spacing w:line="360" w:lineRule="auto"/>
        <w:rPr>
          <w:rFonts w:ascii="Arial" w:hAnsi="Arial" w:cs="Arial"/>
        </w:rPr>
      </w:pPr>
    </w:p>
    <w:p w14:paraId="1A3FAAEF" w14:textId="77777777" w:rsidR="00991526" w:rsidRDefault="00991526" w:rsidP="00991526">
      <w:pPr>
        <w:spacing w:line="360" w:lineRule="auto"/>
        <w:rPr>
          <w:rFonts w:ascii="Arial" w:hAnsi="Arial" w:cs="Arial"/>
          <w:b/>
          <w:bCs/>
        </w:rPr>
      </w:pPr>
    </w:p>
    <w:p w14:paraId="52720932" w14:textId="77777777" w:rsidR="004442F3" w:rsidRDefault="004442F3" w:rsidP="00991526">
      <w:pPr>
        <w:spacing w:line="360" w:lineRule="auto"/>
        <w:rPr>
          <w:rFonts w:ascii="Arial" w:hAnsi="Arial" w:cs="Arial"/>
          <w:b/>
          <w:bCs/>
        </w:rPr>
      </w:pPr>
    </w:p>
    <w:p w14:paraId="1DA89342" w14:textId="77777777" w:rsidR="004442F3" w:rsidRPr="00991526" w:rsidRDefault="004442F3" w:rsidP="00991526">
      <w:pPr>
        <w:spacing w:line="360" w:lineRule="auto"/>
        <w:rPr>
          <w:rFonts w:ascii="Arial" w:hAnsi="Arial" w:cs="Arial"/>
        </w:rPr>
      </w:pPr>
    </w:p>
    <w:p w14:paraId="7E33D1C9" w14:textId="77777777" w:rsidR="00991526" w:rsidRPr="00405CD9" w:rsidRDefault="00991526" w:rsidP="00405CD9">
      <w:pPr>
        <w:spacing w:line="360" w:lineRule="auto"/>
        <w:rPr>
          <w:rFonts w:ascii="Arial" w:hAnsi="Arial" w:cs="Arial"/>
        </w:rPr>
      </w:pPr>
    </w:p>
    <w:p w14:paraId="281D4BB0" w14:textId="77777777" w:rsidR="00E77B48" w:rsidRPr="00E77B48" w:rsidRDefault="00E77B48" w:rsidP="00E77B48">
      <w:pPr>
        <w:spacing w:line="360" w:lineRule="auto"/>
        <w:rPr>
          <w:rFonts w:ascii="Arial" w:hAnsi="Arial" w:cs="Arial"/>
        </w:rPr>
      </w:pPr>
    </w:p>
    <w:p w14:paraId="0487A184" w14:textId="53F9E078" w:rsidR="00E77B48" w:rsidRPr="00E77B48" w:rsidRDefault="00E77B48" w:rsidP="00E77B48">
      <w:pPr>
        <w:spacing w:line="360" w:lineRule="auto"/>
        <w:rPr>
          <w:rFonts w:ascii="Arial" w:hAnsi="Arial" w:cs="Arial"/>
        </w:rPr>
      </w:pPr>
    </w:p>
    <w:p w14:paraId="255414B7" w14:textId="77777777" w:rsidR="00E77B48" w:rsidRDefault="00E77B48" w:rsidP="00FE666A">
      <w:pPr>
        <w:spacing w:line="360" w:lineRule="auto"/>
        <w:rPr>
          <w:rFonts w:ascii="Arial" w:hAnsi="Arial" w:cs="Arial"/>
          <w:b/>
          <w:bCs/>
          <w:i/>
          <w:iCs/>
          <w:u w:val="single"/>
        </w:rPr>
      </w:pPr>
    </w:p>
    <w:p w14:paraId="699274AD" w14:textId="77777777" w:rsidR="00821A8C" w:rsidRDefault="00821A8C" w:rsidP="00FE666A">
      <w:pPr>
        <w:spacing w:line="360" w:lineRule="auto"/>
        <w:rPr>
          <w:rFonts w:ascii="Arial" w:hAnsi="Arial" w:cs="Arial"/>
          <w:b/>
          <w:bCs/>
          <w:i/>
          <w:iCs/>
          <w:u w:val="single"/>
        </w:rPr>
      </w:pPr>
    </w:p>
    <w:p w14:paraId="3765FC66" w14:textId="77777777" w:rsidR="004442F3" w:rsidRDefault="004442F3" w:rsidP="00FE666A">
      <w:pPr>
        <w:spacing w:line="360" w:lineRule="auto"/>
        <w:rPr>
          <w:rFonts w:ascii="Arial" w:hAnsi="Arial" w:cs="Arial"/>
          <w:b/>
          <w:bCs/>
          <w:i/>
          <w:iCs/>
          <w:u w:val="single"/>
        </w:rPr>
      </w:pPr>
    </w:p>
    <w:p w14:paraId="705B8FCF" w14:textId="77777777" w:rsidR="004442F3" w:rsidRDefault="004442F3" w:rsidP="00FE666A">
      <w:pPr>
        <w:spacing w:line="360" w:lineRule="auto"/>
        <w:rPr>
          <w:rFonts w:ascii="Arial" w:hAnsi="Arial" w:cs="Arial"/>
          <w:b/>
          <w:bCs/>
          <w:i/>
          <w:iCs/>
          <w:u w:val="single"/>
        </w:rPr>
      </w:pPr>
    </w:p>
    <w:p w14:paraId="01407C58" w14:textId="77777777" w:rsidR="004442F3" w:rsidRDefault="004442F3" w:rsidP="00FE666A">
      <w:pPr>
        <w:spacing w:line="360" w:lineRule="auto"/>
        <w:rPr>
          <w:rFonts w:ascii="Arial" w:hAnsi="Arial" w:cs="Arial"/>
          <w:b/>
          <w:bCs/>
          <w:i/>
          <w:iCs/>
          <w:u w:val="single"/>
        </w:rPr>
      </w:pPr>
    </w:p>
    <w:p w14:paraId="68A0C059" w14:textId="77777777" w:rsidR="004442F3" w:rsidRDefault="004442F3" w:rsidP="00FE666A">
      <w:pPr>
        <w:spacing w:line="360" w:lineRule="auto"/>
        <w:rPr>
          <w:rFonts w:ascii="Arial" w:hAnsi="Arial" w:cs="Arial"/>
          <w:b/>
          <w:bCs/>
          <w:i/>
          <w:iCs/>
          <w:u w:val="single"/>
        </w:rPr>
      </w:pPr>
    </w:p>
    <w:p w14:paraId="6FEA8D49" w14:textId="77777777" w:rsidR="004442F3" w:rsidRDefault="004442F3" w:rsidP="00FE666A">
      <w:pPr>
        <w:spacing w:line="360" w:lineRule="auto"/>
        <w:rPr>
          <w:rFonts w:ascii="Arial" w:hAnsi="Arial" w:cs="Arial"/>
          <w:b/>
          <w:bCs/>
          <w:i/>
          <w:iCs/>
          <w:u w:val="single"/>
        </w:rPr>
      </w:pPr>
    </w:p>
    <w:p w14:paraId="3B85FDEC" w14:textId="77777777" w:rsidR="004442F3" w:rsidRDefault="004442F3" w:rsidP="00FE666A">
      <w:pPr>
        <w:spacing w:line="360" w:lineRule="auto"/>
        <w:rPr>
          <w:rFonts w:ascii="Arial" w:hAnsi="Arial" w:cs="Arial"/>
          <w:b/>
          <w:bCs/>
          <w:i/>
          <w:iCs/>
          <w:u w:val="single"/>
        </w:rPr>
      </w:pPr>
    </w:p>
    <w:p w14:paraId="0D7D2835" w14:textId="77777777" w:rsidR="004442F3" w:rsidRDefault="004442F3" w:rsidP="00FE666A">
      <w:pPr>
        <w:spacing w:line="360" w:lineRule="auto"/>
        <w:rPr>
          <w:rFonts w:ascii="Arial" w:hAnsi="Arial" w:cs="Arial"/>
          <w:b/>
          <w:bCs/>
          <w:i/>
          <w:iCs/>
          <w:u w:val="single"/>
        </w:rPr>
      </w:pPr>
    </w:p>
    <w:p w14:paraId="5B000EBF" w14:textId="77777777" w:rsidR="004442F3" w:rsidRDefault="004442F3" w:rsidP="00FE666A">
      <w:pPr>
        <w:spacing w:line="360" w:lineRule="auto"/>
        <w:rPr>
          <w:rFonts w:ascii="Arial" w:hAnsi="Arial" w:cs="Arial"/>
          <w:b/>
          <w:bCs/>
          <w:i/>
          <w:iCs/>
          <w:u w:val="single"/>
        </w:rPr>
      </w:pPr>
    </w:p>
    <w:p w14:paraId="12A27D0B" w14:textId="3D8DF0B9" w:rsidR="004442F3" w:rsidRDefault="004442F3" w:rsidP="00FE666A">
      <w:pPr>
        <w:spacing w:line="360" w:lineRule="auto"/>
        <w:rPr>
          <w:rFonts w:ascii="Arial" w:hAnsi="Arial" w:cs="Arial"/>
          <w:b/>
          <w:bCs/>
          <w:i/>
          <w:iCs/>
          <w:u w:val="single"/>
        </w:rPr>
      </w:pPr>
      <w:r w:rsidRPr="004442F3">
        <w:rPr>
          <w:rFonts w:ascii="Arial" w:hAnsi="Arial" w:cs="Arial"/>
          <w:b/>
          <w:bCs/>
          <w:i/>
          <w:iCs/>
          <w:u w:val="single"/>
        </w:rPr>
        <w:lastRenderedPageBreak/>
        <w:t>References</w:t>
      </w:r>
    </w:p>
    <w:p w14:paraId="275178B7" w14:textId="77777777" w:rsidR="002F5803" w:rsidRDefault="002F5803" w:rsidP="00200D61">
      <w:pPr>
        <w:pStyle w:val="NormalWeb"/>
        <w:numPr>
          <w:ilvl w:val="0"/>
          <w:numId w:val="7"/>
        </w:numPr>
        <w:spacing w:before="0" w:beforeAutospacing="0" w:after="240" w:afterAutospacing="0" w:line="360" w:lineRule="auto"/>
      </w:pPr>
      <w:r>
        <w:t xml:space="preserve">Burdic, H.A. (1961). Inter Relationship of Three Measures of Motivation. </w:t>
      </w:r>
      <w:r>
        <w:rPr>
          <w:i/>
          <w:iCs/>
        </w:rPr>
        <w:t>Psychological Reports</w:t>
      </w:r>
      <w:r>
        <w:t>, 8(2), p.225.</w:t>
      </w:r>
    </w:p>
    <w:p w14:paraId="7FFF8C0D" w14:textId="1A7ACC07" w:rsidR="00D94254" w:rsidRDefault="00D94254" w:rsidP="00200D61">
      <w:pPr>
        <w:pStyle w:val="NormalWeb"/>
        <w:numPr>
          <w:ilvl w:val="0"/>
          <w:numId w:val="7"/>
        </w:numPr>
        <w:spacing w:before="0" w:beforeAutospacing="0" w:after="240" w:afterAutospacing="0" w:line="360" w:lineRule="auto"/>
      </w:pPr>
      <w:r>
        <w:t xml:space="preserve">Burnett, K. (2011). </w:t>
      </w:r>
      <w:r>
        <w:rPr>
          <w:i/>
          <w:iCs/>
        </w:rPr>
        <w:t xml:space="preserve">Practical Contact </w:t>
      </w:r>
      <w:r>
        <w:rPr>
          <w:i/>
          <w:iCs/>
        </w:rPr>
        <w:t>Centre</w:t>
      </w:r>
      <w:r>
        <w:rPr>
          <w:i/>
          <w:iCs/>
        </w:rPr>
        <w:t xml:space="preserve"> Collaboration</w:t>
      </w:r>
      <w:r>
        <w:t>. Dorrance Publishing.</w:t>
      </w:r>
    </w:p>
    <w:p w14:paraId="22CFCFFE" w14:textId="77777777" w:rsidR="00D94254" w:rsidRDefault="00D94254" w:rsidP="00200D61">
      <w:pPr>
        <w:pStyle w:val="NormalWeb"/>
        <w:numPr>
          <w:ilvl w:val="0"/>
          <w:numId w:val="7"/>
        </w:numPr>
        <w:spacing w:before="0" w:beforeAutospacing="0" w:after="240" w:afterAutospacing="0" w:line="360" w:lineRule="auto"/>
      </w:pPr>
      <w:r>
        <w:t xml:space="preserve">Dr Wade Larson (2021). </w:t>
      </w:r>
      <w:r>
        <w:rPr>
          <w:i/>
          <w:iCs/>
        </w:rPr>
        <w:t>HR Transformation</w:t>
      </w:r>
      <w:r>
        <w:t>. Beekeeper.</w:t>
      </w:r>
    </w:p>
    <w:p w14:paraId="178804ED" w14:textId="77777777" w:rsidR="00C7753C" w:rsidRDefault="00C7753C" w:rsidP="00200D61">
      <w:pPr>
        <w:pStyle w:val="NormalWeb"/>
        <w:numPr>
          <w:ilvl w:val="0"/>
          <w:numId w:val="7"/>
        </w:numPr>
        <w:spacing w:before="0" w:beforeAutospacing="0" w:after="240" w:afterAutospacing="0" w:line="360" w:lineRule="auto"/>
      </w:pPr>
      <w:r>
        <w:t xml:space="preserve">Gartner, A. (2024). </w:t>
      </w:r>
      <w:r>
        <w:rPr>
          <w:i/>
          <w:iCs/>
        </w:rPr>
        <w:t>HR Transformation: What Is It &amp; How CHROs Can Get Started.</w:t>
      </w:r>
      <w:r>
        <w:t xml:space="preserve"> Gartner.</w:t>
      </w:r>
    </w:p>
    <w:p w14:paraId="774511B0" w14:textId="77777777" w:rsidR="00C7753C" w:rsidRDefault="00C7753C" w:rsidP="00200D61">
      <w:pPr>
        <w:pStyle w:val="NormalWeb"/>
        <w:numPr>
          <w:ilvl w:val="0"/>
          <w:numId w:val="7"/>
        </w:numPr>
        <w:spacing w:before="0" w:beforeAutospacing="0" w:after="240" w:afterAutospacing="0" w:line="360" w:lineRule="auto"/>
      </w:pPr>
      <w:r>
        <w:t xml:space="preserve">Gunderson, K., Holmes, R. and Loisel, J. (2020). Recent Digital Technology Trends in Geoscience Teaching and Practice. </w:t>
      </w:r>
      <w:r>
        <w:rPr>
          <w:i/>
          <w:iCs/>
        </w:rPr>
        <w:t>GSA Today</w:t>
      </w:r>
      <w:r>
        <w:t>, 30(1), pp.39–41.</w:t>
      </w:r>
    </w:p>
    <w:p w14:paraId="56702E39" w14:textId="77777777" w:rsidR="00ED26FA" w:rsidRDefault="00ED26FA" w:rsidP="00200D61">
      <w:pPr>
        <w:pStyle w:val="NormalWeb"/>
        <w:numPr>
          <w:ilvl w:val="0"/>
          <w:numId w:val="7"/>
        </w:numPr>
        <w:spacing w:before="0" w:beforeAutospacing="0" w:after="240" w:afterAutospacing="0" w:line="360" w:lineRule="auto"/>
      </w:pPr>
      <w:r>
        <w:t xml:space="preserve">Hasan, M. (2024). </w:t>
      </w:r>
      <w:r>
        <w:rPr>
          <w:i/>
          <w:iCs/>
        </w:rPr>
        <w:t>The Digital Evolution of Human Resources Tools, Trends, and Technologies</w:t>
      </w:r>
      <w:r>
        <w:t>. Notion Press.</w:t>
      </w:r>
    </w:p>
    <w:p w14:paraId="2EAB467F" w14:textId="094319C3" w:rsidR="00ED26FA" w:rsidRDefault="00ED26FA" w:rsidP="00200D61">
      <w:pPr>
        <w:pStyle w:val="NormalWeb"/>
        <w:numPr>
          <w:ilvl w:val="0"/>
          <w:numId w:val="7"/>
        </w:numPr>
        <w:spacing w:before="0" w:beforeAutospacing="0" w:after="240" w:afterAutospacing="0" w:line="360" w:lineRule="auto"/>
      </w:pPr>
      <w:r>
        <w:t xml:space="preserve">Koning, R. and Ferguson, J.-P. (2019). Does Public Ownership and Accountability Increase </w:t>
      </w:r>
      <w:r>
        <w:t>Diversity?</w:t>
      </w:r>
      <w:r>
        <w:t xml:space="preserve"> Evidence from IPOs. </w:t>
      </w:r>
      <w:r>
        <w:rPr>
          <w:i/>
          <w:iCs/>
        </w:rPr>
        <w:t>SSRN Electronic Journal</w:t>
      </w:r>
      <w:r>
        <w:t xml:space="preserve">, 6(4). </w:t>
      </w:r>
      <w:proofErr w:type="spellStart"/>
      <w:r>
        <w:t>doi</w:t>
      </w:r>
      <w:proofErr w:type="spellEnd"/>
      <w:r>
        <w:t xml:space="preserve">: </w:t>
      </w:r>
      <w:hyperlink r:id="rId7" w:history="1">
        <w:r w:rsidRPr="008214FB">
          <w:rPr>
            <w:rStyle w:val="Hyperlink"/>
          </w:rPr>
          <w:t>https://doi.org/10.2139/ssrn.3316178</w:t>
        </w:r>
      </w:hyperlink>
      <w:r>
        <w:t>.</w:t>
      </w:r>
    </w:p>
    <w:p w14:paraId="10C76DDD" w14:textId="77777777" w:rsidR="000C6912" w:rsidRDefault="000C6912" w:rsidP="00200D61">
      <w:pPr>
        <w:pStyle w:val="NormalWeb"/>
        <w:numPr>
          <w:ilvl w:val="0"/>
          <w:numId w:val="7"/>
        </w:numPr>
        <w:spacing w:before="0" w:beforeAutospacing="0" w:after="240" w:afterAutospacing="0" w:line="360" w:lineRule="auto"/>
      </w:pPr>
      <w:proofErr w:type="spellStart"/>
      <w:r>
        <w:t>Septiadi</w:t>
      </w:r>
      <w:proofErr w:type="spellEnd"/>
      <w:r>
        <w:t xml:space="preserve">, M.A. and Ramdani, Z. (2024). </w:t>
      </w:r>
      <w:r>
        <w:rPr>
          <w:i/>
          <w:iCs/>
        </w:rPr>
        <w:t>Competency-Based Human Resources (HR) Development in the Digital Era</w:t>
      </w:r>
      <w:r>
        <w:t>. ResearchGate.</w:t>
      </w:r>
    </w:p>
    <w:p w14:paraId="285891F4" w14:textId="1AF9FA6E" w:rsidR="00ED26FA" w:rsidRDefault="000C6912" w:rsidP="00200D61">
      <w:pPr>
        <w:pStyle w:val="NormalWeb"/>
        <w:numPr>
          <w:ilvl w:val="0"/>
          <w:numId w:val="7"/>
        </w:numPr>
        <w:spacing w:before="0" w:beforeAutospacing="0" w:after="240" w:afterAutospacing="0" w:line="360" w:lineRule="auto"/>
      </w:pPr>
      <w:r w:rsidRPr="000C6912">
        <w:t>Society for Human Resource Management. (2024). Managing Flexible Work Arrangements. Shrm.org.</w:t>
      </w:r>
    </w:p>
    <w:p w14:paraId="53AA7F0E" w14:textId="63FE91E2" w:rsidR="000C6912" w:rsidRPr="000C6912" w:rsidRDefault="000C6912" w:rsidP="00200D61">
      <w:pPr>
        <w:pStyle w:val="NormalWeb"/>
        <w:numPr>
          <w:ilvl w:val="0"/>
          <w:numId w:val="7"/>
        </w:numPr>
      </w:pPr>
      <w:r w:rsidRPr="000C6912">
        <w:t xml:space="preserve">Utah, L. (2016). </w:t>
      </w:r>
      <w:r w:rsidRPr="000C6912">
        <w:rPr>
          <w:i/>
          <w:iCs/>
        </w:rPr>
        <w:t>NECTAR HR LIMITED Overview - Find and Update Company Information - GOV.UK</w:t>
      </w:r>
      <w:r w:rsidRPr="000C6912">
        <w:t xml:space="preserve">.Service.gov.uk. </w:t>
      </w:r>
    </w:p>
    <w:p w14:paraId="0F7CC9D7" w14:textId="77777777" w:rsidR="000C6912" w:rsidRDefault="000C6912" w:rsidP="00ED26FA">
      <w:pPr>
        <w:pStyle w:val="NormalWeb"/>
        <w:spacing w:before="0" w:beforeAutospacing="0" w:after="240" w:afterAutospacing="0" w:line="360" w:lineRule="auto"/>
      </w:pPr>
    </w:p>
    <w:p w14:paraId="388C4176" w14:textId="77777777" w:rsidR="00ED26FA" w:rsidRDefault="00ED26FA" w:rsidP="00ED26FA">
      <w:pPr>
        <w:pStyle w:val="NormalWeb"/>
        <w:spacing w:before="0" w:beforeAutospacing="0" w:after="240" w:afterAutospacing="0" w:line="360" w:lineRule="auto"/>
      </w:pPr>
    </w:p>
    <w:p w14:paraId="70CF6D74" w14:textId="77777777" w:rsidR="004442F3" w:rsidRPr="004442F3" w:rsidRDefault="004442F3" w:rsidP="00ED26FA">
      <w:pPr>
        <w:pStyle w:val="ListParagraph"/>
        <w:spacing w:line="360" w:lineRule="auto"/>
        <w:rPr>
          <w:rFonts w:ascii="Arial" w:hAnsi="Arial" w:cs="Arial"/>
          <w:b/>
          <w:bCs/>
          <w:i/>
          <w:iCs/>
          <w:u w:val="single"/>
        </w:rPr>
      </w:pPr>
    </w:p>
    <w:sectPr w:rsidR="004442F3" w:rsidRPr="004442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B2C1C" w14:textId="77777777" w:rsidR="0028303F" w:rsidRDefault="0028303F" w:rsidP="0028303F">
      <w:pPr>
        <w:spacing w:after="0" w:line="240" w:lineRule="auto"/>
      </w:pPr>
      <w:r>
        <w:separator/>
      </w:r>
    </w:p>
  </w:endnote>
  <w:endnote w:type="continuationSeparator" w:id="0">
    <w:p w14:paraId="4DE5D18A" w14:textId="77777777" w:rsidR="0028303F" w:rsidRDefault="0028303F" w:rsidP="00283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942788"/>
      <w:docPartObj>
        <w:docPartGallery w:val="Page Numbers (Bottom of Page)"/>
        <w:docPartUnique/>
      </w:docPartObj>
    </w:sdtPr>
    <w:sdtEndPr>
      <w:rPr>
        <w:noProof/>
      </w:rPr>
    </w:sdtEndPr>
    <w:sdtContent>
      <w:p w14:paraId="695924C4" w14:textId="21F07F36" w:rsidR="0028303F" w:rsidRDefault="002830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1B7B22" w14:textId="77777777" w:rsidR="0028303F" w:rsidRDefault="00283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3B811" w14:textId="77777777" w:rsidR="0028303F" w:rsidRDefault="0028303F" w:rsidP="0028303F">
      <w:pPr>
        <w:spacing w:after="0" w:line="240" w:lineRule="auto"/>
      </w:pPr>
      <w:r>
        <w:separator/>
      </w:r>
    </w:p>
  </w:footnote>
  <w:footnote w:type="continuationSeparator" w:id="0">
    <w:p w14:paraId="27D7DC26" w14:textId="77777777" w:rsidR="0028303F" w:rsidRDefault="0028303F" w:rsidP="00283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555E5"/>
    <w:multiLevelType w:val="hybridMultilevel"/>
    <w:tmpl w:val="E2D004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C1A75"/>
    <w:multiLevelType w:val="multilevel"/>
    <w:tmpl w:val="634A7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C0F9C"/>
    <w:multiLevelType w:val="hybridMultilevel"/>
    <w:tmpl w:val="F7E491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82452"/>
    <w:multiLevelType w:val="hybridMultilevel"/>
    <w:tmpl w:val="303853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3457C"/>
    <w:multiLevelType w:val="hybridMultilevel"/>
    <w:tmpl w:val="D338BC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055EA"/>
    <w:multiLevelType w:val="hybridMultilevel"/>
    <w:tmpl w:val="5DACFB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92DA2"/>
    <w:multiLevelType w:val="multilevel"/>
    <w:tmpl w:val="A0BCF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9763606">
    <w:abstractNumId w:val="3"/>
  </w:num>
  <w:num w:numId="2" w16cid:durableId="1305431568">
    <w:abstractNumId w:val="2"/>
  </w:num>
  <w:num w:numId="3" w16cid:durableId="402723061">
    <w:abstractNumId w:val="4"/>
  </w:num>
  <w:num w:numId="4" w16cid:durableId="1945259757">
    <w:abstractNumId w:val="6"/>
  </w:num>
  <w:num w:numId="5" w16cid:durableId="183401841">
    <w:abstractNumId w:val="1"/>
  </w:num>
  <w:num w:numId="6" w16cid:durableId="1013192214">
    <w:abstractNumId w:val="0"/>
  </w:num>
  <w:num w:numId="7" w16cid:durableId="623577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03F"/>
    <w:rsid w:val="000530D6"/>
    <w:rsid w:val="00077CA5"/>
    <w:rsid w:val="000C6912"/>
    <w:rsid w:val="000F5B29"/>
    <w:rsid w:val="00153F2A"/>
    <w:rsid w:val="001A316D"/>
    <w:rsid w:val="001A605C"/>
    <w:rsid w:val="00200D61"/>
    <w:rsid w:val="0028303F"/>
    <w:rsid w:val="002F5803"/>
    <w:rsid w:val="003358C9"/>
    <w:rsid w:val="00365555"/>
    <w:rsid w:val="003A3468"/>
    <w:rsid w:val="00405CD9"/>
    <w:rsid w:val="00421022"/>
    <w:rsid w:val="004442F3"/>
    <w:rsid w:val="00597F8D"/>
    <w:rsid w:val="00650FEE"/>
    <w:rsid w:val="006657B2"/>
    <w:rsid w:val="006D6C8C"/>
    <w:rsid w:val="00821A8C"/>
    <w:rsid w:val="00925005"/>
    <w:rsid w:val="00956BAD"/>
    <w:rsid w:val="00991526"/>
    <w:rsid w:val="009953A5"/>
    <w:rsid w:val="00AC3682"/>
    <w:rsid w:val="00B4489A"/>
    <w:rsid w:val="00B97A8A"/>
    <w:rsid w:val="00C7753C"/>
    <w:rsid w:val="00D94254"/>
    <w:rsid w:val="00E135BA"/>
    <w:rsid w:val="00E1366C"/>
    <w:rsid w:val="00E54DF6"/>
    <w:rsid w:val="00E77B48"/>
    <w:rsid w:val="00E81C18"/>
    <w:rsid w:val="00ED26FA"/>
    <w:rsid w:val="00F338B7"/>
    <w:rsid w:val="00F50148"/>
    <w:rsid w:val="00FE49CA"/>
    <w:rsid w:val="00FE6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8BD24"/>
  <w15:chartTrackingRefBased/>
  <w15:docId w15:val="{C44F0A23-69E8-4BEB-A96B-7F3178E6E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CD9"/>
  </w:style>
  <w:style w:type="paragraph" w:styleId="Heading1">
    <w:name w:val="heading 1"/>
    <w:basedOn w:val="Normal"/>
    <w:next w:val="Normal"/>
    <w:link w:val="Heading1Char"/>
    <w:uiPriority w:val="9"/>
    <w:qFormat/>
    <w:rsid w:val="00283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03F"/>
    <w:rPr>
      <w:rFonts w:eastAsiaTheme="majorEastAsia" w:cstheme="majorBidi"/>
      <w:color w:val="272727" w:themeColor="text1" w:themeTint="D8"/>
    </w:rPr>
  </w:style>
  <w:style w:type="paragraph" w:styleId="Title">
    <w:name w:val="Title"/>
    <w:basedOn w:val="Normal"/>
    <w:next w:val="Normal"/>
    <w:link w:val="TitleChar"/>
    <w:uiPriority w:val="10"/>
    <w:qFormat/>
    <w:rsid w:val="00283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03F"/>
    <w:pPr>
      <w:spacing w:before="160"/>
      <w:jc w:val="center"/>
    </w:pPr>
    <w:rPr>
      <w:i/>
      <w:iCs/>
      <w:color w:val="404040" w:themeColor="text1" w:themeTint="BF"/>
    </w:rPr>
  </w:style>
  <w:style w:type="character" w:customStyle="1" w:styleId="QuoteChar">
    <w:name w:val="Quote Char"/>
    <w:basedOn w:val="DefaultParagraphFont"/>
    <w:link w:val="Quote"/>
    <w:uiPriority w:val="29"/>
    <w:rsid w:val="0028303F"/>
    <w:rPr>
      <w:i/>
      <w:iCs/>
      <w:color w:val="404040" w:themeColor="text1" w:themeTint="BF"/>
    </w:rPr>
  </w:style>
  <w:style w:type="paragraph" w:styleId="ListParagraph">
    <w:name w:val="List Paragraph"/>
    <w:basedOn w:val="Normal"/>
    <w:uiPriority w:val="34"/>
    <w:qFormat/>
    <w:rsid w:val="0028303F"/>
    <w:pPr>
      <w:ind w:left="720"/>
      <w:contextualSpacing/>
    </w:pPr>
  </w:style>
  <w:style w:type="character" w:styleId="IntenseEmphasis">
    <w:name w:val="Intense Emphasis"/>
    <w:basedOn w:val="DefaultParagraphFont"/>
    <w:uiPriority w:val="21"/>
    <w:qFormat/>
    <w:rsid w:val="0028303F"/>
    <w:rPr>
      <w:i/>
      <w:iCs/>
      <w:color w:val="0F4761" w:themeColor="accent1" w:themeShade="BF"/>
    </w:rPr>
  </w:style>
  <w:style w:type="paragraph" w:styleId="IntenseQuote">
    <w:name w:val="Intense Quote"/>
    <w:basedOn w:val="Normal"/>
    <w:next w:val="Normal"/>
    <w:link w:val="IntenseQuoteChar"/>
    <w:uiPriority w:val="30"/>
    <w:qFormat/>
    <w:rsid w:val="00283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03F"/>
    <w:rPr>
      <w:i/>
      <w:iCs/>
      <w:color w:val="0F4761" w:themeColor="accent1" w:themeShade="BF"/>
    </w:rPr>
  </w:style>
  <w:style w:type="character" w:styleId="IntenseReference">
    <w:name w:val="Intense Reference"/>
    <w:basedOn w:val="DefaultParagraphFont"/>
    <w:uiPriority w:val="32"/>
    <w:qFormat/>
    <w:rsid w:val="0028303F"/>
    <w:rPr>
      <w:b/>
      <w:bCs/>
      <w:smallCaps/>
      <w:color w:val="0F4761" w:themeColor="accent1" w:themeShade="BF"/>
      <w:spacing w:val="5"/>
    </w:rPr>
  </w:style>
  <w:style w:type="table" w:styleId="TableGrid">
    <w:name w:val="Table Grid"/>
    <w:basedOn w:val="TableNormal"/>
    <w:uiPriority w:val="39"/>
    <w:rsid w:val="00283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3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03F"/>
  </w:style>
  <w:style w:type="paragraph" w:styleId="Footer">
    <w:name w:val="footer"/>
    <w:basedOn w:val="Normal"/>
    <w:link w:val="FooterChar"/>
    <w:uiPriority w:val="99"/>
    <w:unhideWhenUsed/>
    <w:rsid w:val="00283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03F"/>
  </w:style>
  <w:style w:type="character" w:styleId="Hyperlink">
    <w:name w:val="Hyperlink"/>
    <w:basedOn w:val="DefaultParagraphFont"/>
    <w:uiPriority w:val="99"/>
    <w:unhideWhenUsed/>
    <w:rsid w:val="00E77B48"/>
    <w:rPr>
      <w:color w:val="467886" w:themeColor="hyperlink"/>
      <w:u w:val="single"/>
    </w:rPr>
  </w:style>
  <w:style w:type="character" w:styleId="UnresolvedMention">
    <w:name w:val="Unresolved Mention"/>
    <w:basedOn w:val="DefaultParagraphFont"/>
    <w:uiPriority w:val="99"/>
    <w:semiHidden/>
    <w:unhideWhenUsed/>
    <w:rsid w:val="00E77B48"/>
    <w:rPr>
      <w:color w:val="605E5C"/>
      <w:shd w:val="clear" w:color="auto" w:fill="E1DFDD"/>
    </w:rPr>
  </w:style>
  <w:style w:type="paragraph" w:styleId="NormalWeb">
    <w:name w:val="Normal (Web)"/>
    <w:basedOn w:val="Normal"/>
    <w:uiPriority w:val="99"/>
    <w:semiHidden/>
    <w:unhideWhenUsed/>
    <w:rsid w:val="002F58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2139/ssrn.33161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3536</TotalTime>
  <Pages>10</Pages>
  <Words>2768</Words>
  <Characters>15782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27</cp:revision>
  <dcterms:created xsi:type="dcterms:W3CDTF">2025-11-04T22:34:00Z</dcterms:created>
  <dcterms:modified xsi:type="dcterms:W3CDTF">2025-11-18T22:12:00Z</dcterms:modified>
</cp:coreProperties>
</file>