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437A22" w14:textId="4106DB7A" w:rsidR="00701798" w:rsidRPr="00F105EF" w:rsidRDefault="00701798" w:rsidP="00B44406">
      <w:pPr>
        <w:spacing w:after="0"/>
        <w:jc w:val="center"/>
        <w:rPr>
          <w:b/>
          <w:bCs/>
          <w:u w:val="single"/>
        </w:rPr>
      </w:pPr>
      <w:r w:rsidRPr="00F105EF">
        <w:rPr>
          <w:b/>
          <w:bCs/>
          <w:u w:val="single"/>
        </w:rPr>
        <w:t>A Critical Reflection on Conducting Research into the Hydration Knowledge, Attitudes and Behaviours of Tennis Players</w:t>
      </w:r>
    </w:p>
    <w:p w14:paraId="16FB0985" w14:textId="77777777" w:rsidR="00701798" w:rsidRDefault="00701798" w:rsidP="00B44406">
      <w:pPr>
        <w:spacing w:after="0"/>
      </w:pPr>
    </w:p>
    <w:p w14:paraId="65435012" w14:textId="0760CA51" w:rsidR="00701798" w:rsidRDefault="00701798" w:rsidP="00B44406">
      <w:pPr>
        <w:spacing w:after="0"/>
        <w:rPr>
          <w:u w:val="single"/>
        </w:rPr>
      </w:pPr>
      <w:r w:rsidRPr="00701798">
        <w:rPr>
          <w:u w:val="single"/>
        </w:rPr>
        <w:t>Alignment</w:t>
      </w:r>
    </w:p>
    <w:p w14:paraId="3BBE5B4F" w14:textId="59A30AE8" w:rsidR="007D636B" w:rsidRDefault="00F95967" w:rsidP="00B44406">
      <w:pPr>
        <w:spacing w:after="0"/>
      </w:pPr>
      <w:r>
        <w:t>A r</w:t>
      </w:r>
      <w:r w:rsidR="00701798" w:rsidRPr="006C32C0">
        <w:t xml:space="preserve">eview of the literature found that hydration practices amongst athletes </w:t>
      </w:r>
      <w:r w:rsidR="00FA701B" w:rsidRPr="006C32C0">
        <w:t xml:space="preserve">in all sports including tennis </w:t>
      </w:r>
      <w:r w:rsidR="00701798" w:rsidRPr="006C32C0">
        <w:t xml:space="preserve">was </w:t>
      </w:r>
      <w:r w:rsidR="00FA701B" w:rsidRPr="006C32C0">
        <w:t>sub</w:t>
      </w:r>
      <w:r w:rsidR="00701798" w:rsidRPr="006C32C0">
        <w:t>optimal</w:t>
      </w:r>
      <w:r w:rsidR="00FA701B" w:rsidRPr="006C32C0">
        <w:t xml:space="preserve">, </w:t>
      </w:r>
      <w:r w:rsidR="00D970C9" w:rsidRPr="006C32C0">
        <w:t>(</w:t>
      </w:r>
      <w:r w:rsidR="004B53E9">
        <w:t xml:space="preserve">Nichols </w:t>
      </w:r>
      <w:r w:rsidR="004B53E9" w:rsidRPr="00C8113C">
        <w:rPr>
          <w:i/>
          <w:iCs/>
        </w:rPr>
        <w:t>et al</w:t>
      </w:r>
      <w:r w:rsidR="00C8113C">
        <w:rPr>
          <w:i/>
          <w:iCs/>
        </w:rPr>
        <w:t>.,</w:t>
      </w:r>
      <w:r w:rsidR="004B53E9">
        <w:t xml:space="preserve"> 2005 and </w:t>
      </w:r>
      <w:r w:rsidR="00C8113C">
        <w:t>S</w:t>
      </w:r>
      <w:r w:rsidR="004B53E9">
        <w:t xml:space="preserve">ong </w:t>
      </w:r>
      <w:r w:rsidR="004B53E9" w:rsidRPr="00C8113C">
        <w:rPr>
          <w:i/>
          <w:iCs/>
        </w:rPr>
        <w:t>et al</w:t>
      </w:r>
      <w:r w:rsidR="00C8113C">
        <w:rPr>
          <w:i/>
          <w:iCs/>
        </w:rPr>
        <w:t>.,</w:t>
      </w:r>
      <w:r w:rsidR="004B53E9">
        <w:t xml:space="preserve"> 2022</w:t>
      </w:r>
      <w:r w:rsidR="00D970C9" w:rsidRPr="006C32C0">
        <w:t>)</w:t>
      </w:r>
      <w:r w:rsidR="00083AF5">
        <w:t xml:space="preserve">. </w:t>
      </w:r>
      <w:r w:rsidR="00150A0A">
        <w:t xml:space="preserve">With many studies </w:t>
      </w:r>
      <w:r w:rsidR="00701798" w:rsidRPr="006C32C0">
        <w:t>identif</w:t>
      </w:r>
      <w:r w:rsidR="00762BC4">
        <w:t>ying hypohydration</w:t>
      </w:r>
      <w:r w:rsidR="00701798" w:rsidRPr="006C32C0">
        <w:t xml:space="preserve"> as causing a decrease in cognitive function, hand to eye coordination and an increase in heart rate and fatigue</w:t>
      </w:r>
      <w:r w:rsidR="00FA701B" w:rsidRPr="006C32C0">
        <w:t>, all of which affect</w:t>
      </w:r>
      <w:r w:rsidR="00762BC4">
        <w:t>s</w:t>
      </w:r>
      <w:r w:rsidR="00FA701B" w:rsidRPr="006C32C0">
        <w:t xml:space="preserve"> the performance of a tennis player</w:t>
      </w:r>
      <w:r w:rsidR="00993C2F" w:rsidRPr="006C32C0">
        <w:t>, (</w:t>
      </w:r>
      <w:proofErr w:type="spellStart"/>
      <w:r w:rsidR="004B53E9">
        <w:t>Gigou</w:t>
      </w:r>
      <w:proofErr w:type="spellEnd"/>
      <w:r w:rsidR="004B53E9">
        <w:t xml:space="preserve"> </w:t>
      </w:r>
      <w:r w:rsidR="004B53E9" w:rsidRPr="000135F7">
        <w:rPr>
          <w:i/>
          <w:iCs/>
        </w:rPr>
        <w:t>et al</w:t>
      </w:r>
      <w:r w:rsidR="000135F7">
        <w:t>.,</w:t>
      </w:r>
      <w:r w:rsidR="004B53E9">
        <w:t xml:space="preserve"> 2010 and Gamage 2016</w:t>
      </w:r>
      <w:r w:rsidR="00993C2F" w:rsidRPr="006C32C0">
        <w:t>)</w:t>
      </w:r>
      <w:r w:rsidR="00701798" w:rsidRPr="006C32C0">
        <w:t>.</w:t>
      </w:r>
      <w:r w:rsidR="00FA701B" w:rsidRPr="006C32C0">
        <w:t xml:space="preserve">  The research question </w:t>
      </w:r>
      <w:r w:rsidR="002C46A1" w:rsidRPr="006C32C0">
        <w:t>sought to explore the tennis players</w:t>
      </w:r>
      <w:r w:rsidR="00343F43" w:rsidRPr="006C32C0">
        <w:t>’</w:t>
      </w:r>
      <w:r w:rsidR="002C46A1" w:rsidRPr="006C32C0">
        <w:t xml:space="preserve"> </w:t>
      </w:r>
      <w:r w:rsidR="00343F43" w:rsidRPr="006C32C0">
        <w:t>hydration knowledge</w:t>
      </w:r>
      <w:r w:rsidR="00FA701B" w:rsidRPr="006C32C0">
        <w:t xml:space="preserve"> </w:t>
      </w:r>
      <w:r w:rsidR="00D01843" w:rsidRPr="006C32C0">
        <w:t>attitudes and behaviours</w:t>
      </w:r>
      <w:r w:rsidR="00EF3541" w:rsidRPr="006C32C0">
        <w:t>,</w:t>
      </w:r>
      <w:r w:rsidR="00D01843" w:rsidRPr="006C32C0">
        <w:t xml:space="preserve"> and to examine the relationship between these constructs</w:t>
      </w:r>
      <w:r w:rsidR="00EF3541" w:rsidRPr="006C32C0">
        <w:t>.</w:t>
      </w:r>
      <w:r w:rsidR="00D01843" w:rsidRPr="006C32C0">
        <w:t xml:space="preserve"> </w:t>
      </w:r>
      <w:r w:rsidR="00C37FBD" w:rsidRPr="006C32C0">
        <w:t xml:space="preserve">A secondary aim was </w:t>
      </w:r>
      <w:r w:rsidR="005B6F6E" w:rsidRPr="006C32C0">
        <w:t xml:space="preserve">to  identify if there </w:t>
      </w:r>
      <w:r w:rsidR="003531B0" w:rsidRPr="006C32C0">
        <w:t xml:space="preserve"> was a relationship between hydration knowledge</w:t>
      </w:r>
      <w:r w:rsidR="005B6F6E" w:rsidRPr="006C32C0">
        <w:t>,</w:t>
      </w:r>
      <w:r w:rsidR="003531B0" w:rsidRPr="006C32C0">
        <w:t xml:space="preserve"> attitudes and behaviours and between different levels of play.</w:t>
      </w:r>
    </w:p>
    <w:p w14:paraId="0E94CBEB" w14:textId="77777777" w:rsidR="00D65B1D" w:rsidRPr="006C32C0" w:rsidRDefault="00D65B1D" w:rsidP="00B44406">
      <w:pPr>
        <w:spacing w:after="0"/>
      </w:pPr>
    </w:p>
    <w:p w14:paraId="43D665F5" w14:textId="77777777" w:rsidR="00B32B1B" w:rsidRDefault="00F7316F" w:rsidP="00B44406">
      <w:pPr>
        <w:spacing w:after="0"/>
      </w:pPr>
      <w:r>
        <w:t>In my research proposal I initially placed this</w:t>
      </w:r>
      <w:r w:rsidRPr="00F7316F">
        <w:t xml:space="preserve"> research question,</w:t>
      </w:r>
      <w:r>
        <w:t xml:space="preserve"> in the positivist paradigm. The</w:t>
      </w:r>
      <w:r w:rsidRPr="00F7316F">
        <w:t xml:space="preserve"> positivis</w:t>
      </w:r>
      <w:r>
        <w:t>t paradigm</w:t>
      </w:r>
      <w:r w:rsidRPr="00F7316F">
        <w:t xml:space="preserve"> assumes that human behaviours can be measured, quantified and analysed objectively using structured questionnaires, numerical scoring systems and statistical techniques (Yong </w:t>
      </w:r>
      <w:r w:rsidRPr="00790611">
        <w:rPr>
          <w:i/>
          <w:iCs/>
        </w:rPr>
        <w:t>et al</w:t>
      </w:r>
      <w:r w:rsidRPr="00F7316F">
        <w:t>., 2021)</w:t>
      </w:r>
      <w:r>
        <w:t>.</w:t>
      </w:r>
      <w:r w:rsidR="00612743">
        <w:t xml:space="preserve"> However as I continued on this research journey and reflected on my research question I came to realise that t</w:t>
      </w:r>
      <w:r w:rsidRPr="00F7316F">
        <w:t xml:space="preserve">he research question, which sought to explore tennis players’ hydration knowledge, attitudes and behaviours and examine the relationships between these constructs, positioned the study within a </w:t>
      </w:r>
      <w:r w:rsidRPr="00612743">
        <w:t>post</w:t>
      </w:r>
      <w:r w:rsidRPr="00612743">
        <w:noBreakHyphen/>
        <w:t>positivist paradigm</w:t>
      </w:r>
      <w:r w:rsidR="00612743">
        <w:t xml:space="preserve">. </w:t>
      </w:r>
    </w:p>
    <w:p w14:paraId="58828CD5" w14:textId="77777777" w:rsidR="00D65B1D" w:rsidRDefault="00D65B1D" w:rsidP="00B44406">
      <w:pPr>
        <w:spacing w:after="0"/>
      </w:pPr>
    </w:p>
    <w:p w14:paraId="7D4B630E" w14:textId="3CD5702E" w:rsidR="00B32B1B" w:rsidRDefault="00B32B1B" w:rsidP="00B44406">
      <w:pPr>
        <w:spacing w:after="0"/>
      </w:pPr>
      <w:r w:rsidRPr="00B32B1B">
        <w:t>The post</w:t>
      </w:r>
      <w:r w:rsidRPr="00B32B1B">
        <w:noBreakHyphen/>
        <w:t xml:space="preserve">positivist paradigm challenges the idea that measurement can ever fully capture reality. Although behaviours can be quantified, they are also shaped by personal experiences, environmental conditions and situational influences (Guba &amp; Lincoln, 1994). This is especially relevant to the hydration of </w:t>
      </w:r>
      <w:r w:rsidR="00FD07F1">
        <w:t xml:space="preserve">a </w:t>
      </w:r>
      <w:r w:rsidRPr="00B32B1B">
        <w:t>tennis player, where routines, weather, coaching practices and individual interpretations of thirst all play a role. Post</w:t>
      </w:r>
      <w:r w:rsidRPr="00B32B1B">
        <w:noBreakHyphen/>
        <w:t xml:space="preserve">positivism therefore values structured ways of measuring behaviour and identifying patterns, while recognising that findings are influenced by context and human interpretation (Phillips &amp; </w:t>
      </w:r>
      <w:proofErr w:type="spellStart"/>
      <w:r w:rsidRPr="00B32B1B">
        <w:t>Burbules</w:t>
      </w:r>
      <w:proofErr w:type="spellEnd"/>
      <w:r w:rsidRPr="00B32B1B">
        <w:t>, 2000).</w:t>
      </w:r>
    </w:p>
    <w:p w14:paraId="75A619AA" w14:textId="77777777" w:rsidR="00D65B1D" w:rsidRPr="00B32B1B" w:rsidRDefault="00D65B1D" w:rsidP="00B44406">
      <w:pPr>
        <w:spacing w:after="0"/>
      </w:pPr>
    </w:p>
    <w:p w14:paraId="04BAD1DC" w14:textId="17A7DCBD" w:rsidR="000C5992" w:rsidRDefault="00B32B1B" w:rsidP="00B44406">
      <w:pPr>
        <w:spacing w:after="0"/>
      </w:pPr>
      <w:r w:rsidRPr="00B32B1B">
        <w:t>Within this perspective, the decision to use a quantitative, cross</w:t>
      </w:r>
      <w:r w:rsidRPr="00B32B1B">
        <w:noBreakHyphen/>
        <w:t>sectional survey design was appropriate. A validated hydration questionnaire enabled the study to capture knowledge, attitudes and behaviours that cannot be observed directly and to explore how these factors relate to one another. What differentiates this approach from a purely positivist stance is not the method itself but the interpretation of the results. A positivist view would treat questionnaire scores and statistical relationships as accurate, objective reflections of reality. In contrast, a post</w:t>
      </w:r>
      <w:r w:rsidRPr="00B32B1B">
        <w:noBreakHyphen/>
        <w:t>positivist interpretation accepts that these measurements are only approximations and that players’ hydration behaviours are shaped by contextual factors</w:t>
      </w:r>
      <w:r w:rsidR="008F7322">
        <w:t xml:space="preserve">, </w:t>
      </w:r>
      <w:r w:rsidR="008D79DC">
        <w:t>(</w:t>
      </w:r>
      <w:r w:rsidRPr="00B32B1B">
        <w:t xml:space="preserve">such as weather, routines, coaching </w:t>
      </w:r>
      <w:r w:rsidRPr="00B32B1B">
        <w:lastRenderedPageBreak/>
        <w:t>habits and personal perceptions of thirst</w:t>
      </w:r>
      <w:r w:rsidR="008D79DC">
        <w:t xml:space="preserve">), </w:t>
      </w:r>
      <w:r w:rsidRPr="00B32B1B">
        <w:t xml:space="preserve">which cannot be fully captured through numerical data alone. </w:t>
      </w:r>
      <w:r w:rsidR="00AB222C">
        <w:t>T</w:t>
      </w:r>
      <w:r w:rsidR="000106B7" w:rsidRPr="000106B7">
        <w:t xml:space="preserve">his means the findings are seen as patterns rather than fixed facts, and the analysis is carried out with more careful reflection and awareness of possible bias. </w:t>
      </w:r>
      <w:r w:rsidRPr="00B32B1B">
        <w:t>(Creswell &amp; Creswell, 2018).</w:t>
      </w:r>
    </w:p>
    <w:p w14:paraId="549E8983" w14:textId="77777777" w:rsidR="00D65B1D" w:rsidRDefault="00D65B1D" w:rsidP="00B44406">
      <w:pPr>
        <w:spacing w:after="0"/>
      </w:pPr>
    </w:p>
    <w:p w14:paraId="3047947E" w14:textId="560898F9" w:rsidR="008059F0" w:rsidRDefault="0066453C" w:rsidP="00B44406">
      <w:pPr>
        <w:spacing w:after="0"/>
      </w:pPr>
      <w:r w:rsidRPr="0066453C">
        <w:t xml:space="preserve">The study was </w:t>
      </w:r>
      <w:r w:rsidR="00684739">
        <w:t xml:space="preserve">based on the </w:t>
      </w:r>
      <w:r w:rsidRPr="0066453C">
        <w:t xml:space="preserve"> Knowledge–Attitudes–Behaviours (KAB) model, a framework widely used in health and nutrition research. The model assumes</w:t>
      </w:r>
      <w:r w:rsidR="00332E1E">
        <w:t>,</w:t>
      </w:r>
      <w:r w:rsidRPr="0066453C">
        <w:t xml:space="preserve"> that what individuals know</w:t>
      </w:r>
      <w:r w:rsidR="00332E1E">
        <w:t>,</w:t>
      </w:r>
      <w:r w:rsidRPr="0066453C">
        <w:t xml:space="preserve"> shapes their attitudes, and that these attitudes then influence their behaviour</w:t>
      </w:r>
      <w:r w:rsidR="004E0BDD">
        <w:t xml:space="preserve">, </w:t>
      </w:r>
      <w:r w:rsidR="004E0BDD" w:rsidRPr="0066453C">
        <w:t xml:space="preserve">(Zarei </w:t>
      </w:r>
      <w:r w:rsidR="004E0BDD" w:rsidRPr="00332E1E">
        <w:rPr>
          <w:i/>
          <w:iCs/>
        </w:rPr>
        <w:t>et al</w:t>
      </w:r>
      <w:r w:rsidR="004E0BDD" w:rsidRPr="0066453C">
        <w:t>., 2024)</w:t>
      </w:r>
      <w:r w:rsidRPr="0066453C">
        <w:t>.</w:t>
      </w:r>
      <w:r w:rsidR="009B5B50">
        <w:t xml:space="preserve"> Therefore</w:t>
      </w:r>
      <w:r w:rsidR="005B2488" w:rsidRPr="005B2488">
        <w:t xml:space="preserve">, a validated questionnaire was a suitable way to capture these elements in a consistent and measurable way. Using this tool allowed the study to gather the type of data needed to examine how these factors interact, making it an appropriate </w:t>
      </w:r>
      <w:r w:rsidR="00A742B7">
        <w:t>tool</w:t>
      </w:r>
      <w:r w:rsidR="005B2488" w:rsidRPr="005B2488">
        <w:t xml:space="preserve"> for answering the research question.</w:t>
      </w:r>
    </w:p>
    <w:p w14:paraId="79C507C9" w14:textId="77777777" w:rsidR="00D65B1D" w:rsidRPr="006C32C0" w:rsidRDefault="00D65B1D" w:rsidP="00B44406">
      <w:pPr>
        <w:spacing w:after="0"/>
      </w:pPr>
    </w:p>
    <w:p w14:paraId="60DD8BB8" w14:textId="40675E56" w:rsidR="006D68C5" w:rsidRDefault="009F10FF" w:rsidP="00B44406">
      <w:pPr>
        <w:spacing w:after="0"/>
      </w:pPr>
      <w:r>
        <w:t>However, t</w:t>
      </w:r>
      <w:r w:rsidR="00B33E0C">
        <w:t xml:space="preserve">he </w:t>
      </w:r>
      <w:r w:rsidR="006F1CD8">
        <w:t>findings of the study</w:t>
      </w:r>
      <w:r w:rsidR="00DB0ECD">
        <w:t xml:space="preserve"> revealed that </w:t>
      </w:r>
      <w:r w:rsidR="008D2A17">
        <w:t>there were weak corelations</w:t>
      </w:r>
      <w:r w:rsidR="00E3402F">
        <w:t xml:space="preserve"> between knowledge</w:t>
      </w:r>
      <w:r>
        <w:t>,</w:t>
      </w:r>
      <w:r w:rsidR="00E3402F">
        <w:t xml:space="preserve"> attitudes and behaviour, which </w:t>
      </w:r>
      <w:r w:rsidR="00F41A01">
        <w:t xml:space="preserve">did not match the theoretical design of the study. </w:t>
      </w:r>
      <w:r w:rsidR="000D40D3" w:rsidRPr="00573A92">
        <w:t xml:space="preserve">The KAB model assumes that if players know more, they will </w:t>
      </w:r>
      <w:r w:rsidR="000D40D3">
        <w:t xml:space="preserve">have improved </w:t>
      </w:r>
      <w:r w:rsidR="006C32C0">
        <w:t>behaviour,</w:t>
      </w:r>
      <w:r>
        <w:t xml:space="preserve"> and attitudes</w:t>
      </w:r>
      <w:r w:rsidR="000D40D3">
        <w:t xml:space="preserve"> </w:t>
      </w:r>
      <w:r w:rsidR="000D40D3" w:rsidRPr="00573A92">
        <w:t>but the results didn’t support th</w:t>
      </w:r>
      <w:r w:rsidR="00A76D5B">
        <w:t>is</w:t>
      </w:r>
      <w:r w:rsidR="000D40D3" w:rsidRPr="00573A92">
        <w:t xml:space="preserve">. </w:t>
      </w:r>
      <w:r w:rsidR="004157F9" w:rsidRPr="00F13045">
        <w:t>More recent behaviour</w:t>
      </w:r>
      <w:r w:rsidR="00A76D5B">
        <w:t xml:space="preserve"> </w:t>
      </w:r>
      <w:r w:rsidR="004157F9" w:rsidRPr="00F13045">
        <w:t>change research shows that behaviour is influenced by capability, opportunity and motivation (COM</w:t>
      </w:r>
      <w:r w:rsidR="004157F9" w:rsidRPr="00F13045">
        <w:noBreakHyphen/>
        <w:t>B), not just knowledge and attitudes</w:t>
      </w:r>
      <w:r w:rsidR="00652329">
        <w:t xml:space="preserve">, (Barker </w:t>
      </w:r>
      <w:r w:rsidR="00652329" w:rsidRPr="00652329">
        <w:rPr>
          <w:i/>
          <w:iCs/>
        </w:rPr>
        <w:t>et al.,</w:t>
      </w:r>
      <w:r w:rsidR="00652329">
        <w:t xml:space="preserve"> 2016)</w:t>
      </w:r>
      <w:r w:rsidR="004157F9" w:rsidRPr="00F13045">
        <w:t>. Bringing in these ideas could have strengthened the theoretical foundation and helped explain the findings more fully.</w:t>
      </w:r>
      <w:r w:rsidR="00A31AE6">
        <w:t xml:space="preserve"> </w:t>
      </w:r>
    </w:p>
    <w:p w14:paraId="6A24ACA9" w14:textId="77777777" w:rsidR="00D65B1D" w:rsidRPr="001D7C5B" w:rsidRDefault="00D65B1D" w:rsidP="00B44406">
      <w:pPr>
        <w:spacing w:after="0"/>
      </w:pPr>
    </w:p>
    <w:p w14:paraId="5C108A95" w14:textId="4205551B" w:rsidR="00C15430" w:rsidRPr="001D7C5B" w:rsidRDefault="00631B7E" w:rsidP="00B44406">
      <w:pPr>
        <w:spacing w:after="0"/>
      </w:pPr>
      <w:r w:rsidRPr="001D7C5B">
        <w:t xml:space="preserve">Although the study design was </w:t>
      </w:r>
      <w:r w:rsidR="00923B43" w:rsidRPr="001D7C5B">
        <w:t xml:space="preserve">appropriate for the research question it does highlight the limitations of the </w:t>
      </w:r>
      <w:r w:rsidR="000D40D3" w:rsidRPr="001D7C5B">
        <w:t xml:space="preserve">purely quantitative approach. </w:t>
      </w:r>
      <w:r w:rsidR="00417FFC" w:rsidRPr="001D7C5B">
        <w:t xml:space="preserve">While the study could identify whether relationships existed between </w:t>
      </w:r>
      <w:r w:rsidR="002A468F" w:rsidRPr="001D7C5B">
        <w:t>knowledge attitudes and behaviours</w:t>
      </w:r>
      <w:r w:rsidR="00417FFC" w:rsidRPr="001D7C5B">
        <w:t>, it could not explain why these relationships were weak or what factors influenced behaviour.</w:t>
      </w:r>
      <w:r w:rsidR="00CA541D" w:rsidRPr="001D7C5B">
        <w:rPr>
          <w:rFonts w:eastAsia="Times New Roman" w:cs="Segoe UI"/>
          <w:kern w:val="0"/>
          <w:lang w:eastAsia="en-GB"/>
          <w14:ligatures w14:val="none"/>
        </w:rPr>
        <w:t xml:space="preserve"> </w:t>
      </w:r>
      <w:r w:rsidR="001D7C5B" w:rsidRPr="001D7C5B">
        <w:rPr>
          <w:rFonts w:eastAsia="Times New Roman" w:cs="Segoe UI"/>
          <w:kern w:val="0"/>
          <w:lang w:eastAsia="en-GB"/>
          <w14:ligatures w14:val="none"/>
        </w:rPr>
        <w:t>T</w:t>
      </w:r>
      <w:r w:rsidR="00A067AC" w:rsidRPr="001D7C5B">
        <w:rPr>
          <w:rFonts w:eastAsia="Times New Roman" w:cs="Segoe UI"/>
          <w:kern w:val="0"/>
          <w:lang w:eastAsia="en-GB"/>
          <w14:ligatures w14:val="none"/>
        </w:rPr>
        <w:t>his limitation arises because a purely quantitative, cross</w:t>
      </w:r>
      <w:r w:rsidR="00A067AC" w:rsidRPr="001D7C5B">
        <w:rPr>
          <w:rFonts w:ascii="Cambria Math" w:eastAsia="Times New Roman" w:hAnsi="Cambria Math" w:cs="Cambria Math"/>
          <w:kern w:val="0"/>
          <w:lang w:eastAsia="en-GB"/>
          <w14:ligatures w14:val="none"/>
        </w:rPr>
        <w:t>‑</w:t>
      </w:r>
      <w:r w:rsidR="00A067AC" w:rsidRPr="001D7C5B">
        <w:rPr>
          <w:rFonts w:eastAsia="Times New Roman" w:cs="Segoe UI"/>
          <w:kern w:val="0"/>
          <w:lang w:eastAsia="en-GB"/>
          <w14:ligatures w14:val="none"/>
        </w:rPr>
        <w:t>sectional approach is restrictive and cannot capture the full complexity of the issue.</w:t>
      </w:r>
      <w:r w:rsidR="001D7C5B" w:rsidRPr="001D7C5B">
        <w:rPr>
          <w:rFonts w:eastAsia="Times New Roman" w:cs="Segoe UI"/>
          <w:kern w:val="0"/>
          <w:lang w:eastAsia="en-GB"/>
          <w14:ligatures w14:val="none"/>
        </w:rPr>
        <w:t xml:space="preserve"> </w:t>
      </w:r>
      <w:r w:rsidR="006C32C0" w:rsidRPr="001D7C5B">
        <w:t>Behaviour develops through a combination of environmental, motivational, and social influences</w:t>
      </w:r>
      <w:r w:rsidR="00417FFC" w:rsidRPr="001D7C5B">
        <w:t xml:space="preserve">, many of which cannot be captured through structured </w:t>
      </w:r>
      <w:r w:rsidR="0025622A" w:rsidRPr="001D7C5B">
        <w:t xml:space="preserve">questionnaire </w:t>
      </w:r>
      <w:r w:rsidR="00417FFC" w:rsidRPr="001D7C5B">
        <w:t>items. A mixed</w:t>
      </w:r>
      <w:r w:rsidR="00417FFC" w:rsidRPr="001D7C5B">
        <w:rPr>
          <w:rFonts w:ascii="Cambria Math" w:hAnsi="Cambria Math" w:cs="Cambria Math"/>
        </w:rPr>
        <w:t>‑</w:t>
      </w:r>
      <w:r w:rsidR="00417FFC" w:rsidRPr="001D7C5B">
        <w:t>methods design incorporating qualitative interviews or focus groups would have allowed for deeper exploration of these influences, providing richer insight into the barriers and facilitators affecting hydration behaviour.</w:t>
      </w:r>
      <w:r w:rsidR="00941713" w:rsidRPr="001D7C5B">
        <w:t xml:space="preserve"> </w:t>
      </w:r>
      <w:r w:rsidR="00C15430" w:rsidRPr="001D7C5B">
        <w:t xml:space="preserve"> </w:t>
      </w:r>
    </w:p>
    <w:p w14:paraId="2E8102E5" w14:textId="77777777" w:rsidR="00394AE0" w:rsidRDefault="00394AE0" w:rsidP="00B44406">
      <w:pPr>
        <w:spacing w:after="0"/>
      </w:pPr>
    </w:p>
    <w:p w14:paraId="6F75AF46" w14:textId="34EACB2B" w:rsidR="003269C6" w:rsidRPr="001D7C5B" w:rsidRDefault="003269C6" w:rsidP="00B44406">
      <w:pPr>
        <w:spacing w:after="0"/>
      </w:pPr>
      <w:r w:rsidRPr="001D7C5B">
        <w:t>Despite this limitation, the design still aligned with the study’s stated aims. The research question did not seek to understand underlying influences</w:t>
      </w:r>
      <w:r w:rsidR="000A7AD1" w:rsidRPr="001D7C5B">
        <w:t>.</w:t>
      </w:r>
      <w:r w:rsidRPr="001D7C5B">
        <w:t xml:space="preserve"> </w:t>
      </w:r>
      <w:r w:rsidR="000A7AD1" w:rsidRPr="001D7C5B">
        <w:t>I</w:t>
      </w:r>
      <w:r w:rsidRPr="001D7C5B">
        <w:t xml:space="preserve">t focused on describing knowledge, attitudes and behaviours and examining their relationships. In this sense, the design was appropriate. </w:t>
      </w:r>
      <w:r w:rsidR="005F0726" w:rsidRPr="001D7C5B">
        <w:t>I only noticed the misalignment when I analysed the results, as the weak correlations led to questions the design wasn’t able to address.</w:t>
      </w:r>
      <w:r w:rsidRPr="001D7C5B">
        <w:t xml:space="preserve"> This </w:t>
      </w:r>
      <w:r w:rsidR="0060339C" w:rsidRPr="001D7C5B">
        <w:t xml:space="preserve">has </w:t>
      </w:r>
      <w:r w:rsidR="003E15D6" w:rsidRPr="001D7C5B">
        <w:t>highlighted that</w:t>
      </w:r>
      <w:r w:rsidR="0060339C" w:rsidRPr="001D7C5B">
        <w:t>,</w:t>
      </w:r>
      <w:r w:rsidRPr="001D7C5B">
        <w:t xml:space="preserve"> research questions must be carefully crafted to reflect the depth of understanding, and methods must be chosen accordingly</w:t>
      </w:r>
      <w:r w:rsidR="006C32C0" w:rsidRPr="001D7C5B">
        <w:t>.</w:t>
      </w:r>
    </w:p>
    <w:p w14:paraId="66C866DB" w14:textId="782F976C" w:rsidR="00564094" w:rsidRDefault="007E2665" w:rsidP="00B44406">
      <w:pPr>
        <w:spacing w:after="0"/>
      </w:pPr>
      <w:r w:rsidRPr="001D7C5B">
        <w:lastRenderedPageBreak/>
        <w:t>The way I sampled participants also made me reflect on how well it matched the aims and overall design of the study.</w:t>
      </w:r>
      <w:r w:rsidR="00564094" w:rsidRPr="001D7C5B">
        <w:t xml:space="preserve"> </w:t>
      </w:r>
      <w:r w:rsidR="006837BA" w:rsidRPr="001D7C5B">
        <w:t>Recruiting through tennis coaches was a practical choice that suited the nature of the study and made it easier to reach players. On reflection, I can see how this may have introduced some bias. Players who are more engaged, motivated or have a good relationship with their coach were probably more</w:t>
      </w:r>
      <w:r w:rsidR="006837BA" w:rsidRPr="006837BA">
        <w:t xml:space="preserve"> likely to take part, which means the findings might not fully represent the wider tennis community. This doesn’t undermine the study or its fit with the research question, but it does affect how confidently the results can be generalised. In future work, using a more systematic sampling approach would help strengthen the reliability and reach of the findings.</w:t>
      </w:r>
    </w:p>
    <w:p w14:paraId="664E5092" w14:textId="77777777" w:rsidR="00D65B1D" w:rsidRDefault="00D65B1D" w:rsidP="00B44406">
      <w:pPr>
        <w:spacing w:after="0"/>
      </w:pPr>
    </w:p>
    <w:p w14:paraId="40AC32E7" w14:textId="0D264EA8" w:rsidR="00960867" w:rsidRDefault="00960867" w:rsidP="00B44406">
      <w:pPr>
        <w:spacing w:after="0"/>
      </w:pPr>
      <w:r w:rsidRPr="00F13045">
        <w:t>The analysis</w:t>
      </w:r>
      <w:r w:rsidR="009B49F7">
        <w:t xml:space="preserve">, </w:t>
      </w:r>
      <w:r w:rsidRPr="00F13045">
        <w:t>descriptive statistics and correlations</w:t>
      </w:r>
      <w:r w:rsidR="009B49F7">
        <w:t xml:space="preserve">, </w:t>
      </w:r>
      <w:r w:rsidRPr="00F13045">
        <w:t>w</w:t>
      </w:r>
      <w:r w:rsidR="009B49F7">
        <w:t>ere</w:t>
      </w:r>
      <w:r w:rsidRPr="00F13045">
        <w:t xml:space="preserve"> appropriate for the </w:t>
      </w:r>
      <w:r w:rsidR="00D630D0">
        <w:t xml:space="preserve">research question, the </w:t>
      </w:r>
      <w:r w:rsidRPr="00F13045">
        <w:t xml:space="preserve">data collected and aligned with the aim of identifying patterns and relationships. </w:t>
      </w:r>
      <w:r w:rsidR="00E65834">
        <w:t xml:space="preserve">It was also consistent with the positivist paradigm. </w:t>
      </w:r>
      <w:r w:rsidRPr="00F13045">
        <w:t xml:space="preserve">Using correlations to explore links between knowledge, attitudes and behaviours </w:t>
      </w:r>
      <w:r w:rsidR="00306645">
        <w:t>between all players and between the d</w:t>
      </w:r>
      <w:r w:rsidR="00265A68">
        <w:t xml:space="preserve">ifferent levels of play. </w:t>
      </w:r>
      <w:r w:rsidR="00A71035">
        <w:t xml:space="preserve"> </w:t>
      </w:r>
      <w:r w:rsidRPr="00F13045">
        <w:t xml:space="preserve"> </w:t>
      </w:r>
      <w:r w:rsidR="00EF13E0">
        <w:t xml:space="preserve">However I did not carry out </w:t>
      </w:r>
      <w:r w:rsidR="00E65834">
        <w:t>analysis to</w:t>
      </w:r>
      <w:r w:rsidRPr="00F13045">
        <w:t xml:space="preserve"> look at differences between subgroups </w:t>
      </w:r>
      <w:r w:rsidR="00643B7D">
        <w:t xml:space="preserve">of </w:t>
      </w:r>
      <w:r w:rsidRPr="00F13045">
        <w:t>age</w:t>
      </w:r>
      <w:r w:rsidR="008D2146">
        <w:t xml:space="preserve">, </w:t>
      </w:r>
      <w:r w:rsidR="00E87D12">
        <w:t>gender</w:t>
      </w:r>
      <w:r w:rsidRPr="00F13045">
        <w:t>,</w:t>
      </w:r>
      <w:r w:rsidR="008D2146">
        <w:t xml:space="preserve"> </w:t>
      </w:r>
      <w:r w:rsidR="00E5221C">
        <w:t xml:space="preserve">frequency and </w:t>
      </w:r>
      <w:r w:rsidR="008D2146">
        <w:t>le</w:t>
      </w:r>
      <w:r w:rsidR="00E5221C">
        <w:t>ngth of matches</w:t>
      </w:r>
      <w:r w:rsidRPr="00F13045">
        <w:t xml:space="preserve"> which might have revealed more detailed patterns</w:t>
      </w:r>
      <w:r w:rsidR="00C55DB5">
        <w:t>.</w:t>
      </w:r>
    </w:p>
    <w:p w14:paraId="765BE439" w14:textId="77777777" w:rsidR="00D65B1D" w:rsidRDefault="00D65B1D" w:rsidP="00B44406">
      <w:pPr>
        <w:spacing w:after="0"/>
      </w:pPr>
    </w:p>
    <w:p w14:paraId="31AFEC06" w14:textId="6343BC58" w:rsidR="00156AB9" w:rsidRDefault="00156AB9" w:rsidP="00B44406">
      <w:pPr>
        <w:spacing w:after="0"/>
      </w:pPr>
      <w:r w:rsidRPr="00156AB9">
        <w:t>The framework, methodology and methods worked well together, and the overall design was suitable for answering the research question as it was originally planned. Using a validated questionnaire and a cross</w:t>
      </w:r>
      <w:r w:rsidRPr="00156AB9">
        <w:rPr>
          <w:rFonts w:ascii="Cambria Math" w:hAnsi="Cambria Math" w:cs="Cambria Math"/>
        </w:rPr>
        <w:t>‑</w:t>
      </w:r>
      <w:r w:rsidRPr="00156AB9">
        <w:t>sectional, quantitative approach made data collection straightforward and gave a useful snapshot of tennis players</w:t>
      </w:r>
      <w:r w:rsidRPr="00156AB9">
        <w:rPr>
          <w:rFonts w:ascii="Aptos" w:hAnsi="Aptos" w:cs="Aptos"/>
        </w:rPr>
        <w:t>’</w:t>
      </w:r>
      <w:r w:rsidRPr="00156AB9">
        <w:t xml:space="preserve"> hydration knowledge, attitudes and behaviours. This offered helpful insight into current habits and patterns. The sample of 26 players from professional, recreational and club levels matched the aim of comparing behaviours across </w:t>
      </w:r>
      <w:r w:rsidR="00363C67">
        <w:t>different levels of play</w:t>
      </w:r>
      <w:r w:rsidRPr="00156AB9">
        <w:t>, but the small number does limit how far the findings can be applied to the wider tennis population. The study also highlighted some limitations of both the KAB model and relying only on quantitative methods. This suggests that future research might benefit from a more flexible, mixed</w:t>
      </w:r>
      <w:r w:rsidRPr="00156AB9">
        <w:rPr>
          <w:rFonts w:ascii="Cambria Math" w:hAnsi="Cambria Math" w:cs="Cambria Math"/>
        </w:rPr>
        <w:t>‑</w:t>
      </w:r>
      <w:r w:rsidRPr="00156AB9">
        <w:t>methods approach</w:t>
      </w:r>
      <w:r w:rsidR="004322AA">
        <w:t>.</w:t>
      </w:r>
    </w:p>
    <w:p w14:paraId="02BFE770" w14:textId="77777777" w:rsidR="00D65B1D" w:rsidRDefault="00D65B1D" w:rsidP="00B44406">
      <w:pPr>
        <w:spacing w:after="0"/>
      </w:pPr>
    </w:p>
    <w:p w14:paraId="260B4D58" w14:textId="3F0CAA99" w:rsidR="00930BC5" w:rsidRDefault="00EC2DD1" w:rsidP="00B44406">
      <w:pPr>
        <w:spacing w:after="0"/>
        <w:rPr>
          <w:u w:val="single"/>
        </w:rPr>
      </w:pPr>
      <w:r>
        <w:rPr>
          <w:u w:val="single"/>
        </w:rPr>
        <w:t>E</w:t>
      </w:r>
      <w:r w:rsidR="00FC49AC" w:rsidRPr="00C15D1B">
        <w:rPr>
          <w:u w:val="single"/>
        </w:rPr>
        <w:t>xperience</w:t>
      </w:r>
    </w:p>
    <w:p w14:paraId="441C0396" w14:textId="77777777" w:rsidR="00110F76" w:rsidRDefault="001945C1" w:rsidP="00B44406">
      <w:pPr>
        <w:spacing w:after="0"/>
      </w:pPr>
      <w:r w:rsidRPr="001945C1">
        <w:t xml:space="preserve">Researching hydration knowledge, attitudes and behaviours in tennis players taught me much more than the results alone. Going through recruitment and data collection showed me what research is really like in practice. I had to be flexible, communicate clearly and solve problems as they came up. </w:t>
      </w:r>
    </w:p>
    <w:p w14:paraId="035D33F7" w14:textId="77777777" w:rsidR="00D65B1D" w:rsidRDefault="00D65B1D" w:rsidP="00B44406">
      <w:pPr>
        <w:spacing w:after="0"/>
      </w:pPr>
    </w:p>
    <w:p w14:paraId="190B4EE3" w14:textId="77777777" w:rsidR="00D278FC" w:rsidRDefault="00D90BCC" w:rsidP="00B44406">
      <w:pPr>
        <w:spacing w:after="0"/>
      </w:pPr>
      <w:r w:rsidRPr="00D90BCC">
        <w:t xml:space="preserve">I initially planned to recruit players from three tennis clubs that had already shown interest in the study. </w:t>
      </w:r>
      <w:r w:rsidR="00270C2D">
        <w:t>However when</w:t>
      </w:r>
      <w:r w:rsidRPr="00D90BCC">
        <w:t xml:space="preserve"> responses were slow, I extended recruitment to two additional clubs. I had assumed that accessing players would be straightforward, especially given the early enthusiasm from coaches, but this proved more challenging </w:t>
      </w:r>
      <w:r w:rsidRPr="00D90BCC">
        <w:lastRenderedPageBreak/>
        <w:t>in practice.</w:t>
      </w:r>
      <w:r w:rsidR="001E54BE">
        <w:t xml:space="preserve"> </w:t>
      </w:r>
      <w:r w:rsidR="00270C2D">
        <w:t>O</w:t>
      </w:r>
      <w:r w:rsidR="008D43CF" w:rsidRPr="008D43CF">
        <w:t>nce the study began, it became clear that coaches acted as powerful gatekeepers, shaping who participated and when</w:t>
      </w:r>
      <w:r w:rsidR="00D60E73">
        <w:t xml:space="preserve">. </w:t>
      </w:r>
      <w:r w:rsidR="008D43CF" w:rsidRPr="008D43CF">
        <w:t xml:space="preserve"> </w:t>
      </w:r>
      <w:r w:rsidR="00D60E73">
        <w:t>The additional two clubs I contacted did not reply to my email</w:t>
      </w:r>
      <w:r w:rsidR="006D22E4">
        <w:t xml:space="preserve"> and so no one from these clubs completed the study</w:t>
      </w:r>
      <w:r w:rsidR="00C114CD">
        <w:t xml:space="preserve">. </w:t>
      </w:r>
      <w:r w:rsidR="00C114CD" w:rsidRPr="00C114CD">
        <w:t>I also knew one or two players at each of the three clubs, and I wonder whether their influence, rather than the coaches’, helped generate more responses, although I cannot be certain.</w:t>
      </w:r>
      <w:r w:rsidR="00C114CD">
        <w:t xml:space="preserve"> </w:t>
      </w:r>
      <w:r w:rsidR="002477E5" w:rsidRPr="009540D7">
        <w:t xml:space="preserve"> </w:t>
      </w:r>
      <w:r w:rsidR="0059711B" w:rsidRPr="008D43CF">
        <w:t>This inconsistency affected response rates</w:t>
      </w:r>
      <w:r w:rsidR="0059711B">
        <w:t>,</w:t>
      </w:r>
      <w:r w:rsidR="0059711B" w:rsidRPr="008D43CF">
        <w:t xml:space="preserve"> </w:t>
      </w:r>
      <w:r w:rsidR="002477E5" w:rsidRPr="009540D7">
        <w:t>I was disappointed to only have 26 completed questionnaires when I estimated getting in the range of 30 – 50 responses</w:t>
      </w:r>
      <w:r w:rsidR="0059711B">
        <w:t xml:space="preserve">. It </w:t>
      </w:r>
      <w:r w:rsidR="008D43CF" w:rsidRPr="008D43CF">
        <w:t>highlighted</w:t>
      </w:r>
      <w:r w:rsidR="0059711B">
        <w:t xml:space="preserve"> to me</w:t>
      </w:r>
      <w:r w:rsidR="008D43CF" w:rsidRPr="008D43CF">
        <w:t xml:space="preserve"> how much recruitment depends on relationships, timing and the practical pressures within clubs. It also reinforced the idea that gatekeepers do not simply provide access</w:t>
      </w:r>
      <w:r w:rsidR="0066284C">
        <w:t>,</w:t>
      </w:r>
      <w:r w:rsidR="008D43CF" w:rsidRPr="008D43CF">
        <w:t xml:space="preserve"> they actively influence the composition of the sample</w:t>
      </w:r>
      <w:r w:rsidR="00081852">
        <w:t>,</w:t>
      </w:r>
      <w:r w:rsidR="008D43CF" w:rsidRPr="008D43CF">
        <w:t xml:space="preserve"> (</w:t>
      </w:r>
      <w:r w:rsidR="003976B8">
        <w:t xml:space="preserve">Mitchell </w:t>
      </w:r>
      <w:r w:rsidR="003976B8" w:rsidRPr="00E90C01">
        <w:rPr>
          <w:i/>
          <w:iCs/>
        </w:rPr>
        <w:t>et al</w:t>
      </w:r>
      <w:r w:rsidR="003976B8">
        <w:t>., 2024</w:t>
      </w:r>
      <w:r w:rsidR="00223C56">
        <w:t xml:space="preserve">). </w:t>
      </w:r>
    </w:p>
    <w:p w14:paraId="1FA6FE44" w14:textId="77777777" w:rsidR="00D278FC" w:rsidRDefault="00D278FC" w:rsidP="00B44406">
      <w:pPr>
        <w:spacing w:after="0"/>
      </w:pPr>
    </w:p>
    <w:p w14:paraId="31495761" w14:textId="61DE13B5" w:rsidR="001B325F" w:rsidRDefault="00C430E2" w:rsidP="00B44406">
      <w:pPr>
        <w:spacing w:after="0"/>
      </w:pPr>
      <w:r w:rsidRPr="00C430E2">
        <w:t xml:space="preserve">This experience highlighted the need to consider sampling strategies not only for practicality but also for how they affect the reliability of the results. Recruiting through coaches was convenient and suited the nature of the study, but it tended to attract players who were more engaged or simply present at the time. </w:t>
      </w:r>
      <w:r w:rsidR="00AD539C" w:rsidRPr="00AD539C">
        <w:t>This experience highlighted the well</w:t>
      </w:r>
      <w:r w:rsidR="00AD539C" w:rsidRPr="00AD539C">
        <w:noBreakHyphen/>
        <w:t>known limitations of convenience sampling, including bias</w:t>
      </w:r>
      <w:r w:rsidR="00C516B4">
        <w:t>,</w:t>
      </w:r>
      <w:r w:rsidR="00AD539C" w:rsidRPr="00AD539C">
        <w:t xml:space="preserve"> (</w:t>
      </w:r>
      <w:proofErr w:type="spellStart"/>
      <w:r w:rsidR="00AD539C" w:rsidRPr="00AD539C">
        <w:t>Etikan</w:t>
      </w:r>
      <w:proofErr w:type="spellEnd"/>
      <w:r w:rsidR="00AD539C" w:rsidRPr="00AD539C">
        <w:t xml:space="preserve"> et al., 2016), which I could see reflected in my own sample. Although this did not undermine the value of the findings, it reinforced the need to be transparent about sampling limitations, to consider more systematic recruitment strategies, and to build stronger relationships with gatekeepers earlier in the process.</w:t>
      </w:r>
    </w:p>
    <w:p w14:paraId="01FEE8ED" w14:textId="77777777" w:rsidR="00D278FC" w:rsidRPr="00C52A4D" w:rsidRDefault="00D278FC" w:rsidP="00B44406">
      <w:pPr>
        <w:spacing w:after="0"/>
      </w:pPr>
    </w:p>
    <w:p w14:paraId="25CD9285" w14:textId="5DAB270C" w:rsidR="00023DDB" w:rsidRDefault="00023DDB" w:rsidP="00B44406">
      <w:pPr>
        <w:spacing w:after="0"/>
      </w:pPr>
      <w:r w:rsidRPr="00023DDB">
        <w:t>Selecting a validated questionnaire was essential for measuring hydration knowledge, attitudes and behaviours, as it provided structure and helped ensure reliability. When reviewing the items, I felt some wording did not fully reflect the context of tennis, so I made small adaptations to make the questions more relevant to match play. These changes had to be made cautiously to avoid altering the constructs being measured, as modifying validated items can compromise reliability and validity (</w:t>
      </w:r>
      <w:r w:rsidR="00DF103D">
        <w:t>Cohen 2022</w:t>
      </w:r>
      <w:r w:rsidRPr="00023DDB">
        <w:t>). This process highlighted the importance of ensuring that each question captured the information required for the study while maintaining the integrity of the original tool. It also reinforced the value of using validated questionnaires, which offer strong methodological foundations and help reduce measurement error (</w:t>
      </w:r>
      <w:r w:rsidR="004B4729">
        <w:t>Cohen 2022)</w:t>
      </w:r>
      <w:r w:rsidRPr="00023DDB">
        <w:t>.</w:t>
      </w:r>
    </w:p>
    <w:p w14:paraId="7BBBF8EA" w14:textId="77777777" w:rsidR="00D278FC" w:rsidRDefault="00D278FC" w:rsidP="00B44406">
      <w:pPr>
        <w:spacing w:after="0"/>
      </w:pPr>
    </w:p>
    <w:p w14:paraId="1C3FAE6E" w14:textId="6795BCC9" w:rsidR="007E1C3E" w:rsidRDefault="007E1C3E" w:rsidP="00B44406">
      <w:pPr>
        <w:spacing w:after="0"/>
      </w:pPr>
      <w:r w:rsidRPr="007E1C3E">
        <w:t>Data collection was straightforward, as responses were automatically collated through Microsoft Forms, but the scoring process was more complex than expected. Each section required different coding procedures, and the attitudes scale involved calculating subscale averages, which made the analysis more time</w:t>
      </w:r>
      <w:r w:rsidRPr="007E1C3E">
        <w:rPr>
          <w:rFonts w:ascii="Cambria Math" w:hAnsi="Cambria Math" w:cs="Cambria Math"/>
        </w:rPr>
        <w:t>‑</w:t>
      </w:r>
      <w:r w:rsidRPr="007E1C3E">
        <w:t xml:space="preserve">consuming than anticipated. Although I initially questioned whether the scoring system should be adapted in future, once the coding was complete clear patterns began to emerge, confirming that the questionnaire effectively captured </w:t>
      </w:r>
      <w:r w:rsidR="00CF6DF2">
        <w:t>what I</w:t>
      </w:r>
      <w:r w:rsidRPr="007E1C3E">
        <w:t xml:space="preserve"> needed for my research question. The findings also revealed a notable gap between hydration knowledge and </w:t>
      </w:r>
      <w:r w:rsidRPr="007E1C3E">
        <w:lastRenderedPageBreak/>
        <w:t xml:space="preserve">behaviour. </w:t>
      </w:r>
      <w:r w:rsidR="00213DEC" w:rsidRPr="00213DEC">
        <w:t>This gap between knowing and doing is well recognised in behaviour</w:t>
      </w:r>
      <w:r w:rsidR="00213DEC" w:rsidRPr="00213DEC">
        <w:rPr>
          <w:rFonts w:ascii="Cambria Math" w:hAnsi="Cambria Math" w:cs="Cambria Math"/>
        </w:rPr>
        <w:t>‑</w:t>
      </w:r>
      <w:r w:rsidR="00213DEC" w:rsidRPr="00213DEC">
        <w:t>change research</w:t>
      </w:r>
      <w:r w:rsidR="00213DEC">
        <w:t>,</w:t>
      </w:r>
      <w:r w:rsidR="0092540F" w:rsidRPr="007E1C3E">
        <w:t xml:space="preserve"> </w:t>
      </w:r>
      <w:r w:rsidRPr="007E1C3E">
        <w:t xml:space="preserve">(Michie </w:t>
      </w:r>
      <w:r w:rsidRPr="006B515B">
        <w:rPr>
          <w:i/>
          <w:iCs/>
        </w:rPr>
        <w:t>et al.,</w:t>
      </w:r>
      <w:r w:rsidRPr="007E1C3E">
        <w:t xml:space="preserve"> 2011), and seeing it reflected</w:t>
      </w:r>
      <w:r w:rsidR="001F671C">
        <w:t xml:space="preserve"> </w:t>
      </w:r>
      <w:r w:rsidRPr="007E1C3E">
        <w:t>in my own data highlighted how habits, routines and environment</w:t>
      </w:r>
      <w:r w:rsidR="001F671C">
        <w:t xml:space="preserve"> </w:t>
      </w:r>
      <w:r w:rsidRPr="007E1C3E">
        <w:t>shape</w:t>
      </w:r>
      <w:r w:rsidR="001F671C">
        <w:t>s</w:t>
      </w:r>
      <w:r w:rsidRPr="007E1C3E">
        <w:t xml:space="preserve"> hydration behaviour as much as knowledge.</w:t>
      </w:r>
    </w:p>
    <w:p w14:paraId="101E2CA1" w14:textId="77777777" w:rsidR="00D278FC" w:rsidRDefault="002F2BB0" w:rsidP="00B44406">
      <w:pPr>
        <w:spacing w:after="0"/>
      </w:pPr>
      <w:r w:rsidRPr="002F2BB0">
        <w:t>Although the study had ethical approval and met all the usual requirements for consent, anonymity, confidentiality and data protection, a few issues came up that I had not expected.</w:t>
      </w:r>
    </w:p>
    <w:p w14:paraId="32D733F8" w14:textId="77777777" w:rsidR="00D278FC" w:rsidRDefault="00D278FC" w:rsidP="00B44406">
      <w:pPr>
        <w:spacing w:after="0"/>
      </w:pPr>
    </w:p>
    <w:p w14:paraId="417DC54C" w14:textId="70A2DBCD" w:rsidR="00DC579C" w:rsidRDefault="00A84E5B" w:rsidP="00B44406">
      <w:pPr>
        <w:spacing w:after="0"/>
      </w:pPr>
      <w:r w:rsidRPr="00A84E5B">
        <w:t xml:space="preserve"> </w:t>
      </w:r>
      <w:r w:rsidR="00773C9B" w:rsidRPr="00773C9B">
        <w:t>As noted earlier, recruiting through coaches risked affecting players’ sense of autonomy. Even when participation is voluntary, the involvement of an authority figure can influence decision</w:t>
      </w:r>
      <w:r w:rsidR="002C11B4">
        <w:rPr>
          <w:rFonts w:ascii="Cambria Math" w:hAnsi="Cambria Math" w:cs="Cambria Math"/>
        </w:rPr>
        <w:t xml:space="preserve"> </w:t>
      </w:r>
      <w:r w:rsidR="00773C9B" w:rsidRPr="00773C9B">
        <w:t>making, especially for younger or less experienced players. I also realised that, although the information sheet explained the purpose of the study, I could have been clearer about how the findings might be used in future practice. Another issue related to anonymity and the limits it placed on follow</w:t>
      </w:r>
      <w:r w:rsidR="00773C9B" w:rsidRPr="00773C9B">
        <w:rPr>
          <w:rFonts w:ascii="Cambria Math" w:hAnsi="Cambria Math" w:cs="Cambria Math"/>
        </w:rPr>
        <w:t>‑</w:t>
      </w:r>
      <w:r w:rsidR="00773C9B" w:rsidRPr="00773C9B">
        <w:t>up. Because responses were anonymous, I could not clarify unclear answers or explore interesting points in more depth, which restricted the depth of the analysis. These experiences highlighted the practical and ethical challenges of working with self</w:t>
      </w:r>
      <w:r w:rsidR="00773C9B" w:rsidRPr="00773C9B">
        <w:rPr>
          <w:rFonts w:ascii="Cambria Math" w:hAnsi="Cambria Math" w:cs="Cambria Math"/>
        </w:rPr>
        <w:t>‑</w:t>
      </w:r>
      <w:r w:rsidR="00773C9B" w:rsidRPr="00773C9B">
        <w:t>report data and reinforced the importance of careful planning, clear communication and ongoing reflection throughout the research process.</w:t>
      </w:r>
    </w:p>
    <w:p w14:paraId="4182C376" w14:textId="77777777" w:rsidR="00D278FC" w:rsidRDefault="00D278FC" w:rsidP="00B44406">
      <w:pPr>
        <w:spacing w:after="0"/>
      </w:pPr>
    </w:p>
    <w:p w14:paraId="542E745C" w14:textId="28A8934F" w:rsidR="001F7834" w:rsidRPr="00E3439D" w:rsidRDefault="00A0009A" w:rsidP="00B44406">
      <w:pPr>
        <w:spacing w:after="0"/>
        <w:rPr>
          <w:u w:val="single"/>
        </w:rPr>
      </w:pPr>
      <w:r w:rsidRPr="00E3439D">
        <w:rPr>
          <w:u w:val="single"/>
        </w:rPr>
        <w:t>Implications</w:t>
      </w:r>
    </w:p>
    <w:p w14:paraId="38AE99D9" w14:textId="3E5E9686" w:rsidR="00DB6E34" w:rsidRDefault="00206901" w:rsidP="00B44406">
      <w:pPr>
        <w:spacing w:after="0"/>
      </w:pPr>
      <w:r>
        <w:t>R</w:t>
      </w:r>
      <w:r w:rsidRPr="00206901">
        <w:t>eflecting on th</w:t>
      </w:r>
      <w:r w:rsidR="00427933">
        <w:t>is</w:t>
      </w:r>
      <w:r w:rsidRPr="00206901">
        <w:t xml:space="preserve"> study has highlighted several important implications for both my future research and my evolving professional practice within sports nutrition. Although the project was relatively small in scale, it has been highly informative in shaping how I think about athlete behaviour, design research, and how I will approach education </w:t>
      </w:r>
      <w:r w:rsidR="003B67A2">
        <w:t>when working with athletes.</w:t>
      </w:r>
    </w:p>
    <w:p w14:paraId="761E23F1" w14:textId="77777777" w:rsidR="0051597B" w:rsidRDefault="0051597B" w:rsidP="00B44406">
      <w:pPr>
        <w:spacing w:after="0"/>
      </w:pPr>
    </w:p>
    <w:p w14:paraId="53962154" w14:textId="092F4553" w:rsidR="00B0609B" w:rsidRDefault="00B0609B" w:rsidP="00B44406">
      <w:pPr>
        <w:spacing w:after="0"/>
      </w:pPr>
      <w:r w:rsidRPr="00B0609B">
        <w:t>A key implication for future research is the need to use more modern,</w:t>
      </w:r>
      <w:r w:rsidR="009933A4">
        <w:t xml:space="preserve"> </w:t>
      </w:r>
      <w:r w:rsidRPr="00B0609B">
        <w:t>behaviour</w:t>
      </w:r>
      <w:r w:rsidR="009933A4">
        <w:t xml:space="preserve"> </w:t>
      </w:r>
      <w:r w:rsidRPr="00B0609B">
        <w:t>focused theoretical frameworks. This study was originally based on the Knowledge–Attitudes–Behaviour (KAB) model, which assumes that knowledge leads to attitudes and then to behaviour. However, the weak correlations between these areas showed that the model did not explain hydration behaviour in tennis players very well. Frameworks such as COM</w:t>
      </w:r>
      <w:r w:rsidRPr="00B0609B">
        <w:noBreakHyphen/>
        <w:t>B, which view behaviour as shaped by capability, opportunity and motivation, offer a more realistic and detailed way to study hydration. Using these models would allow future research to capture the many different factors that influence hydration behaviour, including environmental barriers, social expectations, habits and psychological motivations.</w:t>
      </w:r>
    </w:p>
    <w:p w14:paraId="61E3B571" w14:textId="77777777" w:rsidR="0051597B" w:rsidRPr="00B0609B" w:rsidRDefault="0051597B" w:rsidP="00B44406">
      <w:pPr>
        <w:spacing w:after="0"/>
      </w:pPr>
    </w:p>
    <w:p w14:paraId="766C3258" w14:textId="764A1CCE" w:rsidR="00513455" w:rsidRDefault="006D5412" w:rsidP="00B44406">
      <w:pPr>
        <w:spacing w:after="0"/>
      </w:pPr>
      <w:r>
        <w:t>T</w:t>
      </w:r>
      <w:r w:rsidR="00B0609B" w:rsidRPr="00B0609B">
        <w:t xml:space="preserve">he study also showed that I need to change the kinds of research questions I ask in the future. Instead of focusing mainly on what athletes know or say they do, I now need to explore why they behave in certain ways. Behaviour is shaped by the situations people are in, the social environment around them and their motivation, not just their </w:t>
      </w:r>
      <w:r w:rsidR="00B0609B" w:rsidRPr="00B0609B">
        <w:lastRenderedPageBreak/>
        <w:t>knowledge (Mayne, 2018). This means asking questions</w:t>
      </w:r>
      <w:r w:rsidR="00B96FDB">
        <w:t xml:space="preserve"> via interview</w:t>
      </w:r>
      <w:r w:rsidR="00B0609B" w:rsidRPr="00B0609B">
        <w:t xml:space="preserve"> that look more closely at athletes’ real experiences and the challenges they face during training and matches.</w:t>
      </w:r>
    </w:p>
    <w:p w14:paraId="7AAB091F" w14:textId="77777777" w:rsidR="00EB1087" w:rsidRPr="00513455" w:rsidRDefault="00EB1087" w:rsidP="00B44406">
      <w:pPr>
        <w:spacing w:after="0"/>
      </w:pPr>
    </w:p>
    <w:p w14:paraId="4B7DE152" w14:textId="469A739D" w:rsidR="00C77403" w:rsidRDefault="00EB5508" w:rsidP="00B44406">
      <w:pPr>
        <w:spacing w:after="0"/>
      </w:pPr>
      <w:r w:rsidRPr="00EB5508">
        <w:t xml:space="preserve">Future research </w:t>
      </w:r>
      <w:r w:rsidR="00D8723D">
        <w:t>co</w:t>
      </w:r>
      <w:r w:rsidRPr="00EB5508">
        <w:t>uld include objective hydration assessments before training and matches to determine how well athletes are actually hydrated, and then compare these results with their KAB scores and their confidence in their hydration practices.</w:t>
      </w:r>
      <w:r w:rsidR="007905F0">
        <w:t xml:space="preserve"> </w:t>
      </w:r>
      <w:r w:rsidR="00C72450">
        <w:t>Another useful area for future research is to test whether personalised hydration plans actually improve athletes’ hydration status, and to see whether any improvements are linked to changes in their knowledge, attitudes and behaviours. This is important because tailored interventions are generally more effective at changing behaviour than broad, general advice (Michie et al., 2014). Future studies should also include objective measures</w:t>
      </w:r>
      <w:r w:rsidR="00367B2B">
        <w:t xml:space="preserve">, </w:t>
      </w:r>
      <w:r w:rsidR="00C72450">
        <w:t>such as urine specific gravity, sweat</w:t>
      </w:r>
      <w:r w:rsidR="00C72450">
        <w:rPr>
          <w:rFonts w:ascii="Cambria Math" w:hAnsi="Cambria Math" w:cs="Cambria Math"/>
        </w:rPr>
        <w:t>‑</w:t>
      </w:r>
      <w:r w:rsidR="00C72450">
        <w:t>rate testing or direct observation</w:t>
      </w:r>
      <w:r w:rsidR="00367B2B">
        <w:t>. This would</w:t>
      </w:r>
      <w:r w:rsidR="00C72450">
        <w:t xml:space="preserve"> give a more accurate picture of how athletes really hydrate. Combining these objective measures with self</w:t>
      </w:r>
      <w:r w:rsidR="00C72450">
        <w:rPr>
          <w:rFonts w:ascii="Cambria Math" w:hAnsi="Cambria Math" w:cs="Cambria Math"/>
        </w:rPr>
        <w:t>‑</w:t>
      </w:r>
      <w:r w:rsidR="00C72450">
        <w:t>report data would create a stronger and more reliable understanding of hydration behaviour.</w:t>
      </w:r>
    </w:p>
    <w:p w14:paraId="74CF2BE3" w14:textId="77777777" w:rsidR="00D278FC" w:rsidRDefault="00D278FC" w:rsidP="00B44406">
      <w:pPr>
        <w:spacing w:after="0"/>
      </w:pPr>
    </w:p>
    <w:p w14:paraId="441231A6" w14:textId="522D7C90" w:rsidR="00186C48" w:rsidRDefault="00AC3FE8" w:rsidP="00B44406">
      <w:pPr>
        <w:spacing w:after="0"/>
      </w:pPr>
      <w:r>
        <w:t xml:space="preserve"> </w:t>
      </w:r>
      <w:r w:rsidR="003C5CF4" w:rsidRPr="003C5CF4">
        <w:t>Future research needs to broaden both the sample and the settings in which hydration behaviour is studied. This study involved only three tennis clubs, and recruitment was organised through coaches, which limited the size and diversity of the participants. To gain a clearer and more representative picture of hydration behaviour, future studies should include larger and more varied samples that cover different age groups, competitive levels and geographic areas. Widening the sample in this way would make it possible to explore how hydration knowledge, attitudes and behaviours differ between recreational, club</w:t>
      </w:r>
      <w:r w:rsidR="00780641">
        <w:t xml:space="preserve"> </w:t>
      </w:r>
      <w:r w:rsidR="003C5CF4" w:rsidRPr="003C5CF4">
        <w:t xml:space="preserve">level, academy and elite players, as well as between adults and juniors, whose hydration needs and routines may be very different. Including academy and junior athletes is especially important because their training environments, coaching support and stages of development may influence hydration behaviour in ways that are not seen in adult players. </w:t>
      </w:r>
    </w:p>
    <w:p w14:paraId="7E51A535" w14:textId="77777777" w:rsidR="00186C48" w:rsidRDefault="00186C48" w:rsidP="00B44406">
      <w:pPr>
        <w:spacing w:after="0"/>
      </w:pPr>
    </w:p>
    <w:p w14:paraId="22CAE15B" w14:textId="75FD2F08" w:rsidR="005244DA" w:rsidRDefault="003C5CF4" w:rsidP="00B44406">
      <w:pPr>
        <w:spacing w:after="0"/>
      </w:pPr>
      <w:r w:rsidRPr="003C5CF4">
        <w:t>There is also value in expanding research beyond tennis to other intermittent, high</w:t>
      </w:r>
      <w:r w:rsidRPr="003C5CF4">
        <w:noBreakHyphen/>
        <w:t>intensity sports such as squash, badminton or padel. Comparing these sports would help show whether certain hydration challenges are unique to tennis or whether they reflect wider patterns found in similar sports. These comparisons could also highlight sport</w:t>
      </w:r>
      <w:r w:rsidRPr="003C5CF4">
        <w:noBreakHyphen/>
        <w:t xml:space="preserve">specific demands, </w:t>
      </w:r>
      <w:r w:rsidR="00457819">
        <w:t xml:space="preserve">that </w:t>
      </w:r>
      <w:r w:rsidRPr="003C5CF4">
        <w:t>shape hydration behaviour in different athletic settings. Broadening the sample and context in these ways would not only improve how well future findings can be applied to wider groups, but also help researchers identify patterns that are specific to certain populations and may require tailored interventions. A wider and more diverse evidence base would support the development of more targeted education strategies, more effective behaviour</w:t>
      </w:r>
      <w:r w:rsidRPr="003C5CF4">
        <w:noBreakHyphen/>
        <w:t xml:space="preserve">change approaches and more </w:t>
      </w:r>
      <w:r w:rsidRPr="003C5CF4">
        <w:lastRenderedPageBreak/>
        <w:t>accurate recommendations for athletes across different performance levels and sporting environments.</w:t>
      </w:r>
    </w:p>
    <w:p w14:paraId="2AC9F79C" w14:textId="77777777" w:rsidR="00854DE8" w:rsidRDefault="00854DE8" w:rsidP="00B44406">
      <w:pPr>
        <w:spacing w:after="0"/>
      </w:pPr>
    </w:p>
    <w:p w14:paraId="02E0FA68" w14:textId="4A587213" w:rsidR="00D278FC" w:rsidRDefault="00854DE8" w:rsidP="00B44406">
      <w:pPr>
        <w:spacing w:after="0"/>
      </w:pPr>
      <w:r w:rsidRPr="00854DE8">
        <w:t>Professionally, this study has changed how I think about hydration education and how I support athletes. I used to assume that giving people the right information was the main way to change behaviour, but this study showed me that this is not always true. Knowing what to do does not automatically mean athletes will do it, and this means that handing out hydration guidelines or information sheets on their own is unlikely to make much difference. Going forward, I need to think not only about what athletes know, but also about whether they have the opportunity and the motivation to act on that knowledge. The study also highlighted the importance of understanding athletes’ attitudes and beliefs. Even when players recognise that hydration matters, they may not prioritise it if they do not feel any immediate performance effects. This suggests that future educational approaches should focus more on the performance benefits of good hydration, such as better concentration, improved endurance and faster recovery, rather than relying only on general health messages. It also indicates that using behaviour</w:t>
      </w:r>
      <w:r w:rsidRPr="00854DE8">
        <w:noBreakHyphen/>
        <w:t>change techniques such as goal</w:t>
      </w:r>
      <w:r w:rsidRPr="00854DE8">
        <w:noBreakHyphen/>
        <w:t>setting, self</w:t>
      </w:r>
      <w:r w:rsidRPr="00854DE8">
        <w:noBreakHyphen/>
        <w:t>monitoring or personalised feedback may help increase motivation and support more consistent hydration habits. Together, these insights show that effective hydration support needs to go beyond information alone and take into account the wider factors that shape athletes’ decisions and routines.</w:t>
      </w:r>
    </w:p>
    <w:p w14:paraId="543B1B1D" w14:textId="77777777" w:rsidR="00854DE8" w:rsidRDefault="00854DE8" w:rsidP="00B44406">
      <w:pPr>
        <w:spacing w:after="0"/>
      </w:pPr>
    </w:p>
    <w:p w14:paraId="057756A5" w14:textId="77777777" w:rsidR="000006D3" w:rsidRDefault="000006D3" w:rsidP="00B44406">
      <w:pPr>
        <w:spacing w:after="0"/>
      </w:pPr>
      <w:r>
        <w:t>Finally, the study has strengthened my confidence as a developing researcher. It has taught me the value of reflexivity, the importance of theoretical alignment, and the need for methodological coherence. These insights will guide my future academic work and enhance the quality of the research I produce. Professionally, the study has deepened my understanding of athlete behaviour and will inform the way I design interventions, communicate with players and collaborate with coaches.</w:t>
      </w:r>
    </w:p>
    <w:p w14:paraId="41FDC1AB" w14:textId="77777777" w:rsidR="00F02D21" w:rsidRDefault="00F02D21"/>
    <w:p w14:paraId="53EC97C6" w14:textId="77777777" w:rsidR="00F02D21" w:rsidRDefault="00F02D21"/>
    <w:p w14:paraId="020B5D94" w14:textId="77777777" w:rsidR="00F02D21" w:rsidRDefault="00F02D21"/>
    <w:p w14:paraId="68575925" w14:textId="36875D19" w:rsidR="00612743" w:rsidRDefault="00981B22">
      <w:r>
        <w:t>Word Count -  2</w:t>
      </w:r>
      <w:r w:rsidR="00F02D21">
        <w:t>880</w:t>
      </w:r>
      <w:r w:rsidR="00612743">
        <w:br w:type="page"/>
      </w:r>
    </w:p>
    <w:p w14:paraId="147E580A" w14:textId="3B1BFD2C" w:rsidR="00742392" w:rsidRPr="00B44406" w:rsidRDefault="00612743">
      <w:pPr>
        <w:rPr>
          <w:sz w:val="22"/>
          <w:szCs w:val="22"/>
          <w:u w:val="single"/>
        </w:rPr>
      </w:pPr>
      <w:r w:rsidRPr="00B44406">
        <w:rPr>
          <w:sz w:val="22"/>
          <w:szCs w:val="22"/>
          <w:u w:val="single"/>
        </w:rPr>
        <w:lastRenderedPageBreak/>
        <w:t>References</w:t>
      </w:r>
    </w:p>
    <w:p w14:paraId="1EC54EE8" w14:textId="407504D2" w:rsidR="005021A5" w:rsidRPr="00094952" w:rsidRDefault="005021A5">
      <w:pPr>
        <w:rPr>
          <w:sz w:val="22"/>
          <w:szCs w:val="22"/>
        </w:rPr>
      </w:pPr>
      <w:r w:rsidRPr="00094952">
        <w:rPr>
          <w:sz w:val="22"/>
          <w:szCs w:val="22"/>
        </w:rPr>
        <w:t xml:space="preserve">Barker, F., Atkins, L. and de Lusignan, S., </w:t>
      </w:r>
      <w:r w:rsidR="00652329" w:rsidRPr="00094952">
        <w:rPr>
          <w:sz w:val="22"/>
          <w:szCs w:val="22"/>
        </w:rPr>
        <w:t>(</w:t>
      </w:r>
      <w:r w:rsidRPr="00094952">
        <w:rPr>
          <w:sz w:val="22"/>
          <w:szCs w:val="22"/>
        </w:rPr>
        <w:t>2016</w:t>
      </w:r>
      <w:r w:rsidR="00652329" w:rsidRPr="00094952">
        <w:rPr>
          <w:sz w:val="22"/>
          <w:szCs w:val="22"/>
        </w:rPr>
        <w:t>)</w:t>
      </w:r>
      <w:r w:rsidRPr="00094952">
        <w:rPr>
          <w:sz w:val="22"/>
          <w:szCs w:val="22"/>
        </w:rPr>
        <w:t>. Applying the COM-B behaviour model and behaviour change wheel to develop an intervention to improve hearing-aid use in adult auditory rehabilitation. </w:t>
      </w:r>
      <w:r w:rsidRPr="00094952">
        <w:rPr>
          <w:i/>
          <w:iCs/>
          <w:sz w:val="22"/>
          <w:szCs w:val="22"/>
        </w:rPr>
        <w:t>International journal of audiology</w:t>
      </w:r>
      <w:r w:rsidRPr="00094952">
        <w:rPr>
          <w:sz w:val="22"/>
          <w:szCs w:val="22"/>
        </w:rPr>
        <w:t>, </w:t>
      </w:r>
      <w:r w:rsidRPr="00094952">
        <w:rPr>
          <w:i/>
          <w:iCs/>
          <w:sz w:val="22"/>
          <w:szCs w:val="22"/>
        </w:rPr>
        <w:t>55</w:t>
      </w:r>
      <w:r w:rsidRPr="00094952">
        <w:rPr>
          <w:sz w:val="22"/>
          <w:szCs w:val="22"/>
        </w:rPr>
        <w:t>(sup3), pp.S90-S98.</w:t>
      </w:r>
    </w:p>
    <w:p w14:paraId="239EABAD" w14:textId="5E84BA10" w:rsidR="00DF103D" w:rsidRPr="00094952" w:rsidRDefault="00DF103D" w:rsidP="00DF103D">
      <w:pPr>
        <w:rPr>
          <w:sz w:val="22"/>
          <w:szCs w:val="22"/>
        </w:rPr>
      </w:pPr>
      <w:r w:rsidRPr="00DF103D">
        <w:rPr>
          <w:sz w:val="22"/>
          <w:szCs w:val="22"/>
        </w:rPr>
        <w:t>Cohen, L., Manion, L. and Morrison, K., 2002. </w:t>
      </w:r>
      <w:r w:rsidRPr="00DF103D">
        <w:rPr>
          <w:i/>
          <w:iCs/>
          <w:sz w:val="22"/>
          <w:szCs w:val="22"/>
        </w:rPr>
        <w:t>Research methods in education</w:t>
      </w:r>
      <w:r w:rsidRPr="00DF103D">
        <w:rPr>
          <w:sz w:val="22"/>
          <w:szCs w:val="22"/>
        </w:rPr>
        <w:t xml:space="preserve">. </w:t>
      </w:r>
      <w:proofErr w:type="spellStart"/>
      <w:r w:rsidRPr="00DF103D">
        <w:rPr>
          <w:sz w:val="22"/>
          <w:szCs w:val="22"/>
        </w:rPr>
        <w:t>routledge</w:t>
      </w:r>
      <w:proofErr w:type="spellEnd"/>
      <w:r w:rsidRPr="00DF103D">
        <w:rPr>
          <w:sz w:val="22"/>
          <w:szCs w:val="22"/>
        </w:rPr>
        <w:t>.</w:t>
      </w:r>
    </w:p>
    <w:p w14:paraId="5F463651" w14:textId="77BDED2B" w:rsidR="00DF103D" w:rsidRPr="00094952" w:rsidRDefault="000343F6" w:rsidP="00545A98">
      <w:pPr>
        <w:rPr>
          <w:sz w:val="22"/>
          <w:szCs w:val="22"/>
        </w:rPr>
      </w:pPr>
      <w:r w:rsidRPr="00094952">
        <w:rPr>
          <w:sz w:val="22"/>
          <w:szCs w:val="22"/>
        </w:rPr>
        <w:t xml:space="preserve">Creswell, J. W. &amp; Creswell, J. D. (2018). </w:t>
      </w:r>
      <w:r w:rsidRPr="00094952">
        <w:rPr>
          <w:i/>
          <w:iCs/>
          <w:sz w:val="22"/>
          <w:szCs w:val="22"/>
        </w:rPr>
        <w:t>Research Design: Qualitative, Quantitative and Mixed Methods Approaches</w:t>
      </w:r>
      <w:r w:rsidRPr="00094952">
        <w:rPr>
          <w:sz w:val="22"/>
          <w:szCs w:val="22"/>
        </w:rPr>
        <w:t xml:space="preserve"> (5th ed.). Sage</w:t>
      </w:r>
    </w:p>
    <w:p w14:paraId="747F2631" w14:textId="1C187AB8" w:rsidR="00545A98" w:rsidRPr="00094952" w:rsidRDefault="00BD1674">
      <w:pPr>
        <w:rPr>
          <w:sz w:val="22"/>
          <w:szCs w:val="22"/>
        </w:rPr>
      </w:pPr>
      <w:proofErr w:type="spellStart"/>
      <w:r w:rsidRPr="00BD1674">
        <w:rPr>
          <w:sz w:val="22"/>
          <w:szCs w:val="22"/>
        </w:rPr>
        <w:t>Etikan</w:t>
      </w:r>
      <w:proofErr w:type="spellEnd"/>
      <w:r w:rsidRPr="00BD1674">
        <w:rPr>
          <w:sz w:val="22"/>
          <w:szCs w:val="22"/>
        </w:rPr>
        <w:t>, I., Musa, S.A. and Alkassim, R.S., 2016. Comparison of convenience sampling and purposive sampling. </w:t>
      </w:r>
      <w:r w:rsidRPr="00BD1674">
        <w:rPr>
          <w:i/>
          <w:iCs/>
          <w:sz w:val="22"/>
          <w:szCs w:val="22"/>
        </w:rPr>
        <w:t>American journal of theoretical and applied statistics</w:t>
      </w:r>
      <w:r w:rsidRPr="00BD1674">
        <w:rPr>
          <w:sz w:val="22"/>
          <w:szCs w:val="22"/>
        </w:rPr>
        <w:t>, </w:t>
      </w:r>
      <w:r w:rsidRPr="00BD1674">
        <w:rPr>
          <w:i/>
          <w:iCs/>
          <w:sz w:val="22"/>
          <w:szCs w:val="22"/>
        </w:rPr>
        <w:t>5</w:t>
      </w:r>
      <w:r w:rsidRPr="00BD1674">
        <w:rPr>
          <w:sz w:val="22"/>
          <w:szCs w:val="22"/>
        </w:rPr>
        <w:t>(1), pp.1-4.</w:t>
      </w:r>
    </w:p>
    <w:p w14:paraId="56466987" w14:textId="06BAB64D" w:rsidR="000135F7" w:rsidRPr="000343F6" w:rsidRDefault="000135F7">
      <w:pPr>
        <w:rPr>
          <w:rFonts w:cs="Arial"/>
          <w:sz w:val="22"/>
          <w:szCs w:val="22"/>
        </w:rPr>
      </w:pPr>
      <w:r w:rsidRPr="00094952">
        <w:rPr>
          <w:rFonts w:cs="Arial"/>
          <w:sz w:val="22"/>
          <w:szCs w:val="22"/>
        </w:rPr>
        <w:t>Gamage, J.P., De Silva, A.P., Nalliah, A.K. and Galloway, S.D., (2016) “Effects of dehydration on cricket specific skill performance in hot and humid conditions”. </w:t>
      </w:r>
      <w:r w:rsidRPr="00094952">
        <w:rPr>
          <w:rFonts w:cs="Arial"/>
          <w:i/>
          <w:iCs/>
          <w:sz w:val="22"/>
          <w:szCs w:val="22"/>
        </w:rPr>
        <w:t>International journal of sport nutrition and exercise metabolism</w:t>
      </w:r>
      <w:r w:rsidRPr="00094952">
        <w:rPr>
          <w:rFonts w:cs="Arial"/>
          <w:sz w:val="22"/>
          <w:szCs w:val="22"/>
        </w:rPr>
        <w:t>, </w:t>
      </w:r>
      <w:r w:rsidRPr="00094952">
        <w:rPr>
          <w:rFonts w:cs="Arial"/>
          <w:i/>
          <w:iCs/>
          <w:sz w:val="22"/>
          <w:szCs w:val="22"/>
        </w:rPr>
        <w:t>26</w:t>
      </w:r>
      <w:r w:rsidRPr="00094952">
        <w:rPr>
          <w:rFonts w:cs="Arial"/>
          <w:sz w:val="22"/>
          <w:szCs w:val="22"/>
        </w:rPr>
        <w:t>(</w:t>
      </w:r>
      <w:r w:rsidRPr="00094952">
        <w:rPr>
          <w:rFonts w:cs="Arial"/>
          <w:b/>
          <w:bCs/>
          <w:sz w:val="22"/>
          <w:szCs w:val="22"/>
        </w:rPr>
        <w:t>6</w:t>
      </w:r>
      <w:r w:rsidRPr="00094952">
        <w:rPr>
          <w:rFonts w:cs="Arial"/>
          <w:sz w:val="22"/>
          <w:szCs w:val="22"/>
        </w:rPr>
        <w:t>), pp.531-541.</w:t>
      </w:r>
    </w:p>
    <w:p w14:paraId="35D72A41" w14:textId="3E8EA79A" w:rsidR="00E3471A" w:rsidRPr="000343F6" w:rsidRDefault="00E3471A">
      <w:pPr>
        <w:rPr>
          <w:rFonts w:cs="Arial"/>
          <w:sz w:val="22"/>
          <w:szCs w:val="22"/>
        </w:rPr>
      </w:pPr>
      <w:proofErr w:type="spellStart"/>
      <w:r w:rsidRPr="00094952">
        <w:rPr>
          <w:rFonts w:cs="Arial"/>
          <w:sz w:val="22"/>
          <w:szCs w:val="22"/>
        </w:rPr>
        <w:t>Gigou</w:t>
      </w:r>
      <w:proofErr w:type="spellEnd"/>
      <w:r w:rsidRPr="00094952">
        <w:rPr>
          <w:rFonts w:cs="Arial"/>
          <w:sz w:val="22"/>
          <w:szCs w:val="22"/>
        </w:rPr>
        <w:t>, P.Y., Lamontagne-Lacasse, M. and Goulet, E.D., (2010) “Meta-Analysis Of The Effects Of Pre-Exercise Hypohydration On Endurance Performance, Lactate Threshold And Vo2max” </w:t>
      </w:r>
      <w:r w:rsidRPr="00094952">
        <w:rPr>
          <w:rFonts w:cs="Arial"/>
          <w:i/>
          <w:iCs/>
          <w:sz w:val="22"/>
          <w:szCs w:val="22"/>
        </w:rPr>
        <w:t>Medicine &amp; Science in Sports &amp; Exercise</w:t>
      </w:r>
      <w:r w:rsidRPr="00094952">
        <w:rPr>
          <w:rFonts w:cs="Arial"/>
          <w:sz w:val="22"/>
          <w:szCs w:val="22"/>
        </w:rPr>
        <w:t>, </w:t>
      </w:r>
      <w:r w:rsidRPr="00094952">
        <w:rPr>
          <w:rFonts w:cs="Arial"/>
          <w:i/>
          <w:iCs/>
          <w:sz w:val="22"/>
          <w:szCs w:val="22"/>
        </w:rPr>
        <w:t>42</w:t>
      </w:r>
      <w:r w:rsidRPr="00094952">
        <w:rPr>
          <w:rFonts w:cs="Arial"/>
          <w:sz w:val="22"/>
          <w:szCs w:val="22"/>
        </w:rPr>
        <w:t>(</w:t>
      </w:r>
      <w:r w:rsidRPr="00094952">
        <w:rPr>
          <w:rFonts w:cs="Arial"/>
          <w:b/>
          <w:bCs/>
          <w:sz w:val="22"/>
          <w:szCs w:val="22"/>
        </w:rPr>
        <w:t>5</w:t>
      </w:r>
      <w:r w:rsidRPr="00094952">
        <w:rPr>
          <w:rFonts w:cs="Arial"/>
          <w:sz w:val="22"/>
          <w:szCs w:val="22"/>
        </w:rPr>
        <w:t>), pp.361-362.</w:t>
      </w:r>
    </w:p>
    <w:p w14:paraId="24222BA2" w14:textId="2F36E938" w:rsidR="00701798" w:rsidRDefault="00612743">
      <w:pPr>
        <w:rPr>
          <w:sz w:val="22"/>
          <w:szCs w:val="22"/>
        </w:rPr>
      </w:pPr>
      <w:r w:rsidRPr="00094952">
        <w:rPr>
          <w:sz w:val="22"/>
          <w:szCs w:val="22"/>
        </w:rPr>
        <w:t>Guba, E.G. and Lincoln, Y.S., 1994. Competing paradigms in qualitative research. </w:t>
      </w:r>
      <w:r w:rsidRPr="00094952">
        <w:rPr>
          <w:i/>
          <w:iCs/>
          <w:sz w:val="22"/>
          <w:szCs w:val="22"/>
        </w:rPr>
        <w:t>Handbook of qualitative research</w:t>
      </w:r>
      <w:r w:rsidRPr="00094952">
        <w:rPr>
          <w:sz w:val="22"/>
          <w:szCs w:val="22"/>
        </w:rPr>
        <w:t>, </w:t>
      </w:r>
      <w:r w:rsidRPr="00094952">
        <w:rPr>
          <w:i/>
          <w:iCs/>
          <w:sz w:val="22"/>
          <w:szCs w:val="22"/>
        </w:rPr>
        <w:t>2</w:t>
      </w:r>
      <w:r w:rsidRPr="00094952">
        <w:rPr>
          <w:sz w:val="22"/>
          <w:szCs w:val="22"/>
        </w:rPr>
        <w:t>(163-194), p.105.</w:t>
      </w:r>
    </w:p>
    <w:p w14:paraId="6EA4A4B1" w14:textId="60609F64" w:rsidR="00A577E8" w:rsidRPr="00094952" w:rsidRDefault="00A577E8">
      <w:pPr>
        <w:rPr>
          <w:sz w:val="22"/>
          <w:szCs w:val="22"/>
        </w:rPr>
      </w:pPr>
      <w:r w:rsidRPr="00A577E8">
        <w:rPr>
          <w:sz w:val="22"/>
          <w:szCs w:val="22"/>
        </w:rPr>
        <w:t>Mayne, J., 2018. The COM-B theory of change model. </w:t>
      </w:r>
      <w:r w:rsidRPr="00A577E8">
        <w:rPr>
          <w:i/>
          <w:iCs/>
          <w:sz w:val="22"/>
          <w:szCs w:val="22"/>
        </w:rPr>
        <w:t xml:space="preserve">unpublished, available at: www. </w:t>
      </w:r>
      <w:proofErr w:type="spellStart"/>
      <w:r w:rsidRPr="00A577E8">
        <w:rPr>
          <w:i/>
          <w:iCs/>
          <w:sz w:val="22"/>
          <w:szCs w:val="22"/>
        </w:rPr>
        <w:t>researchgate</w:t>
      </w:r>
      <w:proofErr w:type="spellEnd"/>
      <w:r w:rsidRPr="00A577E8">
        <w:rPr>
          <w:i/>
          <w:iCs/>
          <w:sz w:val="22"/>
          <w:szCs w:val="22"/>
        </w:rPr>
        <w:t>. net/publication/314086441_The_COM-B_Theory_of_Change_Model_V3</w:t>
      </w:r>
    </w:p>
    <w:p w14:paraId="3382A13B" w14:textId="3C7F62F0" w:rsidR="00D52889" w:rsidRDefault="00F20505">
      <w:pPr>
        <w:rPr>
          <w:sz w:val="22"/>
          <w:szCs w:val="22"/>
        </w:rPr>
      </w:pPr>
      <w:r w:rsidRPr="00F20505">
        <w:rPr>
          <w:sz w:val="22"/>
          <w:szCs w:val="22"/>
        </w:rPr>
        <w:t>Mitchell, L., Ratcliff, J., Burke, L.M. and Forsyth, A., 2024. Engaging athletes as research participants. A document analysis of published sport science literature. </w:t>
      </w:r>
      <w:r w:rsidRPr="00F20505">
        <w:rPr>
          <w:i/>
          <w:iCs/>
          <w:sz w:val="22"/>
          <w:szCs w:val="22"/>
        </w:rPr>
        <w:t>European Journal of Sport Science</w:t>
      </w:r>
      <w:r w:rsidRPr="00F20505">
        <w:rPr>
          <w:sz w:val="22"/>
          <w:szCs w:val="22"/>
        </w:rPr>
        <w:t>, </w:t>
      </w:r>
      <w:r w:rsidRPr="00F20505">
        <w:rPr>
          <w:i/>
          <w:iCs/>
          <w:sz w:val="22"/>
          <w:szCs w:val="22"/>
        </w:rPr>
        <w:t>24</w:t>
      </w:r>
      <w:r w:rsidRPr="00F20505">
        <w:rPr>
          <w:sz w:val="22"/>
          <w:szCs w:val="22"/>
        </w:rPr>
        <w:t>(10), pp.1442-1451.</w:t>
      </w:r>
    </w:p>
    <w:p w14:paraId="244911C7" w14:textId="113A1FD2" w:rsidR="000343F6" w:rsidRPr="00094952" w:rsidRDefault="000343F6">
      <w:pPr>
        <w:rPr>
          <w:sz w:val="22"/>
          <w:szCs w:val="22"/>
        </w:rPr>
      </w:pPr>
      <w:r w:rsidRPr="00A6208A">
        <w:rPr>
          <w:sz w:val="22"/>
          <w:szCs w:val="22"/>
        </w:rPr>
        <w:t>Michie, S., Van Stralen, M.M. and West, R., 2011. The behaviour change wheel: a new method for characterising and designing behaviour change interventions. </w:t>
      </w:r>
      <w:r w:rsidRPr="00A6208A">
        <w:rPr>
          <w:i/>
          <w:iCs/>
          <w:sz w:val="22"/>
          <w:szCs w:val="22"/>
        </w:rPr>
        <w:t>Implementation science</w:t>
      </w:r>
      <w:r w:rsidRPr="00A6208A">
        <w:rPr>
          <w:sz w:val="22"/>
          <w:szCs w:val="22"/>
        </w:rPr>
        <w:t>, </w:t>
      </w:r>
      <w:r w:rsidRPr="00A6208A">
        <w:rPr>
          <w:i/>
          <w:iCs/>
          <w:sz w:val="22"/>
          <w:szCs w:val="22"/>
        </w:rPr>
        <w:t>6</w:t>
      </w:r>
      <w:r w:rsidRPr="00A6208A">
        <w:rPr>
          <w:sz w:val="22"/>
          <w:szCs w:val="22"/>
        </w:rPr>
        <w:t>(1), p.42.</w:t>
      </w:r>
    </w:p>
    <w:p w14:paraId="2555291B" w14:textId="77777777" w:rsidR="00EF6D6A" w:rsidRPr="00094952" w:rsidRDefault="00EF6D6A" w:rsidP="00EF6D6A">
      <w:pPr>
        <w:rPr>
          <w:rFonts w:cs="Arial"/>
          <w:sz w:val="22"/>
          <w:szCs w:val="22"/>
        </w:rPr>
      </w:pPr>
      <w:r w:rsidRPr="00094952">
        <w:rPr>
          <w:rFonts w:cs="Arial"/>
          <w:sz w:val="22"/>
          <w:szCs w:val="22"/>
        </w:rPr>
        <w:t>Nichols, P.E., Jonnalagadda, S.S., Rosenbloom, C.A. and Trinkaus, M., (2005)  “Knowledge, attitudes, and behaviours regarding hydration and fluid replacement of collegiate athletes”. </w:t>
      </w:r>
      <w:r w:rsidRPr="00094952">
        <w:rPr>
          <w:rFonts w:cs="Arial"/>
          <w:i/>
          <w:iCs/>
          <w:sz w:val="22"/>
          <w:szCs w:val="22"/>
        </w:rPr>
        <w:t>International journal of sport nutrition and exercise metabolism</w:t>
      </w:r>
      <w:r w:rsidRPr="00094952">
        <w:rPr>
          <w:rFonts w:cs="Arial"/>
          <w:sz w:val="22"/>
          <w:szCs w:val="22"/>
        </w:rPr>
        <w:t>, </w:t>
      </w:r>
      <w:r w:rsidRPr="00094952">
        <w:rPr>
          <w:rFonts w:cs="Arial"/>
          <w:i/>
          <w:iCs/>
          <w:sz w:val="22"/>
          <w:szCs w:val="22"/>
        </w:rPr>
        <w:t>15</w:t>
      </w:r>
      <w:r w:rsidRPr="00094952">
        <w:rPr>
          <w:rFonts w:cs="Arial"/>
          <w:sz w:val="22"/>
          <w:szCs w:val="22"/>
        </w:rPr>
        <w:t>(</w:t>
      </w:r>
      <w:r w:rsidRPr="00094952">
        <w:rPr>
          <w:rFonts w:cs="Arial"/>
          <w:b/>
          <w:bCs/>
          <w:sz w:val="22"/>
          <w:szCs w:val="22"/>
        </w:rPr>
        <w:t>5</w:t>
      </w:r>
      <w:r w:rsidRPr="00094952">
        <w:rPr>
          <w:rFonts w:cs="Arial"/>
          <w:sz w:val="22"/>
          <w:szCs w:val="22"/>
        </w:rPr>
        <w:t>), pp.515-527.</w:t>
      </w:r>
    </w:p>
    <w:p w14:paraId="1D6C55FB" w14:textId="6E83DA9C" w:rsidR="00D52889" w:rsidRPr="00326195" w:rsidRDefault="00D52889" w:rsidP="00EF6D6A">
      <w:pPr>
        <w:rPr>
          <w:sz w:val="22"/>
          <w:szCs w:val="22"/>
        </w:rPr>
      </w:pPr>
      <w:r w:rsidRPr="00094952">
        <w:rPr>
          <w:sz w:val="22"/>
          <w:szCs w:val="22"/>
        </w:rPr>
        <w:t xml:space="preserve">Phillips, D.C. and </w:t>
      </w:r>
      <w:proofErr w:type="spellStart"/>
      <w:r w:rsidRPr="00094952">
        <w:rPr>
          <w:sz w:val="22"/>
          <w:szCs w:val="22"/>
        </w:rPr>
        <w:t>Burbules</w:t>
      </w:r>
      <w:proofErr w:type="spellEnd"/>
      <w:r w:rsidRPr="00094952">
        <w:rPr>
          <w:sz w:val="22"/>
          <w:szCs w:val="22"/>
        </w:rPr>
        <w:t>, N.C., 2000. </w:t>
      </w:r>
      <w:proofErr w:type="spellStart"/>
      <w:r w:rsidRPr="00094952">
        <w:rPr>
          <w:i/>
          <w:iCs/>
          <w:sz w:val="22"/>
          <w:szCs w:val="22"/>
        </w:rPr>
        <w:t>Postpositivism</w:t>
      </w:r>
      <w:proofErr w:type="spellEnd"/>
      <w:r w:rsidRPr="00094952">
        <w:rPr>
          <w:i/>
          <w:iCs/>
          <w:sz w:val="22"/>
          <w:szCs w:val="22"/>
        </w:rPr>
        <w:t xml:space="preserve"> and educational research</w:t>
      </w:r>
      <w:r w:rsidRPr="00094952">
        <w:rPr>
          <w:sz w:val="22"/>
          <w:szCs w:val="22"/>
        </w:rPr>
        <w:t>. Bloomsbury Publishing PLC.</w:t>
      </w:r>
    </w:p>
    <w:p w14:paraId="0D9A09D5" w14:textId="77777777" w:rsidR="00DE7A13" w:rsidRPr="00094952" w:rsidRDefault="00DE7A13" w:rsidP="00DE7A13">
      <w:pPr>
        <w:rPr>
          <w:rFonts w:cs="Arial"/>
          <w:sz w:val="22"/>
          <w:szCs w:val="22"/>
        </w:rPr>
      </w:pPr>
      <w:r w:rsidRPr="00094952">
        <w:rPr>
          <w:rFonts w:cs="Arial"/>
          <w:sz w:val="22"/>
          <w:szCs w:val="22"/>
        </w:rPr>
        <w:t>Song, G., Yan, Y., Zhao, H., Chen, J., Deng, Y., Zhu, W., Sun, L. and Ma, G., (2022) “A questionnaire study on the knowledge, attitudes, and practices of fluid replacement and urination among Chinese elite athletes”. </w:t>
      </w:r>
      <w:proofErr w:type="spellStart"/>
      <w:r w:rsidRPr="00094952">
        <w:rPr>
          <w:rFonts w:cs="Arial"/>
          <w:i/>
          <w:iCs/>
          <w:sz w:val="22"/>
          <w:szCs w:val="22"/>
        </w:rPr>
        <w:t>PloS</w:t>
      </w:r>
      <w:proofErr w:type="spellEnd"/>
      <w:r w:rsidRPr="00094952">
        <w:rPr>
          <w:rFonts w:cs="Arial"/>
          <w:i/>
          <w:iCs/>
          <w:sz w:val="22"/>
          <w:szCs w:val="22"/>
        </w:rPr>
        <w:t xml:space="preserve"> one</w:t>
      </w:r>
      <w:r w:rsidRPr="00094952">
        <w:rPr>
          <w:rFonts w:cs="Arial"/>
          <w:sz w:val="22"/>
          <w:szCs w:val="22"/>
        </w:rPr>
        <w:t>, </w:t>
      </w:r>
      <w:r w:rsidRPr="00094952">
        <w:rPr>
          <w:rFonts w:cs="Arial"/>
          <w:i/>
          <w:iCs/>
          <w:sz w:val="22"/>
          <w:szCs w:val="22"/>
        </w:rPr>
        <w:t>17</w:t>
      </w:r>
      <w:r w:rsidRPr="00094952">
        <w:rPr>
          <w:rFonts w:cs="Arial"/>
          <w:sz w:val="22"/>
          <w:szCs w:val="22"/>
        </w:rPr>
        <w:t>(</w:t>
      </w:r>
      <w:r w:rsidRPr="00094952">
        <w:rPr>
          <w:rFonts w:cs="Arial"/>
          <w:b/>
          <w:bCs/>
          <w:sz w:val="22"/>
          <w:szCs w:val="22"/>
        </w:rPr>
        <w:t>10</w:t>
      </w:r>
      <w:r w:rsidRPr="00094952">
        <w:rPr>
          <w:rFonts w:cs="Arial"/>
          <w:sz w:val="22"/>
          <w:szCs w:val="22"/>
        </w:rPr>
        <w:t>)</w:t>
      </w:r>
    </w:p>
    <w:p w14:paraId="17F774A8" w14:textId="2C1C1176" w:rsidR="00701798" w:rsidRDefault="00545A98">
      <w:pPr>
        <w:rPr>
          <w:rFonts w:cs="Arial"/>
          <w:sz w:val="22"/>
          <w:szCs w:val="22"/>
        </w:rPr>
      </w:pPr>
      <w:r w:rsidRPr="00094952">
        <w:rPr>
          <w:rFonts w:cs="Arial"/>
          <w:sz w:val="22"/>
          <w:szCs w:val="22"/>
        </w:rPr>
        <w:t xml:space="preserve">Yong, W.K., </w:t>
      </w:r>
      <w:proofErr w:type="spellStart"/>
      <w:r w:rsidRPr="00094952">
        <w:rPr>
          <w:rFonts w:cs="Arial"/>
          <w:sz w:val="22"/>
          <w:szCs w:val="22"/>
        </w:rPr>
        <w:t>Maizaitulaidawati</w:t>
      </w:r>
      <w:proofErr w:type="spellEnd"/>
      <w:r w:rsidRPr="00094952">
        <w:rPr>
          <w:rFonts w:cs="Arial"/>
          <w:sz w:val="22"/>
          <w:szCs w:val="22"/>
        </w:rPr>
        <w:t>, M.H. and Kamarudin, S., (2021). “Understanding research paradigms: A scientific guide.” </w:t>
      </w:r>
      <w:r w:rsidRPr="00094952">
        <w:rPr>
          <w:rFonts w:cs="Arial"/>
          <w:i/>
          <w:iCs/>
          <w:sz w:val="22"/>
          <w:szCs w:val="22"/>
        </w:rPr>
        <w:t>Journal of Contemporary Issues in Business and Government</w:t>
      </w:r>
      <w:r w:rsidRPr="00094952">
        <w:rPr>
          <w:rFonts w:cs="Arial"/>
          <w:sz w:val="22"/>
          <w:szCs w:val="22"/>
        </w:rPr>
        <w:t>, </w:t>
      </w:r>
      <w:r w:rsidRPr="00094952">
        <w:rPr>
          <w:rFonts w:cs="Arial"/>
          <w:i/>
          <w:iCs/>
          <w:sz w:val="22"/>
          <w:szCs w:val="22"/>
        </w:rPr>
        <w:t>27</w:t>
      </w:r>
      <w:r w:rsidRPr="00094952">
        <w:rPr>
          <w:rFonts w:cs="Arial"/>
          <w:sz w:val="22"/>
          <w:szCs w:val="22"/>
        </w:rPr>
        <w:t>(</w:t>
      </w:r>
      <w:r w:rsidRPr="00094952">
        <w:rPr>
          <w:rFonts w:cs="Arial"/>
          <w:b/>
          <w:bCs/>
          <w:sz w:val="22"/>
          <w:szCs w:val="22"/>
        </w:rPr>
        <w:t>2</w:t>
      </w:r>
      <w:r w:rsidRPr="00094952">
        <w:rPr>
          <w:rFonts w:cs="Arial"/>
          <w:sz w:val="22"/>
          <w:szCs w:val="22"/>
        </w:rPr>
        <w:t>), pp.5857-5865</w:t>
      </w:r>
    </w:p>
    <w:p w14:paraId="0361BB93" w14:textId="77777777" w:rsidR="008B1414" w:rsidRPr="00C00B97" w:rsidRDefault="008B1414" w:rsidP="008B1414">
      <w:pPr>
        <w:rPr>
          <w:rFonts w:ascii="Arial" w:hAnsi="Arial" w:cs="Arial"/>
          <w:sz w:val="22"/>
          <w:szCs w:val="22"/>
        </w:rPr>
      </w:pPr>
      <w:r w:rsidRPr="00C00B97">
        <w:rPr>
          <w:rFonts w:ascii="Arial" w:hAnsi="Arial" w:cs="Arial"/>
          <w:sz w:val="22"/>
          <w:szCs w:val="22"/>
        </w:rPr>
        <w:lastRenderedPageBreak/>
        <w:t xml:space="preserve">Zarei, F., Dehghani, A., </w:t>
      </w:r>
      <w:proofErr w:type="spellStart"/>
      <w:r w:rsidRPr="00C00B97">
        <w:rPr>
          <w:rFonts w:ascii="Arial" w:hAnsi="Arial" w:cs="Arial"/>
          <w:sz w:val="22"/>
          <w:szCs w:val="22"/>
        </w:rPr>
        <w:t>Ratanasiri</w:t>
      </w:r>
      <w:proofErr w:type="spellEnd"/>
      <w:r w:rsidRPr="00C00B97">
        <w:rPr>
          <w:rFonts w:ascii="Arial" w:hAnsi="Arial" w:cs="Arial"/>
          <w:sz w:val="22"/>
          <w:szCs w:val="22"/>
        </w:rPr>
        <w:t xml:space="preserve">, A., Ghaffari, M., Raina, S.K., Halimi, A., </w:t>
      </w:r>
      <w:proofErr w:type="spellStart"/>
      <w:r w:rsidRPr="00C00B97">
        <w:rPr>
          <w:rFonts w:ascii="Arial" w:hAnsi="Arial" w:cs="Arial"/>
          <w:sz w:val="22"/>
          <w:szCs w:val="22"/>
        </w:rPr>
        <w:t>Rakhshanderou</w:t>
      </w:r>
      <w:proofErr w:type="spellEnd"/>
      <w:r w:rsidRPr="00C00B97">
        <w:rPr>
          <w:rFonts w:ascii="Arial" w:hAnsi="Arial" w:cs="Arial"/>
          <w:sz w:val="22"/>
          <w:szCs w:val="22"/>
        </w:rPr>
        <w:t xml:space="preserve">, S., Ismael, S.A., Amiri, P., </w:t>
      </w:r>
      <w:proofErr w:type="spellStart"/>
      <w:r w:rsidRPr="00C00B97">
        <w:rPr>
          <w:rFonts w:ascii="Arial" w:hAnsi="Arial" w:cs="Arial"/>
          <w:sz w:val="22"/>
          <w:szCs w:val="22"/>
        </w:rPr>
        <w:t>Aminafshar</w:t>
      </w:r>
      <w:proofErr w:type="spellEnd"/>
      <w:r w:rsidRPr="00C00B97">
        <w:rPr>
          <w:rFonts w:ascii="Arial" w:hAnsi="Arial" w:cs="Arial"/>
          <w:sz w:val="22"/>
          <w:szCs w:val="22"/>
        </w:rPr>
        <w:t xml:space="preserve">, A. and </w:t>
      </w:r>
      <w:proofErr w:type="spellStart"/>
      <w:r w:rsidRPr="00C00B97">
        <w:rPr>
          <w:rFonts w:ascii="Arial" w:hAnsi="Arial" w:cs="Arial"/>
          <w:sz w:val="22"/>
          <w:szCs w:val="22"/>
        </w:rPr>
        <w:t>Jarrahi</w:t>
      </w:r>
      <w:proofErr w:type="spellEnd"/>
      <w:r w:rsidRPr="00C00B97">
        <w:rPr>
          <w:rFonts w:ascii="Arial" w:hAnsi="Arial" w:cs="Arial"/>
          <w:sz w:val="22"/>
          <w:szCs w:val="22"/>
        </w:rPr>
        <w:t>, A.M., (2024) “</w:t>
      </w:r>
      <w:proofErr w:type="spellStart"/>
      <w:r w:rsidRPr="00C00B97">
        <w:rPr>
          <w:rFonts w:ascii="Arial" w:hAnsi="Arial" w:cs="Arial"/>
          <w:sz w:val="22"/>
          <w:szCs w:val="22"/>
        </w:rPr>
        <w:t>ChecKAP</w:t>
      </w:r>
      <w:proofErr w:type="spellEnd"/>
      <w:r w:rsidRPr="00C00B97">
        <w:rPr>
          <w:rFonts w:ascii="Arial" w:hAnsi="Arial" w:cs="Arial"/>
          <w:sz w:val="22"/>
          <w:szCs w:val="22"/>
        </w:rPr>
        <w:t>: a checklist for reporting a knowledge, attitude, and practice (KAP) study”. </w:t>
      </w:r>
      <w:r w:rsidRPr="00C00B97">
        <w:rPr>
          <w:rFonts w:ascii="Arial" w:hAnsi="Arial" w:cs="Arial"/>
          <w:i/>
          <w:iCs/>
          <w:sz w:val="22"/>
          <w:szCs w:val="22"/>
        </w:rPr>
        <w:t>Asian Pacific journal of cancer prevention: APJCP</w:t>
      </w:r>
      <w:r w:rsidRPr="00C00B97">
        <w:rPr>
          <w:rFonts w:ascii="Arial" w:hAnsi="Arial" w:cs="Arial"/>
          <w:sz w:val="22"/>
          <w:szCs w:val="22"/>
        </w:rPr>
        <w:t>, </w:t>
      </w:r>
      <w:r w:rsidRPr="00C00B97">
        <w:rPr>
          <w:rFonts w:ascii="Arial" w:hAnsi="Arial" w:cs="Arial"/>
          <w:i/>
          <w:iCs/>
          <w:sz w:val="22"/>
          <w:szCs w:val="22"/>
        </w:rPr>
        <w:t>25</w:t>
      </w:r>
      <w:r w:rsidRPr="00C00B97">
        <w:rPr>
          <w:rFonts w:ascii="Arial" w:hAnsi="Arial" w:cs="Arial"/>
          <w:sz w:val="22"/>
          <w:szCs w:val="22"/>
        </w:rPr>
        <w:t>(</w:t>
      </w:r>
      <w:r w:rsidRPr="00C00B97">
        <w:rPr>
          <w:rFonts w:ascii="Arial" w:hAnsi="Arial" w:cs="Arial"/>
          <w:b/>
          <w:bCs/>
          <w:sz w:val="22"/>
          <w:szCs w:val="22"/>
        </w:rPr>
        <w:t>7</w:t>
      </w:r>
      <w:r w:rsidRPr="00C00B97">
        <w:rPr>
          <w:rFonts w:ascii="Arial" w:hAnsi="Arial" w:cs="Arial"/>
          <w:sz w:val="22"/>
          <w:szCs w:val="22"/>
        </w:rPr>
        <w:t xml:space="preserve">), </w:t>
      </w:r>
    </w:p>
    <w:sectPr w:rsidR="008B1414" w:rsidRPr="00C00B9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2743A9" w14:textId="77777777" w:rsidR="000D5A37" w:rsidRDefault="000D5A37" w:rsidP="002D2D25">
      <w:pPr>
        <w:spacing w:after="0" w:line="240" w:lineRule="auto"/>
      </w:pPr>
      <w:r>
        <w:separator/>
      </w:r>
    </w:p>
  </w:endnote>
  <w:endnote w:type="continuationSeparator" w:id="0">
    <w:p w14:paraId="44B2C386" w14:textId="77777777" w:rsidR="000D5A37" w:rsidRDefault="000D5A37" w:rsidP="002D2D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9203857"/>
      <w:docPartObj>
        <w:docPartGallery w:val="Page Numbers (Bottom of Page)"/>
        <w:docPartUnique/>
      </w:docPartObj>
    </w:sdtPr>
    <w:sdtEndPr>
      <w:rPr>
        <w:noProof/>
      </w:rPr>
    </w:sdtEndPr>
    <w:sdtContent>
      <w:p w14:paraId="0B26C21A" w14:textId="0C47CA8E" w:rsidR="00F6614D" w:rsidRDefault="00F661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64C028" w14:textId="77777777" w:rsidR="002D2D25" w:rsidRDefault="002D2D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C343D3" w14:textId="77777777" w:rsidR="000D5A37" w:rsidRDefault="000D5A37" w:rsidP="002D2D25">
      <w:pPr>
        <w:spacing w:after="0" w:line="240" w:lineRule="auto"/>
      </w:pPr>
      <w:r>
        <w:separator/>
      </w:r>
    </w:p>
  </w:footnote>
  <w:footnote w:type="continuationSeparator" w:id="0">
    <w:p w14:paraId="6E03F2CD" w14:textId="77777777" w:rsidR="000D5A37" w:rsidRDefault="000D5A37" w:rsidP="002D2D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3B28A9" w14:textId="1A04BDE8" w:rsidR="00305D70" w:rsidRDefault="00C8113C">
    <w:pPr>
      <w:pStyle w:val="Header"/>
      <w:jc w:val="right"/>
      <w:rPr>
        <w:color w:val="156082" w:themeColor="accent1"/>
      </w:rPr>
    </w:pPr>
    <w:r>
      <w:rPr>
        <w:color w:val="156082" w:themeColor="accent1"/>
      </w:rPr>
      <w:t>Reflective paper</w:t>
    </w:r>
    <w:r w:rsidR="00305D70">
      <w:rPr>
        <w:color w:val="156082" w:themeColor="accent1"/>
      </w:rPr>
      <w:t xml:space="preserve"> | </w:t>
    </w:r>
    <w:sdt>
      <w:sdtPr>
        <w:rPr>
          <w:color w:val="156082" w:themeColor="accent1"/>
        </w:rPr>
        <w:alias w:val="Author"/>
        <w:tag w:val=""/>
        <w:id w:val="-1677181147"/>
        <w:placeholder>
          <w:docPart w:val="F587DAE949694E50BC24ED45CE99A46C"/>
        </w:placeholder>
        <w:dataBinding w:prefixMappings="xmlns:ns0='http://purl.org/dc/elements/1.1/' xmlns:ns1='http://schemas.openxmlformats.org/package/2006/metadata/core-properties' " w:xpath="/ns1:coreProperties[1]/ns0:creator[1]" w:storeItemID="{6C3C8BC8-F283-45AE-878A-BAB7291924A1}"/>
        <w:text/>
      </w:sdtPr>
      <w:sdtEndPr/>
      <w:sdtContent>
        <w:r w:rsidR="00305D70">
          <w:rPr>
            <w:color w:val="156082" w:themeColor="accent1"/>
          </w:rPr>
          <w:t>Helen Penny</w:t>
        </w:r>
      </w:sdtContent>
    </w:sdt>
  </w:p>
  <w:p w14:paraId="69BE03D7" w14:textId="77777777" w:rsidR="00305D70" w:rsidRDefault="00305D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8D0D8D"/>
    <w:multiLevelType w:val="multilevel"/>
    <w:tmpl w:val="0FC67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0C39EB"/>
    <w:multiLevelType w:val="multilevel"/>
    <w:tmpl w:val="7840A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7458AA"/>
    <w:multiLevelType w:val="multilevel"/>
    <w:tmpl w:val="53822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E867E8"/>
    <w:multiLevelType w:val="multilevel"/>
    <w:tmpl w:val="D8DAC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920ACE"/>
    <w:multiLevelType w:val="multilevel"/>
    <w:tmpl w:val="67A48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0923E7"/>
    <w:multiLevelType w:val="multilevel"/>
    <w:tmpl w:val="0C624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D418CB"/>
    <w:multiLevelType w:val="multilevel"/>
    <w:tmpl w:val="D8361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594AD5"/>
    <w:multiLevelType w:val="multilevel"/>
    <w:tmpl w:val="18304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1931288">
    <w:abstractNumId w:val="1"/>
  </w:num>
  <w:num w:numId="2" w16cid:durableId="977495331">
    <w:abstractNumId w:val="2"/>
  </w:num>
  <w:num w:numId="3" w16cid:durableId="1292596400">
    <w:abstractNumId w:val="3"/>
  </w:num>
  <w:num w:numId="4" w16cid:durableId="701587206">
    <w:abstractNumId w:val="5"/>
  </w:num>
  <w:num w:numId="5" w16cid:durableId="1171985205">
    <w:abstractNumId w:val="4"/>
  </w:num>
  <w:num w:numId="6" w16cid:durableId="215776397">
    <w:abstractNumId w:val="0"/>
  </w:num>
  <w:num w:numId="7" w16cid:durableId="1541473650">
    <w:abstractNumId w:val="6"/>
  </w:num>
  <w:num w:numId="8" w16cid:durableId="45298549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798"/>
    <w:rsid w:val="000006D3"/>
    <w:rsid w:val="00001A6B"/>
    <w:rsid w:val="00001EBD"/>
    <w:rsid w:val="000062E5"/>
    <w:rsid w:val="000101BE"/>
    <w:rsid w:val="000106B7"/>
    <w:rsid w:val="0001194C"/>
    <w:rsid w:val="000135F7"/>
    <w:rsid w:val="00014898"/>
    <w:rsid w:val="000162E0"/>
    <w:rsid w:val="00021BD0"/>
    <w:rsid w:val="00023DDB"/>
    <w:rsid w:val="000341C7"/>
    <w:rsid w:val="000343F6"/>
    <w:rsid w:val="00034A1A"/>
    <w:rsid w:val="00041E2B"/>
    <w:rsid w:val="0004442D"/>
    <w:rsid w:val="0004691F"/>
    <w:rsid w:val="00047A84"/>
    <w:rsid w:val="00053091"/>
    <w:rsid w:val="000612E6"/>
    <w:rsid w:val="0007203B"/>
    <w:rsid w:val="0007361F"/>
    <w:rsid w:val="00080FA9"/>
    <w:rsid w:val="00081852"/>
    <w:rsid w:val="00083AF5"/>
    <w:rsid w:val="00094952"/>
    <w:rsid w:val="00094CF5"/>
    <w:rsid w:val="000A0636"/>
    <w:rsid w:val="000A7AD1"/>
    <w:rsid w:val="000B74BD"/>
    <w:rsid w:val="000C5992"/>
    <w:rsid w:val="000C5DB1"/>
    <w:rsid w:val="000D3549"/>
    <w:rsid w:val="000D40D3"/>
    <w:rsid w:val="000D5A37"/>
    <w:rsid w:val="000E726D"/>
    <w:rsid w:val="000E7DF1"/>
    <w:rsid w:val="00105E9B"/>
    <w:rsid w:val="00106766"/>
    <w:rsid w:val="00110004"/>
    <w:rsid w:val="00110F76"/>
    <w:rsid w:val="00115C79"/>
    <w:rsid w:val="0012184B"/>
    <w:rsid w:val="00140797"/>
    <w:rsid w:val="00150A0A"/>
    <w:rsid w:val="00151E77"/>
    <w:rsid w:val="00152A26"/>
    <w:rsid w:val="00156AB9"/>
    <w:rsid w:val="001814CA"/>
    <w:rsid w:val="0018697F"/>
    <w:rsid w:val="00186C48"/>
    <w:rsid w:val="00190D6B"/>
    <w:rsid w:val="00192389"/>
    <w:rsid w:val="001945C1"/>
    <w:rsid w:val="00194616"/>
    <w:rsid w:val="001A0707"/>
    <w:rsid w:val="001B0C3C"/>
    <w:rsid w:val="001B325F"/>
    <w:rsid w:val="001C1DDE"/>
    <w:rsid w:val="001C2AC2"/>
    <w:rsid w:val="001C2CC9"/>
    <w:rsid w:val="001C7115"/>
    <w:rsid w:val="001D6055"/>
    <w:rsid w:val="001D7C5B"/>
    <w:rsid w:val="001E54BE"/>
    <w:rsid w:val="001E6B47"/>
    <w:rsid w:val="001F3610"/>
    <w:rsid w:val="001F54B9"/>
    <w:rsid w:val="001F671C"/>
    <w:rsid w:val="001F676E"/>
    <w:rsid w:val="001F7834"/>
    <w:rsid w:val="00204983"/>
    <w:rsid w:val="0020586F"/>
    <w:rsid w:val="00206901"/>
    <w:rsid w:val="00213DEC"/>
    <w:rsid w:val="00214360"/>
    <w:rsid w:val="002220C1"/>
    <w:rsid w:val="00223C56"/>
    <w:rsid w:val="00226061"/>
    <w:rsid w:val="00226F7E"/>
    <w:rsid w:val="002341E5"/>
    <w:rsid w:val="002403FF"/>
    <w:rsid w:val="00243DCF"/>
    <w:rsid w:val="002477E5"/>
    <w:rsid w:val="0025075B"/>
    <w:rsid w:val="00250F29"/>
    <w:rsid w:val="0025198A"/>
    <w:rsid w:val="0025622A"/>
    <w:rsid w:val="00256C97"/>
    <w:rsid w:val="00265A68"/>
    <w:rsid w:val="00270C2D"/>
    <w:rsid w:val="00276031"/>
    <w:rsid w:val="002849F0"/>
    <w:rsid w:val="0029213E"/>
    <w:rsid w:val="00294F21"/>
    <w:rsid w:val="00296026"/>
    <w:rsid w:val="002A22B1"/>
    <w:rsid w:val="002A468F"/>
    <w:rsid w:val="002B607A"/>
    <w:rsid w:val="002C11B4"/>
    <w:rsid w:val="002C42C8"/>
    <w:rsid w:val="002C46A1"/>
    <w:rsid w:val="002D08EA"/>
    <w:rsid w:val="002D0C8D"/>
    <w:rsid w:val="002D174E"/>
    <w:rsid w:val="002D2D25"/>
    <w:rsid w:val="002D3584"/>
    <w:rsid w:val="002D78F3"/>
    <w:rsid w:val="002E01E7"/>
    <w:rsid w:val="002E19A5"/>
    <w:rsid w:val="002F2014"/>
    <w:rsid w:val="002F2BB0"/>
    <w:rsid w:val="002F613B"/>
    <w:rsid w:val="00301072"/>
    <w:rsid w:val="00305640"/>
    <w:rsid w:val="00305D70"/>
    <w:rsid w:val="00306645"/>
    <w:rsid w:val="0031211C"/>
    <w:rsid w:val="003173A5"/>
    <w:rsid w:val="00317490"/>
    <w:rsid w:val="00320DB3"/>
    <w:rsid w:val="00326195"/>
    <w:rsid w:val="003269C6"/>
    <w:rsid w:val="00332E1E"/>
    <w:rsid w:val="003331A4"/>
    <w:rsid w:val="00343F43"/>
    <w:rsid w:val="003504E5"/>
    <w:rsid w:val="003531B0"/>
    <w:rsid w:val="00363C67"/>
    <w:rsid w:val="00365FCE"/>
    <w:rsid w:val="00366FFE"/>
    <w:rsid w:val="00367B2B"/>
    <w:rsid w:val="00373D2B"/>
    <w:rsid w:val="003923CA"/>
    <w:rsid w:val="00392BEA"/>
    <w:rsid w:val="00394AE0"/>
    <w:rsid w:val="003976B8"/>
    <w:rsid w:val="003A2261"/>
    <w:rsid w:val="003A4508"/>
    <w:rsid w:val="003A6F7C"/>
    <w:rsid w:val="003B218A"/>
    <w:rsid w:val="003B4C9C"/>
    <w:rsid w:val="003B67A2"/>
    <w:rsid w:val="003B7117"/>
    <w:rsid w:val="003C0479"/>
    <w:rsid w:val="003C4625"/>
    <w:rsid w:val="003C4E64"/>
    <w:rsid w:val="003C5CF4"/>
    <w:rsid w:val="003D14E4"/>
    <w:rsid w:val="003D35B6"/>
    <w:rsid w:val="003E15D6"/>
    <w:rsid w:val="003E5FDF"/>
    <w:rsid w:val="003E65E4"/>
    <w:rsid w:val="003E6DC7"/>
    <w:rsid w:val="003F30CC"/>
    <w:rsid w:val="00400833"/>
    <w:rsid w:val="00405BB5"/>
    <w:rsid w:val="004157F9"/>
    <w:rsid w:val="00415B5C"/>
    <w:rsid w:val="00417FFC"/>
    <w:rsid w:val="00423CE5"/>
    <w:rsid w:val="004248B9"/>
    <w:rsid w:val="0042625A"/>
    <w:rsid w:val="00427933"/>
    <w:rsid w:val="004322AA"/>
    <w:rsid w:val="00441F6D"/>
    <w:rsid w:val="004431C5"/>
    <w:rsid w:val="00443886"/>
    <w:rsid w:val="00444789"/>
    <w:rsid w:val="00450650"/>
    <w:rsid w:val="00457819"/>
    <w:rsid w:val="00465A1D"/>
    <w:rsid w:val="0047430E"/>
    <w:rsid w:val="00474397"/>
    <w:rsid w:val="00475118"/>
    <w:rsid w:val="0048392C"/>
    <w:rsid w:val="0048723C"/>
    <w:rsid w:val="004932A5"/>
    <w:rsid w:val="0049566E"/>
    <w:rsid w:val="00496A1A"/>
    <w:rsid w:val="00497889"/>
    <w:rsid w:val="004A51AF"/>
    <w:rsid w:val="004A7EDF"/>
    <w:rsid w:val="004B05FB"/>
    <w:rsid w:val="004B4485"/>
    <w:rsid w:val="004B4729"/>
    <w:rsid w:val="004B53E9"/>
    <w:rsid w:val="004B6811"/>
    <w:rsid w:val="004B6E98"/>
    <w:rsid w:val="004C0E35"/>
    <w:rsid w:val="004C4DE7"/>
    <w:rsid w:val="004C5CA3"/>
    <w:rsid w:val="004D057B"/>
    <w:rsid w:val="004D3913"/>
    <w:rsid w:val="004D69AB"/>
    <w:rsid w:val="004E0BDD"/>
    <w:rsid w:val="004F1E8B"/>
    <w:rsid w:val="004F3CA8"/>
    <w:rsid w:val="004F7802"/>
    <w:rsid w:val="005021A5"/>
    <w:rsid w:val="005048BE"/>
    <w:rsid w:val="00505AF8"/>
    <w:rsid w:val="00513455"/>
    <w:rsid w:val="0051597B"/>
    <w:rsid w:val="005170E5"/>
    <w:rsid w:val="0052192A"/>
    <w:rsid w:val="005244DA"/>
    <w:rsid w:val="00526146"/>
    <w:rsid w:val="00527A91"/>
    <w:rsid w:val="00530790"/>
    <w:rsid w:val="00543C25"/>
    <w:rsid w:val="00545A98"/>
    <w:rsid w:val="005524A1"/>
    <w:rsid w:val="00552AF9"/>
    <w:rsid w:val="005558B1"/>
    <w:rsid w:val="00560096"/>
    <w:rsid w:val="00564094"/>
    <w:rsid w:val="005671EB"/>
    <w:rsid w:val="00573A92"/>
    <w:rsid w:val="00576337"/>
    <w:rsid w:val="00576CB5"/>
    <w:rsid w:val="0059263B"/>
    <w:rsid w:val="0059711B"/>
    <w:rsid w:val="005A395C"/>
    <w:rsid w:val="005A3F2B"/>
    <w:rsid w:val="005B2488"/>
    <w:rsid w:val="005B2E83"/>
    <w:rsid w:val="005B6C68"/>
    <w:rsid w:val="005B6F6E"/>
    <w:rsid w:val="005C4E6F"/>
    <w:rsid w:val="005C6503"/>
    <w:rsid w:val="005D2C93"/>
    <w:rsid w:val="005D2FF1"/>
    <w:rsid w:val="005D5D32"/>
    <w:rsid w:val="005E2BCE"/>
    <w:rsid w:val="005E46B6"/>
    <w:rsid w:val="005E5C3C"/>
    <w:rsid w:val="005E5E59"/>
    <w:rsid w:val="005F0726"/>
    <w:rsid w:val="0060007F"/>
    <w:rsid w:val="0060339C"/>
    <w:rsid w:val="006038B6"/>
    <w:rsid w:val="006065FD"/>
    <w:rsid w:val="00612743"/>
    <w:rsid w:val="00612D05"/>
    <w:rsid w:val="00612E86"/>
    <w:rsid w:val="00613185"/>
    <w:rsid w:val="00620965"/>
    <w:rsid w:val="006279EB"/>
    <w:rsid w:val="00631836"/>
    <w:rsid w:val="00631B7E"/>
    <w:rsid w:val="0063564B"/>
    <w:rsid w:val="00642A72"/>
    <w:rsid w:val="00643B7D"/>
    <w:rsid w:val="00652329"/>
    <w:rsid w:val="0066284C"/>
    <w:rsid w:val="00663BC1"/>
    <w:rsid w:val="00663F92"/>
    <w:rsid w:val="0066453C"/>
    <w:rsid w:val="00665447"/>
    <w:rsid w:val="00667F92"/>
    <w:rsid w:val="006712FA"/>
    <w:rsid w:val="0067670E"/>
    <w:rsid w:val="00681588"/>
    <w:rsid w:val="006837BA"/>
    <w:rsid w:val="00684739"/>
    <w:rsid w:val="00691589"/>
    <w:rsid w:val="00693949"/>
    <w:rsid w:val="00697F08"/>
    <w:rsid w:val="006A04F5"/>
    <w:rsid w:val="006A2979"/>
    <w:rsid w:val="006A319F"/>
    <w:rsid w:val="006A418E"/>
    <w:rsid w:val="006A4643"/>
    <w:rsid w:val="006A59FF"/>
    <w:rsid w:val="006B0BB5"/>
    <w:rsid w:val="006B515B"/>
    <w:rsid w:val="006C32C0"/>
    <w:rsid w:val="006C3BDE"/>
    <w:rsid w:val="006D22E4"/>
    <w:rsid w:val="006D4793"/>
    <w:rsid w:val="006D5412"/>
    <w:rsid w:val="006D68C5"/>
    <w:rsid w:val="006D78FD"/>
    <w:rsid w:val="006E09D7"/>
    <w:rsid w:val="006F1CD8"/>
    <w:rsid w:val="006F3472"/>
    <w:rsid w:val="00700A48"/>
    <w:rsid w:val="00701798"/>
    <w:rsid w:val="00704AF1"/>
    <w:rsid w:val="007062CA"/>
    <w:rsid w:val="00707EFA"/>
    <w:rsid w:val="0071120B"/>
    <w:rsid w:val="00711A42"/>
    <w:rsid w:val="007135D0"/>
    <w:rsid w:val="00725DDD"/>
    <w:rsid w:val="00735E88"/>
    <w:rsid w:val="00742392"/>
    <w:rsid w:val="00742806"/>
    <w:rsid w:val="00743684"/>
    <w:rsid w:val="00744098"/>
    <w:rsid w:val="00751997"/>
    <w:rsid w:val="007527CC"/>
    <w:rsid w:val="007560D0"/>
    <w:rsid w:val="007578ED"/>
    <w:rsid w:val="00762397"/>
    <w:rsid w:val="00762BC4"/>
    <w:rsid w:val="00763DCA"/>
    <w:rsid w:val="0076707E"/>
    <w:rsid w:val="007730A2"/>
    <w:rsid w:val="00773C9B"/>
    <w:rsid w:val="0077614A"/>
    <w:rsid w:val="00780641"/>
    <w:rsid w:val="007814EF"/>
    <w:rsid w:val="007818F6"/>
    <w:rsid w:val="007819E0"/>
    <w:rsid w:val="00785A72"/>
    <w:rsid w:val="007905F0"/>
    <w:rsid w:val="00790611"/>
    <w:rsid w:val="00790E48"/>
    <w:rsid w:val="007A3A6F"/>
    <w:rsid w:val="007B4B8A"/>
    <w:rsid w:val="007B5C2E"/>
    <w:rsid w:val="007C09B7"/>
    <w:rsid w:val="007C4F44"/>
    <w:rsid w:val="007D080E"/>
    <w:rsid w:val="007D43FA"/>
    <w:rsid w:val="007D636B"/>
    <w:rsid w:val="007D751D"/>
    <w:rsid w:val="007E1C3E"/>
    <w:rsid w:val="007E2665"/>
    <w:rsid w:val="007F0DE2"/>
    <w:rsid w:val="007F2509"/>
    <w:rsid w:val="008059F0"/>
    <w:rsid w:val="0081068D"/>
    <w:rsid w:val="0081094B"/>
    <w:rsid w:val="00813A1A"/>
    <w:rsid w:val="00817527"/>
    <w:rsid w:val="00817FF0"/>
    <w:rsid w:val="00821F4F"/>
    <w:rsid w:val="00822B55"/>
    <w:rsid w:val="00827BB9"/>
    <w:rsid w:val="008336B7"/>
    <w:rsid w:val="008373CB"/>
    <w:rsid w:val="00846617"/>
    <w:rsid w:val="0085041F"/>
    <w:rsid w:val="00853BCB"/>
    <w:rsid w:val="00854DE8"/>
    <w:rsid w:val="00862A37"/>
    <w:rsid w:val="00866AA0"/>
    <w:rsid w:val="008779DA"/>
    <w:rsid w:val="00880FA7"/>
    <w:rsid w:val="008878C0"/>
    <w:rsid w:val="008901AD"/>
    <w:rsid w:val="00892C45"/>
    <w:rsid w:val="00894FB8"/>
    <w:rsid w:val="008A0E70"/>
    <w:rsid w:val="008A3287"/>
    <w:rsid w:val="008B0255"/>
    <w:rsid w:val="008B1414"/>
    <w:rsid w:val="008B2C97"/>
    <w:rsid w:val="008B73AF"/>
    <w:rsid w:val="008C31C6"/>
    <w:rsid w:val="008C49B0"/>
    <w:rsid w:val="008C699C"/>
    <w:rsid w:val="008D065D"/>
    <w:rsid w:val="008D2146"/>
    <w:rsid w:val="008D2A17"/>
    <w:rsid w:val="008D3413"/>
    <w:rsid w:val="008D43CF"/>
    <w:rsid w:val="008D79DC"/>
    <w:rsid w:val="008E3B75"/>
    <w:rsid w:val="008F6292"/>
    <w:rsid w:val="008F7322"/>
    <w:rsid w:val="0090161C"/>
    <w:rsid w:val="00902BDB"/>
    <w:rsid w:val="0091389F"/>
    <w:rsid w:val="00914EB6"/>
    <w:rsid w:val="00923B43"/>
    <w:rsid w:val="0092409F"/>
    <w:rsid w:val="00925099"/>
    <w:rsid w:val="0092540F"/>
    <w:rsid w:val="00925504"/>
    <w:rsid w:val="00930BC5"/>
    <w:rsid w:val="0093376C"/>
    <w:rsid w:val="00941713"/>
    <w:rsid w:val="00942A1C"/>
    <w:rsid w:val="00943001"/>
    <w:rsid w:val="00945DC9"/>
    <w:rsid w:val="00952FDA"/>
    <w:rsid w:val="009540D7"/>
    <w:rsid w:val="009557B3"/>
    <w:rsid w:val="00957CA6"/>
    <w:rsid w:val="00960867"/>
    <w:rsid w:val="00964F7E"/>
    <w:rsid w:val="00966C6E"/>
    <w:rsid w:val="009672B0"/>
    <w:rsid w:val="00967D8D"/>
    <w:rsid w:val="00972EFA"/>
    <w:rsid w:val="00973772"/>
    <w:rsid w:val="00976E79"/>
    <w:rsid w:val="00981B22"/>
    <w:rsid w:val="009933A4"/>
    <w:rsid w:val="00993C2F"/>
    <w:rsid w:val="00996CE5"/>
    <w:rsid w:val="009A19B5"/>
    <w:rsid w:val="009A3BEE"/>
    <w:rsid w:val="009A7320"/>
    <w:rsid w:val="009B49F7"/>
    <w:rsid w:val="009B5B50"/>
    <w:rsid w:val="009B68D8"/>
    <w:rsid w:val="009B7D6D"/>
    <w:rsid w:val="009C0E29"/>
    <w:rsid w:val="009C0E57"/>
    <w:rsid w:val="009C721A"/>
    <w:rsid w:val="009D34FB"/>
    <w:rsid w:val="009D60D7"/>
    <w:rsid w:val="009E34AE"/>
    <w:rsid w:val="009E3948"/>
    <w:rsid w:val="009F10FF"/>
    <w:rsid w:val="009F3B8E"/>
    <w:rsid w:val="009F77AB"/>
    <w:rsid w:val="009F7D53"/>
    <w:rsid w:val="00A0009A"/>
    <w:rsid w:val="00A02B40"/>
    <w:rsid w:val="00A02E49"/>
    <w:rsid w:val="00A05F5A"/>
    <w:rsid w:val="00A067AC"/>
    <w:rsid w:val="00A07478"/>
    <w:rsid w:val="00A1430E"/>
    <w:rsid w:val="00A15846"/>
    <w:rsid w:val="00A16B11"/>
    <w:rsid w:val="00A17167"/>
    <w:rsid w:val="00A21DE3"/>
    <w:rsid w:val="00A222E2"/>
    <w:rsid w:val="00A22656"/>
    <w:rsid w:val="00A249A9"/>
    <w:rsid w:val="00A31AE6"/>
    <w:rsid w:val="00A41DF3"/>
    <w:rsid w:val="00A52816"/>
    <w:rsid w:val="00A536C3"/>
    <w:rsid w:val="00A562ED"/>
    <w:rsid w:val="00A577E8"/>
    <w:rsid w:val="00A57C74"/>
    <w:rsid w:val="00A6208A"/>
    <w:rsid w:val="00A709D5"/>
    <w:rsid w:val="00A71035"/>
    <w:rsid w:val="00A742B7"/>
    <w:rsid w:val="00A76D5B"/>
    <w:rsid w:val="00A8125D"/>
    <w:rsid w:val="00A823D9"/>
    <w:rsid w:val="00A84E5B"/>
    <w:rsid w:val="00A9358A"/>
    <w:rsid w:val="00A9419F"/>
    <w:rsid w:val="00A953BE"/>
    <w:rsid w:val="00AA39BB"/>
    <w:rsid w:val="00AA5F36"/>
    <w:rsid w:val="00AB222C"/>
    <w:rsid w:val="00AB3855"/>
    <w:rsid w:val="00AB749C"/>
    <w:rsid w:val="00AC3FE8"/>
    <w:rsid w:val="00AC4AF8"/>
    <w:rsid w:val="00AD3EF9"/>
    <w:rsid w:val="00AD539C"/>
    <w:rsid w:val="00AE3917"/>
    <w:rsid w:val="00AE4535"/>
    <w:rsid w:val="00AE548E"/>
    <w:rsid w:val="00B0609B"/>
    <w:rsid w:val="00B06AE5"/>
    <w:rsid w:val="00B122DE"/>
    <w:rsid w:val="00B2237D"/>
    <w:rsid w:val="00B26A57"/>
    <w:rsid w:val="00B3147D"/>
    <w:rsid w:val="00B32B1B"/>
    <w:rsid w:val="00B33D92"/>
    <w:rsid w:val="00B33E0C"/>
    <w:rsid w:val="00B35DD5"/>
    <w:rsid w:val="00B37DB0"/>
    <w:rsid w:val="00B44406"/>
    <w:rsid w:val="00B50FED"/>
    <w:rsid w:val="00B5334E"/>
    <w:rsid w:val="00B55531"/>
    <w:rsid w:val="00B62A66"/>
    <w:rsid w:val="00B62DBC"/>
    <w:rsid w:val="00B641FD"/>
    <w:rsid w:val="00B732CC"/>
    <w:rsid w:val="00B80A7F"/>
    <w:rsid w:val="00B85722"/>
    <w:rsid w:val="00B85D2E"/>
    <w:rsid w:val="00B87267"/>
    <w:rsid w:val="00B875F1"/>
    <w:rsid w:val="00B87D46"/>
    <w:rsid w:val="00B937F5"/>
    <w:rsid w:val="00B93FA0"/>
    <w:rsid w:val="00B94FC9"/>
    <w:rsid w:val="00B96FDB"/>
    <w:rsid w:val="00BA5FB7"/>
    <w:rsid w:val="00BA652E"/>
    <w:rsid w:val="00BC30C8"/>
    <w:rsid w:val="00BD1674"/>
    <w:rsid w:val="00BD22F6"/>
    <w:rsid w:val="00BD3303"/>
    <w:rsid w:val="00BE1D08"/>
    <w:rsid w:val="00BF6E42"/>
    <w:rsid w:val="00C03719"/>
    <w:rsid w:val="00C06E4C"/>
    <w:rsid w:val="00C114CD"/>
    <w:rsid w:val="00C15430"/>
    <w:rsid w:val="00C15D1B"/>
    <w:rsid w:val="00C16E1A"/>
    <w:rsid w:val="00C247A8"/>
    <w:rsid w:val="00C33C9D"/>
    <w:rsid w:val="00C37FBD"/>
    <w:rsid w:val="00C430E2"/>
    <w:rsid w:val="00C516B4"/>
    <w:rsid w:val="00C52A4D"/>
    <w:rsid w:val="00C55DB5"/>
    <w:rsid w:val="00C7170D"/>
    <w:rsid w:val="00C72450"/>
    <w:rsid w:val="00C74970"/>
    <w:rsid w:val="00C77403"/>
    <w:rsid w:val="00C8113C"/>
    <w:rsid w:val="00C8790A"/>
    <w:rsid w:val="00C947D5"/>
    <w:rsid w:val="00C95B22"/>
    <w:rsid w:val="00C96773"/>
    <w:rsid w:val="00C96B69"/>
    <w:rsid w:val="00CA0303"/>
    <w:rsid w:val="00CA047D"/>
    <w:rsid w:val="00CA541D"/>
    <w:rsid w:val="00CA6747"/>
    <w:rsid w:val="00CB5A6C"/>
    <w:rsid w:val="00CC25E6"/>
    <w:rsid w:val="00CC2FBD"/>
    <w:rsid w:val="00CC6065"/>
    <w:rsid w:val="00CC745E"/>
    <w:rsid w:val="00CD0C6D"/>
    <w:rsid w:val="00CE327D"/>
    <w:rsid w:val="00CE7C11"/>
    <w:rsid w:val="00CF605A"/>
    <w:rsid w:val="00CF6DF2"/>
    <w:rsid w:val="00D00EBD"/>
    <w:rsid w:val="00D01843"/>
    <w:rsid w:val="00D01C70"/>
    <w:rsid w:val="00D10EDF"/>
    <w:rsid w:val="00D133F4"/>
    <w:rsid w:val="00D219DA"/>
    <w:rsid w:val="00D22C02"/>
    <w:rsid w:val="00D27471"/>
    <w:rsid w:val="00D278FC"/>
    <w:rsid w:val="00D30B6E"/>
    <w:rsid w:val="00D34FA7"/>
    <w:rsid w:val="00D368BC"/>
    <w:rsid w:val="00D44F38"/>
    <w:rsid w:val="00D51B78"/>
    <w:rsid w:val="00D52889"/>
    <w:rsid w:val="00D54AE8"/>
    <w:rsid w:val="00D55FAB"/>
    <w:rsid w:val="00D569BA"/>
    <w:rsid w:val="00D60E73"/>
    <w:rsid w:val="00D630D0"/>
    <w:rsid w:val="00D65B1D"/>
    <w:rsid w:val="00D6782A"/>
    <w:rsid w:val="00D71F09"/>
    <w:rsid w:val="00D76109"/>
    <w:rsid w:val="00D85274"/>
    <w:rsid w:val="00D8723D"/>
    <w:rsid w:val="00D90702"/>
    <w:rsid w:val="00D90BCC"/>
    <w:rsid w:val="00D90CC8"/>
    <w:rsid w:val="00D95D95"/>
    <w:rsid w:val="00D970C9"/>
    <w:rsid w:val="00DB0ECD"/>
    <w:rsid w:val="00DB495A"/>
    <w:rsid w:val="00DB6D79"/>
    <w:rsid w:val="00DB6E34"/>
    <w:rsid w:val="00DC2650"/>
    <w:rsid w:val="00DC579C"/>
    <w:rsid w:val="00DC7A3F"/>
    <w:rsid w:val="00DD0CAD"/>
    <w:rsid w:val="00DE3388"/>
    <w:rsid w:val="00DE6308"/>
    <w:rsid w:val="00DE7A13"/>
    <w:rsid w:val="00DF0F3B"/>
    <w:rsid w:val="00DF103D"/>
    <w:rsid w:val="00DF2FCF"/>
    <w:rsid w:val="00E00CC6"/>
    <w:rsid w:val="00E02239"/>
    <w:rsid w:val="00E02AF7"/>
    <w:rsid w:val="00E1040E"/>
    <w:rsid w:val="00E160F2"/>
    <w:rsid w:val="00E257C5"/>
    <w:rsid w:val="00E27EE0"/>
    <w:rsid w:val="00E3353F"/>
    <w:rsid w:val="00E3402F"/>
    <w:rsid w:val="00E3439D"/>
    <w:rsid w:val="00E3471A"/>
    <w:rsid w:val="00E354D0"/>
    <w:rsid w:val="00E51652"/>
    <w:rsid w:val="00E5221C"/>
    <w:rsid w:val="00E52685"/>
    <w:rsid w:val="00E53010"/>
    <w:rsid w:val="00E611C1"/>
    <w:rsid w:val="00E65834"/>
    <w:rsid w:val="00E66678"/>
    <w:rsid w:val="00E718A5"/>
    <w:rsid w:val="00E72B41"/>
    <w:rsid w:val="00E74E9B"/>
    <w:rsid w:val="00E83845"/>
    <w:rsid w:val="00E87B46"/>
    <w:rsid w:val="00E87D12"/>
    <w:rsid w:val="00E90C01"/>
    <w:rsid w:val="00E9493A"/>
    <w:rsid w:val="00EA25A0"/>
    <w:rsid w:val="00EA3060"/>
    <w:rsid w:val="00EB1087"/>
    <w:rsid w:val="00EB5508"/>
    <w:rsid w:val="00EB75EC"/>
    <w:rsid w:val="00EC2DD1"/>
    <w:rsid w:val="00EC73FC"/>
    <w:rsid w:val="00ED72A0"/>
    <w:rsid w:val="00EE4022"/>
    <w:rsid w:val="00EE4775"/>
    <w:rsid w:val="00EE6FCE"/>
    <w:rsid w:val="00EE780D"/>
    <w:rsid w:val="00EF13E0"/>
    <w:rsid w:val="00EF3541"/>
    <w:rsid w:val="00EF6D6A"/>
    <w:rsid w:val="00EF6DA7"/>
    <w:rsid w:val="00F02D21"/>
    <w:rsid w:val="00F06D49"/>
    <w:rsid w:val="00F105EF"/>
    <w:rsid w:val="00F1230F"/>
    <w:rsid w:val="00F16A0B"/>
    <w:rsid w:val="00F176EF"/>
    <w:rsid w:val="00F20505"/>
    <w:rsid w:val="00F31BBA"/>
    <w:rsid w:val="00F35BD1"/>
    <w:rsid w:val="00F41A01"/>
    <w:rsid w:val="00F41B6C"/>
    <w:rsid w:val="00F52D64"/>
    <w:rsid w:val="00F621DD"/>
    <w:rsid w:val="00F6614D"/>
    <w:rsid w:val="00F66744"/>
    <w:rsid w:val="00F70409"/>
    <w:rsid w:val="00F7316F"/>
    <w:rsid w:val="00F81302"/>
    <w:rsid w:val="00F85F0A"/>
    <w:rsid w:val="00F86D11"/>
    <w:rsid w:val="00F9021D"/>
    <w:rsid w:val="00F95869"/>
    <w:rsid w:val="00F95967"/>
    <w:rsid w:val="00F97A87"/>
    <w:rsid w:val="00FA30DD"/>
    <w:rsid w:val="00FA701B"/>
    <w:rsid w:val="00FC4411"/>
    <w:rsid w:val="00FC49A2"/>
    <w:rsid w:val="00FC49AC"/>
    <w:rsid w:val="00FC4BF3"/>
    <w:rsid w:val="00FC5184"/>
    <w:rsid w:val="00FD07F1"/>
    <w:rsid w:val="00FD1BEA"/>
    <w:rsid w:val="00FD7E0B"/>
    <w:rsid w:val="00FF413A"/>
    <w:rsid w:val="00FF75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6AB23"/>
  <w15:chartTrackingRefBased/>
  <w15:docId w15:val="{658482FD-6A86-49E6-BC77-193B70AF4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17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17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17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17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17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17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17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17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17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7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17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17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17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17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17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17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17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1798"/>
    <w:rPr>
      <w:rFonts w:eastAsiaTheme="majorEastAsia" w:cstheme="majorBidi"/>
      <w:color w:val="272727" w:themeColor="text1" w:themeTint="D8"/>
    </w:rPr>
  </w:style>
  <w:style w:type="paragraph" w:styleId="Title">
    <w:name w:val="Title"/>
    <w:basedOn w:val="Normal"/>
    <w:next w:val="Normal"/>
    <w:link w:val="TitleChar"/>
    <w:uiPriority w:val="10"/>
    <w:qFormat/>
    <w:rsid w:val="007017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17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17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17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1798"/>
    <w:pPr>
      <w:spacing w:before="160"/>
      <w:jc w:val="center"/>
    </w:pPr>
    <w:rPr>
      <w:i/>
      <w:iCs/>
      <w:color w:val="404040" w:themeColor="text1" w:themeTint="BF"/>
    </w:rPr>
  </w:style>
  <w:style w:type="character" w:customStyle="1" w:styleId="QuoteChar">
    <w:name w:val="Quote Char"/>
    <w:basedOn w:val="DefaultParagraphFont"/>
    <w:link w:val="Quote"/>
    <w:uiPriority w:val="29"/>
    <w:rsid w:val="00701798"/>
    <w:rPr>
      <w:i/>
      <w:iCs/>
      <w:color w:val="404040" w:themeColor="text1" w:themeTint="BF"/>
    </w:rPr>
  </w:style>
  <w:style w:type="paragraph" w:styleId="ListParagraph">
    <w:name w:val="List Paragraph"/>
    <w:basedOn w:val="Normal"/>
    <w:uiPriority w:val="34"/>
    <w:qFormat/>
    <w:rsid w:val="00701798"/>
    <w:pPr>
      <w:ind w:left="720"/>
      <w:contextualSpacing/>
    </w:pPr>
  </w:style>
  <w:style w:type="character" w:styleId="IntenseEmphasis">
    <w:name w:val="Intense Emphasis"/>
    <w:basedOn w:val="DefaultParagraphFont"/>
    <w:uiPriority w:val="21"/>
    <w:qFormat/>
    <w:rsid w:val="00701798"/>
    <w:rPr>
      <w:i/>
      <w:iCs/>
      <w:color w:val="0F4761" w:themeColor="accent1" w:themeShade="BF"/>
    </w:rPr>
  </w:style>
  <w:style w:type="paragraph" w:styleId="IntenseQuote">
    <w:name w:val="Intense Quote"/>
    <w:basedOn w:val="Normal"/>
    <w:next w:val="Normal"/>
    <w:link w:val="IntenseQuoteChar"/>
    <w:uiPriority w:val="30"/>
    <w:qFormat/>
    <w:rsid w:val="007017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1798"/>
    <w:rPr>
      <w:i/>
      <w:iCs/>
      <w:color w:val="0F4761" w:themeColor="accent1" w:themeShade="BF"/>
    </w:rPr>
  </w:style>
  <w:style w:type="character" w:styleId="IntenseReference">
    <w:name w:val="Intense Reference"/>
    <w:basedOn w:val="DefaultParagraphFont"/>
    <w:uiPriority w:val="32"/>
    <w:qFormat/>
    <w:rsid w:val="00701798"/>
    <w:rPr>
      <w:b/>
      <w:bCs/>
      <w:smallCaps/>
      <w:color w:val="0F4761" w:themeColor="accent1" w:themeShade="BF"/>
      <w:spacing w:val="5"/>
    </w:rPr>
  </w:style>
  <w:style w:type="paragraph" w:styleId="Header">
    <w:name w:val="header"/>
    <w:basedOn w:val="Normal"/>
    <w:link w:val="HeaderChar"/>
    <w:uiPriority w:val="99"/>
    <w:unhideWhenUsed/>
    <w:rsid w:val="002D2D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D25"/>
  </w:style>
  <w:style w:type="paragraph" w:styleId="Footer">
    <w:name w:val="footer"/>
    <w:basedOn w:val="Normal"/>
    <w:link w:val="FooterChar"/>
    <w:uiPriority w:val="99"/>
    <w:unhideWhenUsed/>
    <w:rsid w:val="002D2D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D25"/>
  </w:style>
  <w:style w:type="paragraph" w:styleId="NormalWeb">
    <w:name w:val="Normal (Web)"/>
    <w:basedOn w:val="Normal"/>
    <w:uiPriority w:val="99"/>
    <w:semiHidden/>
    <w:unhideWhenUsed/>
    <w:rsid w:val="00A02B4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587DAE949694E50BC24ED45CE99A46C"/>
        <w:category>
          <w:name w:val="General"/>
          <w:gallery w:val="placeholder"/>
        </w:category>
        <w:types>
          <w:type w:val="bbPlcHdr"/>
        </w:types>
        <w:behaviors>
          <w:behavior w:val="content"/>
        </w:behaviors>
        <w:guid w:val="{0F54C8EE-3FA8-434E-A600-8AC2235C8136}"/>
      </w:docPartPr>
      <w:docPartBody>
        <w:p w:rsidR="00AF0931" w:rsidRDefault="00287627" w:rsidP="00287627">
          <w:pPr>
            <w:pStyle w:val="F587DAE949694E50BC24ED45CE99A46C"/>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627"/>
    <w:rsid w:val="00287627"/>
    <w:rsid w:val="005F4DA8"/>
    <w:rsid w:val="006F3472"/>
    <w:rsid w:val="00AF0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587DAE949694E50BC24ED45CE99A46C">
    <w:name w:val="F587DAE949694E50BC24ED45CE99A46C"/>
    <w:rsid w:val="002876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3384</Words>
  <Characters>19292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Penny</dc:creator>
  <cp:keywords/>
  <dc:description/>
  <cp:lastModifiedBy>Helen Penny</cp:lastModifiedBy>
  <cp:revision>2</cp:revision>
  <cp:lastPrinted>2026-05-03T13:27:00Z</cp:lastPrinted>
  <dcterms:created xsi:type="dcterms:W3CDTF">2026-05-08T21:45:00Z</dcterms:created>
  <dcterms:modified xsi:type="dcterms:W3CDTF">2026-05-08T21:45:00Z</dcterms:modified>
</cp:coreProperties>
</file>